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sz w:val="36"/>
        </w:rPr>
      </w:pPr>
      <w:r>
        <w:rPr>
          <w:rFonts w:hint="eastAsia" w:asciiTheme="majorEastAsia" w:hAnsiTheme="majorEastAsia" w:eastAsiaTheme="majorEastAsia"/>
          <w:sz w:val="36"/>
        </w:rPr>
        <w:t xml:space="preserve"> </w:t>
      </w:r>
    </w:p>
    <w:p>
      <w:pPr>
        <w:pStyle w:val="44"/>
        <w:ind w:firstLine="720"/>
        <w:rPr>
          <w:rFonts w:asciiTheme="majorEastAsia" w:hAnsiTheme="majorEastAsia" w:eastAsiaTheme="majorEastAsia"/>
          <w:sz w:val="36"/>
        </w:rPr>
      </w:pPr>
    </w:p>
    <w:p>
      <w:pPr>
        <w:pStyle w:val="44"/>
        <w:spacing w:line="660" w:lineRule="exact"/>
        <w:ind w:firstLine="199" w:firstLineChars="45"/>
        <w:jc w:val="center"/>
        <w:rPr>
          <w:rFonts w:asciiTheme="majorEastAsia" w:hAnsiTheme="majorEastAsia" w:eastAsiaTheme="majorEastAsia"/>
          <w:b/>
          <w:color w:val="000000"/>
          <w:sz w:val="44"/>
          <w:szCs w:val="44"/>
        </w:rPr>
      </w:pPr>
      <w:r>
        <w:rPr>
          <w:rFonts w:hint="eastAsia" w:asciiTheme="majorEastAsia" w:hAnsiTheme="majorEastAsia" w:eastAsiaTheme="majorEastAsia"/>
          <w:b/>
          <w:color w:val="000000"/>
          <w:sz w:val="44"/>
          <w:szCs w:val="44"/>
        </w:rPr>
        <w:t>江苏医药职业学院</w:t>
      </w:r>
    </w:p>
    <w:p>
      <w:pPr>
        <w:pStyle w:val="44"/>
        <w:ind w:firstLine="883"/>
        <w:jc w:val="center"/>
        <w:rPr>
          <w:rFonts w:asciiTheme="majorEastAsia" w:hAnsiTheme="majorEastAsia" w:eastAsiaTheme="majorEastAsia"/>
          <w:b/>
          <w:color w:val="000000"/>
          <w:sz w:val="44"/>
          <w:szCs w:val="44"/>
        </w:rPr>
      </w:pPr>
      <w:r>
        <w:rPr>
          <w:rFonts w:hint="eastAsia" w:asciiTheme="majorEastAsia" w:hAnsiTheme="majorEastAsia" w:eastAsiaTheme="majorEastAsia"/>
          <w:b/>
          <w:color w:val="000000"/>
          <w:sz w:val="44"/>
          <w:szCs w:val="44"/>
        </w:rPr>
        <w:t>博士后基地C5楼外环境改造工程项目</w:t>
      </w:r>
    </w:p>
    <w:p>
      <w:pPr>
        <w:pStyle w:val="44"/>
        <w:ind w:firstLine="720"/>
        <w:jc w:val="center"/>
        <w:rPr>
          <w:rFonts w:asciiTheme="majorEastAsia" w:hAnsiTheme="majorEastAsia" w:eastAsiaTheme="majorEastAsia"/>
          <w:sz w:val="36"/>
        </w:rPr>
      </w:pPr>
    </w:p>
    <w:p>
      <w:pPr>
        <w:pStyle w:val="44"/>
        <w:ind w:firstLine="720"/>
        <w:jc w:val="center"/>
        <w:rPr>
          <w:rFonts w:asciiTheme="majorEastAsia" w:hAnsiTheme="majorEastAsia" w:eastAsiaTheme="majorEastAsia"/>
          <w:sz w:val="36"/>
        </w:rPr>
      </w:pPr>
    </w:p>
    <w:p>
      <w:pPr>
        <w:jc w:val="center"/>
        <w:rPr>
          <w:rFonts w:asciiTheme="majorEastAsia" w:hAnsiTheme="majorEastAsia" w:eastAsiaTheme="majorEastAsia"/>
          <w:sz w:val="32"/>
        </w:rPr>
      </w:pPr>
      <w:r>
        <w:rPr>
          <w:rFonts w:hint="eastAsia" w:asciiTheme="majorEastAsia" w:hAnsiTheme="majorEastAsia" w:eastAsiaTheme="majorEastAsia"/>
          <w:sz w:val="84"/>
        </w:rPr>
        <w:t>竞争性磋商文件</w:t>
      </w:r>
    </w:p>
    <w:p>
      <w:pPr>
        <w:jc w:val="center"/>
        <w:rPr>
          <w:rFonts w:asciiTheme="majorEastAsia" w:hAnsiTheme="majorEastAsia" w:eastAsiaTheme="majorEastAsia"/>
          <w:b/>
          <w:sz w:val="32"/>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tabs>
          <w:tab w:val="left" w:pos="7095"/>
        </w:tabs>
        <w:rPr>
          <w:rFonts w:asciiTheme="majorEastAsia" w:hAnsiTheme="majorEastAsia" w:eastAsiaTheme="majorEastAsia"/>
        </w:rPr>
      </w:pPr>
      <w:r>
        <w:rPr>
          <w:rFonts w:asciiTheme="majorEastAsia" w:hAnsiTheme="majorEastAsia" w:eastAsiaTheme="majorEastAsia"/>
        </w:rPr>
        <w:tab/>
      </w:r>
    </w:p>
    <w:p>
      <w:pPr>
        <w:pStyle w:val="24"/>
        <w:rPr>
          <w:rFonts w:asciiTheme="majorEastAsia" w:hAnsiTheme="majorEastAsia" w:eastAsiaTheme="majorEastAsia"/>
        </w:rPr>
      </w:pPr>
    </w:p>
    <w:p>
      <w:pPr>
        <w:pStyle w:val="24"/>
        <w:rPr>
          <w:rFonts w:asciiTheme="majorEastAsia" w:hAnsiTheme="majorEastAsia" w:eastAsiaTheme="majorEastAsia"/>
        </w:rPr>
      </w:pPr>
    </w:p>
    <w:p>
      <w:pPr>
        <w:ind w:firstLine="1699" w:firstLineChars="531"/>
        <w:jc w:val="left"/>
        <w:rPr>
          <w:rFonts w:cs="Courier New" w:asciiTheme="majorEastAsia" w:hAnsiTheme="majorEastAsia" w:eastAsiaTheme="majorEastAsia"/>
          <w:sz w:val="32"/>
          <w:szCs w:val="32"/>
        </w:rPr>
      </w:pPr>
      <w:r>
        <w:rPr>
          <w:rFonts w:hint="eastAsia" w:cs="Courier New" w:asciiTheme="majorEastAsia" w:hAnsiTheme="majorEastAsia" w:eastAsiaTheme="majorEastAsia"/>
          <w:sz w:val="32"/>
          <w:szCs w:val="32"/>
        </w:rPr>
        <w:t>项目编号：</w:t>
      </w:r>
      <w:r>
        <w:rPr>
          <w:rFonts w:cs="Courier New" w:asciiTheme="majorEastAsia" w:hAnsiTheme="majorEastAsia" w:eastAsiaTheme="majorEastAsia"/>
          <w:sz w:val="32"/>
          <w:szCs w:val="32"/>
        </w:rPr>
        <w:t>SY2021-0</w:t>
      </w:r>
      <w:r>
        <w:rPr>
          <w:rFonts w:hint="eastAsia" w:cs="Courier New" w:asciiTheme="majorEastAsia" w:hAnsiTheme="majorEastAsia" w:eastAsiaTheme="majorEastAsia"/>
          <w:sz w:val="32"/>
          <w:szCs w:val="32"/>
        </w:rPr>
        <w:t>76</w:t>
      </w:r>
      <w:r>
        <w:rPr>
          <w:rFonts w:cs="Courier New" w:asciiTheme="majorEastAsia" w:hAnsiTheme="majorEastAsia" w:eastAsiaTheme="majorEastAsia"/>
          <w:sz w:val="32"/>
          <w:szCs w:val="32"/>
        </w:rPr>
        <w:t>-</w:t>
      </w:r>
      <w:r>
        <w:rPr>
          <w:rFonts w:hint="eastAsia" w:cs="Courier New" w:asciiTheme="majorEastAsia" w:hAnsiTheme="majorEastAsia" w:eastAsiaTheme="majorEastAsia"/>
          <w:sz w:val="32"/>
          <w:szCs w:val="32"/>
        </w:rPr>
        <w:t>GC</w:t>
      </w:r>
      <w:r>
        <w:rPr>
          <w:rFonts w:cs="Courier New" w:asciiTheme="majorEastAsia" w:hAnsiTheme="majorEastAsia" w:eastAsiaTheme="majorEastAsia"/>
          <w:sz w:val="32"/>
          <w:szCs w:val="32"/>
        </w:rPr>
        <w:t>-</w:t>
      </w:r>
      <w:r>
        <w:rPr>
          <w:rFonts w:hint="eastAsia" w:cs="Courier New" w:asciiTheme="majorEastAsia" w:hAnsiTheme="majorEastAsia" w:eastAsiaTheme="majorEastAsia"/>
          <w:sz w:val="32"/>
          <w:szCs w:val="32"/>
        </w:rPr>
        <w:t>JC</w:t>
      </w:r>
    </w:p>
    <w:p>
      <w:pPr>
        <w:pStyle w:val="24"/>
        <w:ind w:firstLine="1699" w:firstLineChars="531"/>
        <w:rPr>
          <w:rFonts w:asciiTheme="majorEastAsia" w:hAnsiTheme="majorEastAsia" w:eastAsiaTheme="majorEastAsia"/>
          <w:sz w:val="32"/>
          <w:szCs w:val="32"/>
        </w:rPr>
      </w:pPr>
      <w:r>
        <w:rPr>
          <w:rFonts w:hint="eastAsia" w:asciiTheme="majorEastAsia" w:hAnsiTheme="majorEastAsia" w:eastAsiaTheme="majorEastAsia"/>
          <w:sz w:val="32"/>
          <w:szCs w:val="32"/>
        </w:rPr>
        <w:t>招标人：江苏医药职业学院</w:t>
      </w:r>
    </w:p>
    <w:p>
      <w:pPr>
        <w:pStyle w:val="24"/>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招标代理机构: 盐城市天平建设监理有限公司</w:t>
      </w:r>
    </w:p>
    <w:p>
      <w:pPr>
        <w:pStyle w:val="2"/>
        <w:ind w:firstLine="640"/>
        <w:jc w:val="center"/>
        <w:rPr>
          <w:rFonts w:asciiTheme="majorEastAsia" w:hAnsiTheme="majorEastAsia" w:eastAsiaTheme="majorEastAsia"/>
          <w:sz w:val="32"/>
          <w:szCs w:val="32"/>
        </w:rPr>
      </w:pPr>
    </w:p>
    <w:p>
      <w:pPr>
        <w:pStyle w:val="24"/>
        <w:jc w:val="center"/>
        <w:rPr>
          <w:rFonts w:asciiTheme="majorEastAsia" w:hAnsiTheme="majorEastAsia" w:eastAsiaTheme="majorEastAsia"/>
          <w:sz w:val="32"/>
          <w:szCs w:val="32"/>
        </w:rPr>
      </w:pPr>
      <w:r>
        <w:rPr>
          <w:rFonts w:hint="eastAsia" w:asciiTheme="majorEastAsia" w:hAnsiTheme="majorEastAsia" w:eastAsiaTheme="majorEastAsia"/>
          <w:sz w:val="32"/>
          <w:szCs w:val="32"/>
        </w:rPr>
        <w:t>2021年10月21日</w:t>
      </w:r>
    </w:p>
    <w:p>
      <w:pPr>
        <w:pStyle w:val="24"/>
        <w:rPr>
          <w:rFonts w:asciiTheme="majorEastAsia" w:hAnsiTheme="majorEastAsia" w:eastAsiaTheme="majorEastAsia"/>
          <w:sz w:val="32"/>
          <w:szCs w:val="32"/>
        </w:rPr>
      </w:pPr>
      <w:bookmarkStart w:id="0" w:name="_Toc120614210"/>
      <w:bookmarkStart w:id="1" w:name="_Toc20823272"/>
      <w:bookmarkStart w:id="2" w:name="_Toc513029200"/>
      <w:bookmarkStart w:id="3" w:name="_Toc523127445"/>
      <w:bookmarkStart w:id="4" w:name="_Toc16938516"/>
      <w:bookmarkStart w:id="5" w:name="_Toc479757206"/>
    </w:p>
    <w:p>
      <w:pPr>
        <w:spacing w:line="480" w:lineRule="auto"/>
        <w:jc w:val="center"/>
        <w:outlineLvl w:val="0"/>
        <w:rPr>
          <w:rFonts w:asciiTheme="majorEastAsia" w:hAnsiTheme="majorEastAsia" w:eastAsiaTheme="majorEastAsia"/>
          <w:b/>
          <w:sz w:val="44"/>
        </w:rPr>
      </w:pPr>
    </w:p>
    <w:p>
      <w:pPr>
        <w:pStyle w:val="2"/>
      </w:pPr>
    </w:p>
    <w:p>
      <w:pPr>
        <w:spacing w:line="480" w:lineRule="auto"/>
        <w:jc w:val="center"/>
        <w:outlineLvl w:val="0"/>
        <w:rPr>
          <w:rFonts w:asciiTheme="majorEastAsia" w:hAnsiTheme="majorEastAsia" w:eastAsiaTheme="majorEastAsia"/>
          <w:b/>
          <w:sz w:val="44"/>
        </w:rPr>
      </w:pPr>
      <w:r>
        <w:rPr>
          <w:rFonts w:hint="eastAsia" w:asciiTheme="majorEastAsia" w:hAnsiTheme="majorEastAsia" w:eastAsiaTheme="majorEastAsia"/>
          <w:b/>
          <w:sz w:val="44"/>
        </w:rPr>
        <w:t>目  录</w:t>
      </w:r>
    </w:p>
    <w:p>
      <w:pPr>
        <w:spacing w:line="480" w:lineRule="auto"/>
        <w:rPr>
          <w:rFonts w:asciiTheme="majorEastAsia" w:hAnsiTheme="majorEastAsia" w:eastAsiaTheme="majorEastAsia"/>
          <w:b/>
          <w:sz w:val="28"/>
        </w:rPr>
      </w:pPr>
    </w:p>
    <w:p>
      <w:pPr>
        <w:spacing w:line="300" w:lineRule="auto"/>
        <w:rPr>
          <w:rFonts w:asciiTheme="majorEastAsia" w:hAnsiTheme="majorEastAsia" w:eastAsiaTheme="majorEastAsia"/>
          <w:sz w:val="36"/>
          <w:szCs w:val="36"/>
        </w:rPr>
      </w:pPr>
      <w:r>
        <w:rPr>
          <w:rFonts w:hint="eastAsia" w:asciiTheme="majorEastAsia" w:hAnsiTheme="majorEastAsia" w:eastAsiaTheme="majorEastAsia"/>
          <w:sz w:val="36"/>
          <w:szCs w:val="36"/>
        </w:rPr>
        <w:t xml:space="preserve">第一章  招标公告……………………………………………2 </w:t>
      </w:r>
    </w:p>
    <w:p>
      <w:pPr>
        <w:spacing w:line="300" w:lineRule="auto"/>
        <w:rPr>
          <w:rFonts w:asciiTheme="majorEastAsia" w:hAnsiTheme="majorEastAsia" w:eastAsiaTheme="majorEastAsia"/>
          <w:sz w:val="36"/>
          <w:szCs w:val="36"/>
        </w:rPr>
      </w:pPr>
      <w:r>
        <w:rPr>
          <w:rFonts w:hint="eastAsia" w:asciiTheme="majorEastAsia" w:hAnsiTheme="majorEastAsia" w:eastAsiaTheme="majorEastAsia"/>
          <w:sz w:val="36"/>
          <w:szCs w:val="36"/>
        </w:rPr>
        <w:t>第二章  投标人须知…………………………………………5</w:t>
      </w:r>
    </w:p>
    <w:p>
      <w:pPr>
        <w:spacing w:line="300" w:lineRule="auto"/>
        <w:rPr>
          <w:rFonts w:asciiTheme="majorEastAsia" w:hAnsiTheme="majorEastAsia" w:eastAsiaTheme="majorEastAsia"/>
          <w:sz w:val="36"/>
          <w:szCs w:val="36"/>
        </w:rPr>
      </w:pPr>
      <w:r>
        <w:rPr>
          <w:rFonts w:hint="eastAsia" w:asciiTheme="majorEastAsia" w:hAnsiTheme="majorEastAsia" w:eastAsiaTheme="majorEastAsia"/>
          <w:sz w:val="36"/>
          <w:szCs w:val="36"/>
        </w:rPr>
        <w:t>第三章  合同条款及格式……………………………………19</w:t>
      </w:r>
    </w:p>
    <w:p>
      <w:pPr>
        <w:spacing w:line="300" w:lineRule="auto"/>
        <w:rPr>
          <w:rFonts w:asciiTheme="majorEastAsia" w:hAnsiTheme="majorEastAsia" w:eastAsiaTheme="majorEastAsia"/>
          <w:sz w:val="36"/>
          <w:szCs w:val="36"/>
        </w:rPr>
      </w:pPr>
      <w:r>
        <w:rPr>
          <w:rFonts w:hint="eastAsia" w:asciiTheme="majorEastAsia" w:hAnsiTheme="majorEastAsia" w:eastAsiaTheme="majorEastAsia"/>
          <w:sz w:val="36"/>
          <w:szCs w:val="36"/>
        </w:rPr>
        <w:t>第四章  项目需求……………………………………………21</w:t>
      </w:r>
    </w:p>
    <w:p>
      <w:pPr>
        <w:spacing w:line="300" w:lineRule="auto"/>
        <w:rPr>
          <w:rFonts w:asciiTheme="majorEastAsia" w:hAnsiTheme="majorEastAsia" w:eastAsiaTheme="majorEastAsia"/>
          <w:sz w:val="36"/>
          <w:szCs w:val="36"/>
        </w:rPr>
      </w:pPr>
      <w:r>
        <w:rPr>
          <w:rFonts w:hint="eastAsia" w:asciiTheme="majorEastAsia" w:hAnsiTheme="majorEastAsia" w:eastAsiaTheme="majorEastAsia"/>
          <w:sz w:val="36"/>
          <w:szCs w:val="36"/>
        </w:rPr>
        <w:t>第五章  评标方法与评标标准………………………………23</w:t>
      </w:r>
    </w:p>
    <w:p>
      <w:pPr>
        <w:spacing w:line="300" w:lineRule="auto"/>
        <w:rPr>
          <w:rFonts w:asciiTheme="majorEastAsia" w:hAnsiTheme="majorEastAsia" w:eastAsiaTheme="majorEastAsia"/>
          <w:sz w:val="36"/>
          <w:szCs w:val="36"/>
        </w:rPr>
      </w:pPr>
      <w:r>
        <w:rPr>
          <w:rFonts w:hint="eastAsia" w:asciiTheme="majorEastAsia" w:hAnsiTheme="majorEastAsia" w:eastAsiaTheme="majorEastAsia"/>
          <w:sz w:val="36"/>
          <w:szCs w:val="36"/>
        </w:rPr>
        <w:t>第六章  投标文件格式………………………………………25</w:t>
      </w:r>
    </w:p>
    <w:p>
      <w:pPr>
        <w:pStyle w:val="24"/>
        <w:rPr>
          <w:rFonts w:asciiTheme="majorEastAsia" w:hAnsiTheme="majorEastAsia" w:eastAsiaTheme="majorEastAsia"/>
          <w:sz w:val="36"/>
          <w:szCs w:val="36"/>
        </w:rPr>
      </w:pPr>
    </w:p>
    <w:p>
      <w:pPr>
        <w:pStyle w:val="24"/>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pStyle w:val="24"/>
        <w:rPr>
          <w:rFonts w:asciiTheme="majorEastAsia" w:hAnsiTheme="majorEastAsia" w:eastAsiaTheme="majorEastAsia"/>
        </w:rPr>
      </w:pPr>
    </w:p>
    <w:p>
      <w:pPr>
        <w:rPr>
          <w:rFonts w:asciiTheme="majorEastAsia" w:hAnsiTheme="majorEastAsia" w:eastAsiaTheme="majorEastAsia"/>
        </w:rPr>
      </w:pPr>
    </w:p>
    <w:p>
      <w:pPr>
        <w:rPr>
          <w:rFonts w:asciiTheme="majorEastAsia" w:hAnsiTheme="majorEastAsia" w:eastAsiaTheme="majorEastAsia"/>
        </w:rPr>
      </w:pPr>
    </w:p>
    <w:p>
      <w:pPr>
        <w:pStyle w:val="5"/>
        <w:jc w:val="both"/>
        <w:rPr>
          <w:rFonts w:asciiTheme="majorEastAsia" w:hAnsiTheme="majorEastAsia" w:eastAsiaTheme="majorEastAsia"/>
          <w:sz w:val="44"/>
          <w:szCs w:val="44"/>
        </w:rPr>
        <w:sectPr>
          <w:headerReference r:id="rId4" w:type="first"/>
          <w:headerReference r:id="rId3" w:type="default"/>
          <w:footerReference r:id="rId5" w:type="default"/>
          <w:footerReference r:id="rId6" w:type="even"/>
          <w:pgSz w:w="11906" w:h="16838"/>
          <w:pgMar w:top="1134" w:right="1134" w:bottom="1134" w:left="1134" w:header="851" w:footer="907" w:gutter="0"/>
          <w:pgNumType w:fmt="decimalFullWidth" w:start="0"/>
          <w:cols w:space="720" w:num="1"/>
          <w:titlePg/>
          <w:docGrid w:type="lines" w:linePitch="290" w:charSpace="0"/>
        </w:sectPr>
      </w:pPr>
    </w:p>
    <w:bookmarkEnd w:id="0"/>
    <w:p>
      <w:pPr>
        <w:pStyle w:val="24"/>
        <w:rPr>
          <w:rStyle w:val="64"/>
          <w:rFonts w:asciiTheme="majorEastAsia" w:hAnsiTheme="majorEastAsia" w:eastAsiaTheme="majorEastAsia"/>
        </w:rPr>
      </w:pPr>
    </w:p>
    <w:p>
      <w:pPr>
        <w:pStyle w:val="5"/>
        <w:rPr>
          <w:rFonts w:asciiTheme="majorEastAsia" w:hAnsiTheme="majorEastAsia" w:eastAsiaTheme="majorEastAsia"/>
          <w:b/>
          <w:sz w:val="44"/>
          <w:szCs w:val="44"/>
        </w:rPr>
      </w:pPr>
      <w:r>
        <w:rPr>
          <w:rFonts w:hint="eastAsia" w:asciiTheme="majorEastAsia" w:hAnsiTheme="majorEastAsia" w:eastAsiaTheme="majorEastAsia"/>
          <w:b/>
          <w:sz w:val="44"/>
          <w:szCs w:val="44"/>
        </w:rPr>
        <w:t xml:space="preserve">第一章  </w:t>
      </w:r>
      <w:r>
        <w:rPr>
          <w:rFonts w:hint="eastAsia" w:asciiTheme="majorEastAsia" w:hAnsiTheme="majorEastAsia" w:eastAsiaTheme="majorEastAsia"/>
          <w:b/>
          <w:color w:val="000000" w:themeColor="text1"/>
          <w:sz w:val="44"/>
          <w:szCs w:val="44"/>
        </w:rPr>
        <w:t>竞争性磋商采购公告</w:t>
      </w:r>
    </w:p>
    <w:p>
      <w:pPr>
        <w:rPr>
          <w:rFonts w:asciiTheme="majorEastAsia" w:hAnsiTheme="majorEastAsia" w:eastAsiaTheme="majorEastAsia"/>
        </w:rPr>
      </w:pPr>
    </w:p>
    <w:p>
      <w:pPr>
        <w:pBdr>
          <w:top w:val="single" w:color="auto" w:sz="4" w:space="1"/>
          <w:left w:val="single" w:color="auto" w:sz="4" w:space="4"/>
          <w:bottom w:val="single" w:color="auto" w:sz="4" w:space="1"/>
          <w:right w:val="single" w:color="auto" w:sz="4" w:space="4"/>
        </w:pBdr>
        <w:spacing w:line="420" w:lineRule="exact"/>
        <w:ind w:firstLine="482" w:firstLineChars="200"/>
        <w:jc w:val="left"/>
        <w:rPr>
          <w:rFonts w:cs="宋体" w:asciiTheme="majorEastAsia" w:hAnsiTheme="majorEastAsia" w:eastAsiaTheme="majorEastAsia"/>
          <w:b/>
          <w:bCs/>
          <w:sz w:val="24"/>
          <w:szCs w:val="24"/>
        </w:rPr>
      </w:pPr>
      <w:r>
        <w:rPr>
          <w:rFonts w:hint="eastAsia" w:cs="宋体" w:asciiTheme="majorEastAsia" w:hAnsiTheme="majorEastAsia" w:eastAsiaTheme="majorEastAsia"/>
          <w:b/>
          <w:bCs/>
          <w:sz w:val="24"/>
          <w:szCs w:val="24"/>
        </w:rPr>
        <w:t>项目概况</w:t>
      </w:r>
      <w:bookmarkStart w:id="6" w:name="_Hlk24379207"/>
    </w:p>
    <w:p>
      <w:pPr>
        <w:pBdr>
          <w:top w:val="single" w:color="auto" w:sz="4" w:space="1"/>
          <w:left w:val="single" w:color="auto" w:sz="4" w:space="4"/>
          <w:bottom w:val="single" w:color="auto" w:sz="4" w:space="1"/>
          <w:right w:val="single" w:color="auto" w:sz="4" w:space="4"/>
        </w:pBdr>
        <w:spacing w:line="420" w:lineRule="exact"/>
        <w:ind w:firstLine="480" w:firstLineChars="200"/>
        <w:jc w:val="left"/>
        <w:rPr>
          <w:rFonts w:asciiTheme="majorEastAsia" w:hAnsiTheme="majorEastAsia" w:eastAsiaTheme="majorEastAsia" w:cstheme="minorEastAsia"/>
          <w:b/>
          <w:color w:val="000000" w:themeColor="text1"/>
          <w:sz w:val="24"/>
          <w:szCs w:val="24"/>
          <w:u w:val="single"/>
        </w:rPr>
      </w:pPr>
      <w:r>
        <w:rPr>
          <w:rFonts w:hint="eastAsia" w:asciiTheme="majorEastAsia" w:hAnsiTheme="majorEastAsia" w:eastAsiaTheme="majorEastAsia" w:cstheme="minorEastAsia"/>
          <w:color w:val="000000" w:themeColor="text1"/>
          <w:sz w:val="24"/>
          <w:szCs w:val="24"/>
          <w:u w:val="single"/>
        </w:rPr>
        <w:t>江苏医药职业学院博士后基地C5楼外环境改造工程项目</w:t>
      </w:r>
      <w:r>
        <w:rPr>
          <w:rFonts w:hint="eastAsia" w:asciiTheme="majorEastAsia" w:hAnsiTheme="majorEastAsia" w:eastAsiaTheme="majorEastAsia" w:cstheme="minorEastAsia"/>
          <w:color w:val="000000" w:themeColor="text1"/>
          <w:sz w:val="24"/>
          <w:szCs w:val="24"/>
        </w:rPr>
        <w:t>招标项目的潜在投标人应在</w:t>
      </w:r>
      <w:r>
        <w:rPr>
          <w:rFonts w:hint="eastAsia" w:asciiTheme="majorEastAsia" w:hAnsiTheme="majorEastAsia" w:eastAsiaTheme="majorEastAsia" w:cstheme="minorEastAsia"/>
          <w:color w:val="000000" w:themeColor="text1"/>
          <w:sz w:val="24"/>
          <w:szCs w:val="24"/>
          <w:u w:val="single"/>
        </w:rPr>
        <w:t>盐城市天平建设监理有限公司</w:t>
      </w:r>
      <w:r>
        <w:rPr>
          <w:rFonts w:hint="eastAsia" w:asciiTheme="majorEastAsia" w:hAnsiTheme="majorEastAsia" w:eastAsiaTheme="majorEastAsia" w:cstheme="minorEastAsia"/>
          <w:color w:val="000000" w:themeColor="text1"/>
          <w:sz w:val="24"/>
          <w:szCs w:val="24"/>
        </w:rPr>
        <w:t>获取招标文件，并于</w:t>
      </w:r>
      <w:r>
        <w:rPr>
          <w:rFonts w:hint="eastAsia" w:asciiTheme="majorEastAsia" w:hAnsiTheme="majorEastAsia" w:eastAsiaTheme="majorEastAsia" w:cstheme="minorEastAsia"/>
          <w:color w:val="000000" w:themeColor="text1"/>
          <w:sz w:val="24"/>
          <w:szCs w:val="24"/>
          <w:u w:val="single"/>
        </w:rPr>
        <w:t>2021</w:t>
      </w:r>
      <w:r>
        <w:rPr>
          <w:rFonts w:hint="eastAsia" w:asciiTheme="majorEastAsia" w:hAnsiTheme="majorEastAsia" w:eastAsiaTheme="majorEastAsia" w:cstheme="minorEastAsia"/>
          <w:bCs/>
          <w:color w:val="000000" w:themeColor="text1"/>
          <w:sz w:val="24"/>
          <w:szCs w:val="24"/>
          <w:u w:val="single"/>
        </w:rPr>
        <w:t>年11月 1 日15点00分（</w:t>
      </w:r>
      <w:r>
        <w:rPr>
          <w:rFonts w:hint="eastAsia" w:asciiTheme="majorEastAsia" w:hAnsiTheme="majorEastAsia" w:eastAsiaTheme="majorEastAsia" w:cstheme="minorEastAsia"/>
          <w:bCs/>
          <w:color w:val="000000" w:themeColor="text1"/>
          <w:sz w:val="24"/>
          <w:szCs w:val="24"/>
        </w:rPr>
        <w:t>北京时间）前递交投标文件</w:t>
      </w:r>
      <w:r>
        <w:rPr>
          <w:rFonts w:hint="eastAsia" w:asciiTheme="majorEastAsia" w:hAnsiTheme="majorEastAsia" w:eastAsiaTheme="majorEastAsia" w:cstheme="minorEastAsia"/>
          <w:color w:val="000000" w:themeColor="text1"/>
          <w:sz w:val="24"/>
          <w:szCs w:val="24"/>
        </w:rPr>
        <w:t>。</w:t>
      </w:r>
    </w:p>
    <w:p>
      <w:pPr>
        <w:spacing w:line="440" w:lineRule="exact"/>
        <w:ind w:firstLine="482" w:firstLineChars="200"/>
        <w:rPr>
          <w:rFonts w:cs="宋体" w:asciiTheme="majorEastAsia" w:hAnsiTheme="majorEastAsia" w:eastAsiaTheme="majorEastAsia"/>
          <w:b/>
          <w:bCs/>
          <w:sz w:val="24"/>
          <w:szCs w:val="24"/>
        </w:rPr>
      </w:pPr>
      <w:bookmarkStart w:id="7" w:name="_Toc28359079"/>
      <w:bookmarkStart w:id="8" w:name="_Toc35393621"/>
      <w:bookmarkStart w:id="9" w:name="_Toc28359002"/>
      <w:bookmarkStart w:id="10" w:name="_Toc35393790"/>
      <w:r>
        <w:rPr>
          <w:rFonts w:hint="eastAsia" w:cs="宋体" w:asciiTheme="majorEastAsia" w:hAnsiTheme="majorEastAsia" w:eastAsiaTheme="majorEastAsia"/>
          <w:b/>
          <w:bCs/>
          <w:sz w:val="24"/>
          <w:szCs w:val="24"/>
        </w:rPr>
        <w:t>一、项目基本情况</w:t>
      </w:r>
      <w:bookmarkEnd w:id="7"/>
      <w:bookmarkEnd w:id="8"/>
      <w:bookmarkEnd w:id="9"/>
      <w:bookmarkEnd w:id="10"/>
    </w:p>
    <w:p>
      <w:pPr>
        <w:spacing w:line="440" w:lineRule="exact"/>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1.项目编号：</w:t>
      </w:r>
      <w:r>
        <w:rPr>
          <w:rFonts w:cs="宋体" w:asciiTheme="majorEastAsia" w:hAnsiTheme="majorEastAsia" w:eastAsiaTheme="majorEastAsia"/>
          <w:sz w:val="24"/>
          <w:szCs w:val="24"/>
        </w:rPr>
        <w:t>SY2021-0</w:t>
      </w:r>
      <w:r>
        <w:rPr>
          <w:rFonts w:hint="eastAsia" w:cs="宋体" w:asciiTheme="majorEastAsia" w:hAnsiTheme="majorEastAsia" w:eastAsiaTheme="majorEastAsia"/>
          <w:sz w:val="24"/>
          <w:szCs w:val="24"/>
        </w:rPr>
        <w:t>76</w:t>
      </w:r>
      <w:r>
        <w:rPr>
          <w:rFonts w:cs="宋体" w:asciiTheme="majorEastAsia" w:hAnsiTheme="majorEastAsia" w:eastAsiaTheme="majorEastAsia"/>
          <w:sz w:val="24"/>
          <w:szCs w:val="24"/>
        </w:rPr>
        <w:t>-</w:t>
      </w:r>
      <w:r>
        <w:rPr>
          <w:rFonts w:hint="eastAsia" w:cs="宋体" w:asciiTheme="majorEastAsia" w:hAnsiTheme="majorEastAsia" w:eastAsiaTheme="majorEastAsia"/>
          <w:sz w:val="24"/>
          <w:szCs w:val="24"/>
        </w:rPr>
        <w:t>GC</w:t>
      </w:r>
      <w:r>
        <w:rPr>
          <w:rFonts w:cs="宋体" w:asciiTheme="majorEastAsia" w:hAnsiTheme="majorEastAsia" w:eastAsiaTheme="majorEastAsia"/>
          <w:sz w:val="24"/>
          <w:szCs w:val="24"/>
        </w:rPr>
        <w:t>-JC</w:t>
      </w:r>
      <w:r>
        <w:rPr>
          <w:rFonts w:hint="eastAsia" w:cs="宋体" w:asciiTheme="majorEastAsia" w:hAnsiTheme="majorEastAsia" w:eastAsiaTheme="majorEastAsia"/>
          <w:sz w:val="24"/>
          <w:szCs w:val="24"/>
        </w:rPr>
        <w:t xml:space="preserve"> </w:t>
      </w:r>
    </w:p>
    <w:p>
      <w:pPr>
        <w:spacing w:line="440" w:lineRule="exact"/>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2.项目名称：</w:t>
      </w:r>
      <w:bookmarkEnd w:id="6"/>
      <w:r>
        <w:rPr>
          <w:rFonts w:hint="eastAsia" w:cs="宋体" w:asciiTheme="majorEastAsia" w:hAnsiTheme="majorEastAsia" w:eastAsiaTheme="majorEastAsia"/>
          <w:sz w:val="24"/>
          <w:szCs w:val="24"/>
        </w:rPr>
        <w:t>江苏医药职业学院博士后基地C5楼外环境改造工程项目</w:t>
      </w:r>
    </w:p>
    <w:p>
      <w:pPr>
        <w:spacing w:line="440" w:lineRule="exact"/>
        <w:ind w:firstLine="480" w:firstLineChars="200"/>
        <w:rPr>
          <w:rFonts w:cs="宋体" w:asciiTheme="majorEastAsia" w:hAnsiTheme="majorEastAsia" w:eastAsiaTheme="majorEastAsia"/>
          <w:color w:val="000000" w:themeColor="text1"/>
          <w:sz w:val="24"/>
          <w:szCs w:val="24"/>
        </w:rPr>
      </w:pPr>
      <w:r>
        <w:rPr>
          <w:rFonts w:hint="eastAsia" w:cs="宋体" w:asciiTheme="majorEastAsia" w:hAnsiTheme="majorEastAsia" w:eastAsiaTheme="majorEastAsia"/>
          <w:color w:val="000000" w:themeColor="text1"/>
          <w:sz w:val="24"/>
          <w:szCs w:val="24"/>
        </w:rPr>
        <w:t>3.采购方式：□竞争性谈判</w:t>
      </w:r>
      <w:r>
        <w:rPr>
          <w:rFonts w:hint="eastAsia" w:ascii="MS Mincho" w:hAnsi="MS Mincho" w:eastAsia="MS Mincho" w:cs="MS Mincho"/>
          <w:color w:val="000000" w:themeColor="text1"/>
          <w:sz w:val="24"/>
          <w:szCs w:val="24"/>
        </w:rPr>
        <w:t>☑</w:t>
      </w:r>
      <w:r>
        <w:rPr>
          <w:rFonts w:hint="eastAsia" w:ascii="宋体" w:hAnsi="宋体" w:cs="宋体"/>
          <w:color w:val="000000" w:themeColor="text1"/>
          <w:sz w:val="24"/>
          <w:szCs w:val="24"/>
        </w:rPr>
        <w:t>竞争性磋</w:t>
      </w:r>
      <w:bookmarkStart w:id="179" w:name="_GoBack"/>
      <w:bookmarkEnd w:id="179"/>
      <w:r>
        <w:rPr>
          <w:rFonts w:hint="eastAsia" w:ascii="宋体" w:hAnsi="宋体" w:cs="宋体"/>
          <w:color w:val="000000" w:themeColor="text1"/>
          <w:sz w:val="24"/>
          <w:szCs w:val="24"/>
        </w:rPr>
        <w:t>商□询</w:t>
      </w:r>
      <w:r>
        <w:rPr>
          <w:rFonts w:hint="eastAsia" w:cs="宋体" w:asciiTheme="majorEastAsia" w:hAnsiTheme="majorEastAsia" w:eastAsiaTheme="majorEastAsia"/>
          <w:color w:val="000000" w:themeColor="text1"/>
          <w:sz w:val="24"/>
          <w:szCs w:val="24"/>
        </w:rPr>
        <w:t>价</w:t>
      </w:r>
    </w:p>
    <w:p>
      <w:pPr>
        <w:spacing w:line="440" w:lineRule="exact"/>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4.预算金额：40万元</w:t>
      </w:r>
    </w:p>
    <w:p>
      <w:pPr>
        <w:spacing w:line="440" w:lineRule="exact"/>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5.最高限价：40万元，招标人不接收高于最高限价的投标报价，投标报价高于最高限价的视为无效标书。</w:t>
      </w:r>
    </w:p>
    <w:p>
      <w:pPr>
        <w:spacing w:line="440" w:lineRule="exact"/>
        <w:ind w:firstLine="480" w:firstLineChars="200"/>
        <w:rPr>
          <w:rFonts w:cs="宋体" w:asciiTheme="majorEastAsia" w:hAnsiTheme="majorEastAsia" w:eastAsiaTheme="majorEastAsia"/>
          <w:b/>
          <w:bCs/>
          <w:sz w:val="24"/>
          <w:szCs w:val="24"/>
        </w:rPr>
      </w:pPr>
      <w:r>
        <w:rPr>
          <w:rFonts w:hint="eastAsia" w:cs="宋体" w:asciiTheme="majorEastAsia" w:hAnsiTheme="majorEastAsia" w:eastAsiaTheme="majorEastAsia"/>
          <w:sz w:val="24"/>
          <w:szCs w:val="24"/>
        </w:rPr>
        <w:t>6.采购需求：</w:t>
      </w:r>
      <w:r>
        <w:rPr>
          <w:rFonts w:hint="eastAsia" w:cs="宋体" w:asciiTheme="majorEastAsia" w:hAnsiTheme="majorEastAsia" w:eastAsiaTheme="majorEastAsia"/>
          <w:bCs/>
          <w:sz w:val="24"/>
          <w:szCs w:val="24"/>
        </w:rPr>
        <w:t>江苏医药职业学院博士后基地C5楼外环境改造工程项目。具体以招标人提供的项目施工图纸、参考报价清单、投标人自行勘探现场情况为准。招标人保留对上述工程量及范围适当调整的权利。</w:t>
      </w:r>
    </w:p>
    <w:p>
      <w:pPr>
        <w:spacing w:line="440" w:lineRule="exact"/>
        <w:ind w:firstLine="480" w:firstLineChars="200"/>
        <w:rPr>
          <w:rFonts w:cs="宋体" w:asciiTheme="majorEastAsia" w:hAnsiTheme="majorEastAsia" w:eastAsiaTheme="majorEastAsia"/>
          <w:bCs/>
          <w:sz w:val="24"/>
          <w:szCs w:val="24"/>
        </w:rPr>
      </w:pPr>
      <w:r>
        <w:rPr>
          <w:rFonts w:hint="eastAsia" w:cs="宋体" w:asciiTheme="majorEastAsia" w:hAnsiTheme="majorEastAsia" w:eastAsiaTheme="majorEastAsia"/>
          <w:bCs/>
          <w:sz w:val="24"/>
          <w:szCs w:val="24"/>
        </w:rPr>
        <w:t>7.合同履行期限：签订合同后30日历天。详见采购文件</w:t>
      </w:r>
    </w:p>
    <w:p>
      <w:pPr>
        <w:spacing w:line="440" w:lineRule="exact"/>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8.本项目</w:t>
      </w:r>
      <w:r>
        <w:rPr>
          <w:rFonts w:hint="eastAsia" w:cs="宋体" w:asciiTheme="majorEastAsia" w:hAnsiTheme="majorEastAsia" w:eastAsiaTheme="majorEastAsia"/>
          <w:sz w:val="24"/>
          <w:szCs w:val="24"/>
          <w:u w:val="single"/>
        </w:rPr>
        <w:t>不接受</w:t>
      </w:r>
      <w:r>
        <w:rPr>
          <w:rFonts w:hint="eastAsia" w:cs="宋体" w:asciiTheme="majorEastAsia" w:hAnsiTheme="majorEastAsia" w:eastAsiaTheme="majorEastAsia"/>
          <w:sz w:val="24"/>
          <w:szCs w:val="24"/>
        </w:rPr>
        <w:t>联合体投标。</w:t>
      </w:r>
      <w:bookmarkStart w:id="11" w:name="_Toc35393622"/>
      <w:bookmarkStart w:id="12" w:name="_Toc28359003"/>
      <w:bookmarkStart w:id="13" w:name="_Toc35393791"/>
      <w:bookmarkStart w:id="14" w:name="_Toc28359080"/>
    </w:p>
    <w:p>
      <w:pPr>
        <w:spacing w:line="440" w:lineRule="exact"/>
        <w:ind w:firstLine="482" w:firstLineChars="200"/>
        <w:rPr>
          <w:rFonts w:cs="宋体" w:asciiTheme="majorEastAsia" w:hAnsiTheme="majorEastAsia" w:eastAsiaTheme="majorEastAsia"/>
          <w:b/>
          <w:sz w:val="24"/>
          <w:szCs w:val="24"/>
        </w:rPr>
      </w:pPr>
      <w:r>
        <w:rPr>
          <w:rFonts w:hint="eastAsia" w:cs="宋体" w:asciiTheme="majorEastAsia" w:hAnsiTheme="majorEastAsia" w:eastAsiaTheme="majorEastAsia"/>
          <w:b/>
          <w:sz w:val="24"/>
          <w:szCs w:val="24"/>
        </w:rPr>
        <w:t>二、申请人的资格要求：</w:t>
      </w:r>
      <w:bookmarkEnd w:id="11"/>
      <w:bookmarkEnd w:id="12"/>
      <w:bookmarkEnd w:id="13"/>
      <w:bookmarkEnd w:id="14"/>
    </w:p>
    <w:p>
      <w:pPr>
        <w:spacing w:line="440" w:lineRule="exact"/>
        <w:ind w:firstLine="480" w:firstLineChars="200"/>
        <w:rPr>
          <w:rFonts w:cs="宋体" w:asciiTheme="majorEastAsia" w:hAnsiTheme="majorEastAsia" w:eastAsiaTheme="majorEastAsia"/>
          <w:color w:val="000000" w:themeColor="text1"/>
          <w:sz w:val="24"/>
          <w:szCs w:val="24"/>
        </w:rPr>
      </w:pPr>
      <w:bookmarkStart w:id="15" w:name="_Toc28359004"/>
      <w:bookmarkStart w:id="16" w:name="_Toc28359081"/>
      <w:r>
        <w:rPr>
          <w:rFonts w:hint="eastAsia" w:cs="宋体" w:asciiTheme="majorEastAsia" w:hAnsiTheme="majorEastAsia" w:eastAsiaTheme="majorEastAsia"/>
          <w:color w:val="000000" w:themeColor="text1"/>
          <w:sz w:val="24"/>
          <w:szCs w:val="24"/>
        </w:rPr>
        <w:t>1.满足《中华人民共和国政府采购法》第二十二条规定，并提供下列材料；</w:t>
      </w:r>
    </w:p>
    <w:p>
      <w:pPr>
        <w:spacing w:line="44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1.1具有独立承担民事责任的能力（提供法人或者其他组织的营业执照，提供复印件加盖公章）；</w:t>
      </w:r>
    </w:p>
    <w:p>
      <w:pPr>
        <w:spacing w:line="44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1.2法人代表授权书（原件）及法定代表人、授权代表身份证复印件（如果是法定代表人直接参与投标的可以不提供授权书）；</w:t>
      </w:r>
    </w:p>
    <w:p>
      <w:pPr>
        <w:spacing w:line="44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1.3具有良好的商业信誉和健全的财务会计制度（提供2020年度经审计的财务报告，或投标截止时间前六个月内银行出具的资信证明，提供复印件加盖公章）；</w:t>
      </w:r>
    </w:p>
    <w:p>
      <w:pPr>
        <w:spacing w:line="44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1.4具有履行合同所必需的设备和专业技术能力（投标人根据履行采购项目合同需要，提供履行合同所必需的设备和专业技术能力的证明材料或者加盖投标供应商公章的承诺函）；</w:t>
      </w:r>
    </w:p>
    <w:p>
      <w:pPr>
        <w:spacing w:line="44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1.5有依法缴纳税收和社会保障资金的良好记录【提供参加本次政府采购活动前一年内至少一个月缴纳增值税，或营业税，或企业所得税的凭据；并提供缴纳社会保险的凭据（专用收据或社会保险缴纳清单）】；</w:t>
      </w:r>
    </w:p>
    <w:p>
      <w:pPr>
        <w:spacing w:line="44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1.6参加政府采购活动前三年内，在经营活动中没有重大违法记录（提供承诺书）。</w:t>
      </w:r>
    </w:p>
    <w:p>
      <w:pPr>
        <w:spacing w:line="440" w:lineRule="exact"/>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2.落实政府采购政策需满足的资格要求：无。</w:t>
      </w:r>
    </w:p>
    <w:p>
      <w:pPr>
        <w:spacing w:line="440" w:lineRule="exact"/>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3.本项目的特定资格要求：</w:t>
      </w:r>
    </w:p>
    <w:p>
      <w:pPr>
        <w:spacing w:line="440" w:lineRule="exact"/>
        <w:ind w:firstLine="480" w:firstLineChars="200"/>
        <w:rPr>
          <w:rFonts w:cs="宋体" w:asciiTheme="majorEastAsia" w:hAnsiTheme="majorEastAsia" w:eastAsiaTheme="majorEastAsia"/>
          <w:bCs/>
          <w:sz w:val="24"/>
          <w:szCs w:val="24"/>
        </w:rPr>
      </w:pPr>
      <w:bookmarkStart w:id="17" w:name="_Toc35393792"/>
      <w:bookmarkStart w:id="18" w:name="_Toc35393623"/>
      <w:r>
        <w:rPr>
          <w:rFonts w:hint="eastAsia" w:cs="宋体" w:asciiTheme="majorEastAsia" w:hAnsiTheme="majorEastAsia" w:eastAsiaTheme="majorEastAsia"/>
          <w:sz w:val="24"/>
          <w:szCs w:val="24"/>
        </w:rPr>
        <w:t>3.1</w:t>
      </w:r>
      <w:r>
        <w:rPr>
          <w:rFonts w:hint="eastAsia" w:cs="宋体" w:asciiTheme="majorEastAsia" w:hAnsiTheme="majorEastAsia" w:eastAsiaTheme="majorEastAsia"/>
          <w:bCs/>
          <w:sz w:val="24"/>
          <w:szCs w:val="24"/>
        </w:rPr>
        <w:t>投标申请人应具有建设行政主管部门核发的</w:t>
      </w:r>
      <w:r>
        <w:rPr>
          <w:rFonts w:hint="eastAsia" w:cs="宋体" w:asciiTheme="majorEastAsia" w:hAnsiTheme="majorEastAsia" w:eastAsiaTheme="majorEastAsia"/>
          <w:b/>
          <w:bCs/>
          <w:sz w:val="24"/>
          <w:szCs w:val="24"/>
        </w:rPr>
        <w:t>建筑工程施工总承包三级及以上（或建筑装修装饰工程专业承包二级及以上）</w:t>
      </w:r>
      <w:r>
        <w:rPr>
          <w:rFonts w:hint="eastAsia" w:cs="宋体" w:asciiTheme="majorEastAsia" w:hAnsiTheme="majorEastAsia" w:eastAsiaTheme="majorEastAsia"/>
          <w:bCs/>
          <w:sz w:val="24"/>
          <w:szCs w:val="24"/>
        </w:rPr>
        <w:t>资质的独立法人，并取得安全生产许可证。</w:t>
      </w:r>
    </w:p>
    <w:p>
      <w:pPr>
        <w:spacing w:line="440" w:lineRule="exact"/>
        <w:ind w:firstLine="480" w:firstLineChars="200"/>
        <w:rPr>
          <w:rFonts w:cs="宋体" w:asciiTheme="majorEastAsia" w:hAnsiTheme="majorEastAsia" w:eastAsiaTheme="majorEastAsia"/>
          <w:bCs/>
          <w:sz w:val="24"/>
          <w:szCs w:val="24"/>
        </w:rPr>
      </w:pPr>
      <w:r>
        <w:rPr>
          <w:rFonts w:hint="eastAsia" w:cs="宋体" w:asciiTheme="majorEastAsia" w:hAnsiTheme="majorEastAsia" w:eastAsiaTheme="majorEastAsia"/>
          <w:bCs/>
          <w:sz w:val="24"/>
          <w:szCs w:val="24"/>
        </w:rPr>
        <w:t>3.2 项目负责人必须是投标人本单位正式职工，</w:t>
      </w:r>
      <w:r>
        <w:rPr>
          <w:rFonts w:cs="宋体" w:asciiTheme="majorEastAsia" w:hAnsiTheme="majorEastAsia" w:eastAsiaTheme="majorEastAsia"/>
          <w:bCs/>
          <w:sz w:val="24"/>
          <w:szCs w:val="24"/>
        </w:rPr>
        <w:t>具有</w:t>
      </w:r>
      <w:r>
        <w:rPr>
          <w:rFonts w:hint="eastAsia" w:cs="宋体" w:asciiTheme="majorEastAsia" w:hAnsiTheme="majorEastAsia" w:eastAsiaTheme="majorEastAsia"/>
          <w:b/>
          <w:bCs/>
          <w:sz w:val="24"/>
          <w:szCs w:val="24"/>
        </w:rPr>
        <w:t>建筑工程</w:t>
      </w:r>
      <w:r>
        <w:rPr>
          <w:rFonts w:hint="eastAsia" w:cs="宋体" w:asciiTheme="majorEastAsia" w:hAnsiTheme="majorEastAsia" w:eastAsiaTheme="majorEastAsia"/>
          <w:bCs/>
          <w:sz w:val="24"/>
          <w:szCs w:val="24"/>
        </w:rPr>
        <w:t>专业</w:t>
      </w:r>
      <w:r>
        <w:rPr>
          <w:rFonts w:cs="宋体" w:asciiTheme="majorEastAsia" w:hAnsiTheme="majorEastAsia" w:eastAsiaTheme="majorEastAsia"/>
          <w:bCs/>
          <w:sz w:val="24"/>
          <w:szCs w:val="24"/>
        </w:rPr>
        <w:t>的二级及以上建造师注册证书（或建造师临时执业证书），并取得安全生产考核合格证（B类</w:t>
      </w:r>
      <w:r>
        <w:rPr>
          <w:rFonts w:hint="eastAsia" w:cs="宋体" w:asciiTheme="majorEastAsia" w:hAnsiTheme="majorEastAsia" w:eastAsiaTheme="majorEastAsia"/>
          <w:bCs/>
          <w:sz w:val="24"/>
          <w:szCs w:val="24"/>
        </w:rPr>
        <w:t>）</w:t>
      </w:r>
      <w:r>
        <w:rPr>
          <w:rFonts w:cs="宋体" w:asciiTheme="majorEastAsia" w:hAnsiTheme="majorEastAsia" w:eastAsiaTheme="majorEastAsia"/>
          <w:bCs/>
          <w:sz w:val="24"/>
          <w:szCs w:val="24"/>
        </w:rPr>
        <w:t>。</w:t>
      </w:r>
    </w:p>
    <w:p>
      <w:pPr>
        <w:spacing w:line="440" w:lineRule="exact"/>
        <w:ind w:firstLine="480" w:firstLineChars="200"/>
        <w:rPr>
          <w:rFonts w:cs="宋体" w:asciiTheme="majorEastAsia" w:hAnsiTheme="majorEastAsia" w:eastAsiaTheme="majorEastAsia"/>
          <w:bCs/>
          <w:sz w:val="24"/>
          <w:szCs w:val="24"/>
        </w:rPr>
      </w:pPr>
      <w:r>
        <w:rPr>
          <w:rFonts w:hint="eastAsia" w:cs="宋体" w:asciiTheme="majorEastAsia" w:hAnsiTheme="majorEastAsia" w:eastAsiaTheme="majorEastAsia"/>
          <w:bCs/>
          <w:sz w:val="24"/>
          <w:szCs w:val="24"/>
        </w:rPr>
        <w:t>3.3项目负责人须为投标人本单位正式职工，从投标截止日当月向前连续6个月均在投标人本单位缴纳养老保险（例：如投标截止日期为2020年4月*日，则为2019年10月-2020年3月养老保险均在投标人本单位缴纳）。投标时无须提供证明材料，如有质疑或招标人要求，再按要求提供相关证明材料。</w:t>
      </w:r>
    </w:p>
    <w:p>
      <w:pPr>
        <w:spacing w:line="440" w:lineRule="exact"/>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3.4未被“信用中国”网站（www.creditchina.gov.cn）列入失信被执行人、重大税收违法案件当事人名单、政府采购严重失信行为记录名单。</w:t>
      </w:r>
    </w:p>
    <w:p>
      <w:pPr>
        <w:spacing w:line="440" w:lineRule="exact"/>
        <w:ind w:firstLine="480" w:firstLineChars="200"/>
        <w:rPr>
          <w:rFonts w:cs="宋体" w:asciiTheme="majorEastAsia" w:hAnsiTheme="majorEastAsia" w:eastAsiaTheme="majorEastAsia"/>
          <w:sz w:val="24"/>
          <w:szCs w:val="24"/>
        </w:rPr>
      </w:pPr>
      <w:r>
        <w:rPr>
          <w:rFonts w:hint="eastAsia" w:cs="宋体" w:asciiTheme="majorEastAsia" w:hAnsiTheme="majorEastAsia" w:eastAsiaTheme="majorEastAsia"/>
          <w:color w:val="444444"/>
          <w:sz w:val="24"/>
          <w:szCs w:val="24"/>
        </w:rPr>
        <w:t>3.5</w:t>
      </w:r>
      <w:r>
        <w:rPr>
          <w:rFonts w:hint="eastAsia" w:cs="宋体" w:asciiTheme="majorEastAsia" w:hAnsiTheme="majorEastAsia" w:eastAsiaTheme="majorEastAsia"/>
          <w:sz w:val="24"/>
          <w:szCs w:val="24"/>
        </w:rPr>
        <w:t>单位负责人为同一人或者存在直接控股、管理关系的不同供应商，不得参加同一合同项下的政府采购活动。</w:t>
      </w:r>
    </w:p>
    <w:p>
      <w:pPr>
        <w:spacing w:line="440" w:lineRule="exact"/>
        <w:ind w:firstLine="482" w:firstLineChars="200"/>
        <w:rPr>
          <w:rFonts w:cs="宋体" w:asciiTheme="majorEastAsia" w:hAnsiTheme="majorEastAsia" w:eastAsiaTheme="majorEastAsia"/>
          <w:b/>
          <w:bCs/>
          <w:sz w:val="24"/>
          <w:szCs w:val="24"/>
        </w:rPr>
      </w:pPr>
      <w:r>
        <w:rPr>
          <w:rFonts w:hint="eastAsia" w:cs="宋体" w:asciiTheme="majorEastAsia" w:hAnsiTheme="majorEastAsia" w:eastAsiaTheme="majorEastAsia"/>
          <w:b/>
          <w:bCs/>
          <w:sz w:val="24"/>
          <w:szCs w:val="24"/>
        </w:rPr>
        <w:t>三、获取招标文件</w:t>
      </w:r>
      <w:bookmarkEnd w:id="15"/>
      <w:bookmarkEnd w:id="16"/>
      <w:bookmarkEnd w:id="17"/>
      <w:bookmarkEnd w:id="18"/>
    </w:p>
    <w:p>
      <w:pPr>
        <w:spacing w:line="440" w:lineRule="exact"/>
        <w:ind w:firstLine="540"/>
        <w:rPr>
          <w:rFonts w:ascii="宋体" w:hAnsi="宋体"/>
          <w:bCs/>
          <w:color w:val="000000" w:themeColor="text1"/>
          <w:sz w:val="24"/>
          <w:szCs w:val="24"/>
        </w:rPr>
      </w:pPr>
      <w:bookmarkStart w:id="19" w:name="_Toc28359005"/>
      <w:bookmarkStart w:id="20" w:name="_Toc28359082"/>
      <w:bookmarkStart w:id="21" w:name="_Toc35393624"/>
      <w:bookmarkStart w:id="22" w:name="_Toc35393793"/>
      <w:r>
        <w:rPr>
          <w:rFonts w:hint="eastAsia" w:ascii="宋体" w:hAnsi="宋体"/>
          <w:bCs/>
          <w:color w:val="000000" w:themeColor="text1"/>
          <w:sz w:val="24"/>
          <w:szCs w:val="24"/>
        </w:rPr>
        <w:t>时间：2021年10月 22 日至2021年10月 28 日，每天上午8:30至11:30，下午14:00至17:00。（北京时间，法定节假日除外）。</w:t>
      </w:r>
    </w:p>
    <w:p>
      <w:pPr>
        <w:spacing w:line="440" w:lineRule="exact"/>
        <w:ind w:firstLine="540"/>
        <w:rPr>
          <w:rFonts w:ascii="宋体" w:hAnsi="宋体"/>
          <w:bCs/>
          <w:color w:val="000000" w:themeColor="text1"/>
          <w:sz w:val="24"/>
          <w:szCs w:val="24"/>
        </w:rPr>
      </w:pPr>
      <w:r>
        <w:rPr>
          <w:rFonts w:hint="eastAsia" w:ascii="宋体" w:hAnsi="宋体"/>
          <w:bCs/>
          <w:color w:val="000000" w:themeColor="text1"/>
          <w:sz w:val="24"/>
          <w:szCs w:val="24"/>
        </w:rPr>
        <w:t>地点：盐城市青年中路14号（疫情防控期间，网上报名采用电子邮件方式发送招标文件）。</w:t>
      </w:r>
    </w:p>
    <w:p>
      <w:pPr>
        <w:spacing w:line="440" w:lineRule="exact"/>
        <w:ind w:firstLine="540"/>
        <w:rPr>
          <w:rFonts w:ascii="宋体" w:hAnsi="宋体"/>
          <w:bCs/>
          <w:color w:val="000000" w:themeColor="text1"/>
          <w:sz w:val="24"/>
          <w:szCs w:val="24"/>
        </w:rPr>
      </w:pPr>
      <w:r>
        <w:rPr>
          <w:rFonts w:hint="eastAsia" w:ascii="宋体" w:hAnsi="宋体"/>
          <w:bCs/>
          <w:color w:val="000000" w:themeColor="text1"/>
          <w:sz w:val="24"/>
          <w:szCs w:val="24"/>
        </w:rPr>
        <w:t>方式：网上获取，请发送《单位介绍信》或法人委托书、联系人身份证扫描件到指定邮箱进行投标报名（联系电话：15295318333   邮箱地址：15295318333@163.com）：注：报名邮件、附件资料请以“</w:t>
      </w:r>
      <w:r>
        <w:rPr>
          <w:rFonts w:ascii="宋体" w:hAnsi="宋体"/>
          <w:b/>
          <w:bCs/>
          <w:color w:val="000000" w:themeColor="text1"/>
          <w:sz w:val="24"/>
          <w:szCs w:val="24"/>
        </w:rPr>
        <w:t>SY2021-0</w:t>
      </w:r>
      <w:r>
        <w:rPr>
          <w:rFonts w:hint="eastAsia" w:ascii="宋体" w:hAnsi="宋体"/>
          <w:b/>
          <w:bCs/>
          <w:color w:val="000000" w:themeColor="text1"/>
          <w:sz w:val="24"/>
          <w:szCs w:val="24"/>
        </w:rPr>
        <w:t>76</w:t>
      </w:r>
      <w:r>
        <w:rPr>
          <w:rFonts w:ascii="宋体" w:hAnsi="宋体"/>
          <w:b/>
          <w:bCs/>
          <w:color w:val="000000" w:themeColor="text1"/>
          <w:sz w:val="24"/>
          <w:szCs w:val="24"/>
        </w:rPr>
        <w:t>-</w:t>
      </w:r>
      <w:r>
        <w:rPr>
          <w:rFonts w:hint="eastAsia" w:ascii="宋体" w:hAnsi="宋体"/>
          <w:b/>
          <w:bCs/>
          <w:color w:val="000000" w:themeColor="text1"/>
          <w:sz w:val="24"/>
          <w:szCs w:val="24"/>
        </w:rPr>
        <w:t>GC</w:t>
      </w:r>
      <w:r>
        <w:rPr>
          <w:rFonts w:ascii="宋体" w:hAnsi="宋体"/>
          <w:b/>
          <w:bCs/>
          <w:color w:val="000000" w:themeColor="text1"/>
          <w:sz w:val="24"/>
          <w:szCs w:val="24"/>
        </w:rPr>
        <w:t xml:space="preserve">-JC </w:t>
      </w:r>
      <w:r>
        <w:rPr>
          <w:rFonts w:hint="eastAsia" w:ascii="宋体" w:hAnsi="宋体"/>
          <w:b/>
          <w:bCs/>
          <w:color w:val="000000" w:themeColor="text1"/>
          <w:sz w:val="24"/>
          <w:szCs w:val="24"/>
        </w:rPr>
        <w:t>江苏医药职业学院博士后基地C5楼外环境改造工程项目+单位名称+联系人+手机号码</w:t>
      </w:r>
      <w:r>
        <w:rPr>
          <w:rFonts w:hint="eastAsia" w:ascii="宋体" w:hAnsi="宋体"/>
          <w:bCs/>
          <w:color w:val="000000" w:themeColor="text1"/>
          <w:sz w:val="24"/>
          <w:szCs w:val="24"/>
        </w:rPr>
        <w:t>”命名，报名成功的投标单位在报名相关资料费交纳后将会收到本项目的电子版招标文件。</w:t>
      </w:r>
    </w:p>
    <w:p>
      <w:pPr>
        <w:spacing w:line="440" w:lineRule="exact"/>
        <w:ind w:firstLine="540"/>
        <w:rPr>
          <w:rFonts w:ascii="宋体" w:hAnsi="宋体"/>
          <w:bCs/>
          <w:color w:val="000000" w:themeColor="text1"/>
          <w:sz w:val="24"/>
          <w:szCs w:val="24"/>
        </w:rPr>
      </w:pPr>
      <w:r>
        <w:rPr>
          <w:rFonts w:hint="eastAsia" w:ascii="宋体" w:hAnsi="宋体"/>
          <w:bCs/>
          <w:color w:val="000000" w:themeColor="text1"/>
          <w:sz w:val="24"/>
          <w:szCs w:val="24"/>
        </w:rPr>
        <w:t>售价：报名相关资料费人民币400元。</w:t>
      </w:r>
    </w:p>
    <w:bookmarkEnd w:id="1"/>
    <w:bookmarkEnd w:id="2"/>
    <w:bookmarkEnd w:id="3"/>
    <w:bookmarkEnd w:id="4"/>
    <w:bookmarkEnd w:id="5"/>
    <w:bookmarkEnd w:id="19"/>
    <w:bookmarkEnd w:id="20"/>
    <w:bookmarkEnd w:id="21"/>
    <w:bookmarkEnd w:id="22"/>
    <w:p>
      <w:pPr>
        <w:spacing w:line="440" w:lineRule="exact"/>
        <w:ind w:firstLine="540"/>
        <w:rPr>
          <w:rFonts w:cs="宋体" w:asciiTheme="majorEastAsia" w:hAnsiTheme="majorEastAsia" w:eastAsiaTheme="majorEastAsia"/>
          <w:color w:val="000000" w:themeColor="text1"/>
          <w:sz w:val="24"/>
          <w:szCs w:val="24"/>
        </w:rPr>
      </w:pPr>
      <w:bookmarkStart w:id="23" w:name="_Toc513029242"/>
      <w:bookmarkStart w:id="24" w:name="_Toc120614221"/>
      <w:bookmarkStart w:id="25" w:name="_Toc479757207"/>
      <w:bookmarkStart w:id="26" w:name="_Toc20823314"/>
      <w:bookmarkStart w:id="27" w:name="_Toc16938558"/>
      <w:r>
        <w:rPr>
          <w:rFonts w:hint="eastAsia" w:cs="宋体" w:asciiTheme="majorEastAsia" w:hAnsiTheme="majorEastAsia" w:eastAsiaTheme="majorEastAsia"/>
          <w:b/>
          <w:bCs/>
          <w:color w:val="000000" w:themeColor="text1"/>
          <w:sz w:val="24"/>
          <w:szCs w:val="24"/>
        </w:rPr>
        <w:t>四、提交投标文件截止时间、开标时间和地</w:t>
      </w:r>
      <w:r>
        <w:rPr>
          <w:rFonts w:hint="eastAsia" w:cs="宋体" w:asciiTheme="majorEastAsia" w:hAnsiTheme="majorEastAsia" w:eastAsiaTheme="majorEastAsia"/>
          <w:color w:val="000000" w:themeColor="text1"/>
          <w:sz w:val="24"/>
          <w:szCs w:val="24"/>
        </w:rPr>
        <w:t>点</w:t>
      </w:r>
    </w:p>
    <w:p>
      <w:pPr>
        <w:spacing w:line="440" w:lineRule="exact"/>
        <w:ind w:firstLine="480" w:firstLineChars="200"/>
        <w:rPr>
          <w:rFonts w:cs="宋体" w:asciiTheme="majorEastAsia" w:hAnsiTheme="majorEastAsia" w:eastAsiaTheme="majorEastAsia"/>
          <w:bCs/>
          <w:color w:val="000000" w:themeColor="text1"/>
          <w:sz w:val="24"/>
          <w:szCs w:val="24"/>
          <w:u w:val="single"/>
        </w:rPr>
      </w:pPr>
      <w:r>
        <w:rPr>
          <w:rFonts w:hint="eastAsia" w:cs="宋体" w:asciiTheme="majorEastAsia" w:hAnsiTheme="majorEastAsia" w:eastAsiaTheme="majorEastAsia"/>
          <w:color w:val="000000" w:themeColor="text1"/>
          <w:sz w:val="24"/>
          <w:szCs w:val="24"/>
          <w:u w:val="single"/>
        </w:rPr>
        <w:t>2021</w:t>
      </w:r>
      <w:r>
        <w:rPr>
          <w:rFonts w:hint="eastAsia" w:cs="宋体" w:asciiTheme="majorEastAsia" w:hAnsiTheme="majorEastAsia" w:eastAsiaTheme="majorEastAsia"/>
          <w:bCs/>
          <w:color w:val="000000" w:themeColor="text1"/>
          <w:sz w:val="24"/>
          <w:szCs w:val="24"/>
          <w:u w:val="single"/>
        </w:rPr>
        <w:t>年11月 1 日15点00分</w:t>
      </w:r>
      <w:r>
        <w:rPr>
          <w:rFonts w:hint="eastAsia" w:cs="宋体" w:asciiTheme="majorEastAsia" w:hAnsiTheme="majorEastAsia" w:eastAsiaTheme="majorEastAsia"/>
          <w:bCs/>
          <w:color w:val="000000" w:themeColor="text1"/>
          <w:sz w:val="24"/>
          <w:szCs w:val="24"/>
        </w:rPr>
        <w:t>（北京时间）</w:t>
      </w:r>
    </w:p>
    <w:p>
      <w:pPr>
        <w:spacing w:line="440" w:lineRule="exact"/>
        <w:ind w:firstLine="480" w:firstLineChars="200"/>
        <w:rPr>
          <w:rFonts w:cs="宋体" w:asciiTheme="majorEastAsia" w:hAnsiTheme="majorEastAsia" w:eastAsiaTheme="majorEastAsia"/>
          <w:color w:val="000000" w:themeColor="text1"/>
          <w:sz w:val="24"/>
          <w:szCs w:val="24"/>
        </w:rPr>
      </w:pPr>
      <w:r>
        <w:rPr>
          <w:rFonts w:hint="eastAsia" w:cs="宋体" w:asciiTheme="majorEastAsia" w:hAnsiTheme="majorEastAsia" w:eastAsiaTheme="majorEastAsia"/>
          <w:color w:val="000000" w:themeColor="text1"/>
          <w:sz w:val="24"/>
          <w:szCs w:val="24"/>
        </w:rPr>
        <w:t>地点：</w:t>
      </w:r>
      <w:bookmarkStart w:id="28" w:name="_Toc28359007"/>
      <w:bookmarkStart w:id="29" w:name="_Toc35393794"/>
      <w:bookmarkStart w:id="30" w:name="_Toc28359084"/>
      <w:bookmarkStart w:id="31" w:name="_Toc35393625"/>
      <w:r>
        <w:rPr>
          <w:rFonts w:hint="eastAsia" w:cs="宋体" w:asciiTheme="majorEastAsia" w:hAnsiTheme="majorEastAsia" w:eastAsiaTheme="majorEastAsia"/>
          <w:bCs/>
          <w:color w:val="000000" w:themeColor="text1"/>
          <w:sz w:val="24"/>
          <w:szCs w:val="24"/>
        </w:rPr>
        <w:t>江苏医药职业学院（盐城市解放南路</w:t>
      </w:r>
      <w:r>
        <w:rPr>
          <w:rFonts w:cs="宋体" w:asciiTheme="majorEastAsia" w:hAnsiTheme="majorEastAsia" w:eastAsiaTheme="majorEastAsia"/>
          <w:bCs/>
          <w:color w:val="000000" w:themeColor="text1"/>
          <w:sz w:val="24"/>
          <w:szCs w:val="24"/>
        </w:rPr>
        <w:t>283</w:t>
      </w:r>
      <w:r>
        <w:rPr>
          <w:rFonts w:hint="eastAsia" w:cs="宋体" w:asciiTheme="majorEastAsia" w:hAnsiTheme="majorEastAsia" w:eastAsiaTheme="majorEastAsia"/>
          <w:bCs/>
          <w:color w:val="000000" w:themeColor="text1"/>
          <w:sz w:val="24"/>
          <w:szCs w:val="24"/>
        </w:rPr>
        <w:t>号）行政楼</w:t>
      </w:r>
      <w:r>
        <w:rPr>
          <w:rFonts w:cs="宋体" w:asciiTheme="majorEastAsia" w:hAnsiTheme="majorEastAsia" w:eastAsiaTheme="majorEastAsia"/>
          <w:bCs/>
          <w:color w:val="000000" w:themeColor="text1"/>
          <w:sz w:val="24"/>
          <w:szCs w:val="24"/>
        </w:rPr>
        <w:t>210</w:t>
      </w:r>
      <w:r>
        <w:rPr>
          <w:rFonts w:hint="eastAsia" w:cs="宋体" w:asciiTheme="majorEastAsia" w:hAnsiTheme="majorEastAsia" w:eastAsiaTheme="majorEastAsia"/>
          <w:bCs/>
          <w:color w:val="000000" w:themeColor="text1"/>
          <w:sz w:val="24"/>
          <w:szCs w:val="24"/>
        </w:rPr>
        <w:t>室。</w:t>
      </w:r>
    </w:p>
    <w:p>
      <w:pPr>
        <w:spacing w:line="440" w:lineRule="exact"/>
        <w:ind w:firstLine="482" w:firstLineChars="200"/>
        <w:rPr>
          <w:rFonts w:cs="宋体" w:asciiTheme="majorEastAsia" w:hAnsiTheme="majorEastAsia" w:eastAsiaTheme="majorEastAsia"/>
          <w:color w:val="000000" w:themeColor="text1"/>
          <w:sz w:val="24"/>
          <w:szCs w:val="24"/>
        </w:rPr>
      </w:pPr>
      <w:r>
        <w:rPr>
          <w:rFonts w:hint="eastAsia" w:cs="宋体" w:asciiTheme="majorEastAsia" w:hAnsiTheme="majorEastAsia" w:eastAsiaTheme="majorEastAsia"/>
          <w:b/>
          <w:bCs/>
          <w:color w:val="000000" w:themeColor="text1"/>
          <w:sz w:val="24"/>
          <w:szCs w:val="24"/>
        </w:rPr>
        <w:t>五、公告期限</w:t>
      </w:r>
      <w:bookmarkEnd w:id="28"/>
      <w:bookmarkEnd w:id="29"/>
      <w:bookmarkEnd w:id="30"/>
      <w:bookmarkEnd w:id="31"/>
    </w:p>
    <w:p>
      <w:pPr>
        <w:spacing w:line="44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自本公告发布之日起5个工作日。</w:t>
      </w:r>
      <w:bookmarkStart w:id="32" w:name="_Toc35393626"/>
      <w:bookmarkStart w:id="33" w:name="_Toc35393795"/>
    </w:p>
    <w:p>
      <w:pPr>
        <w:numPr>
          <w:ilvl w:val="0"/>
          <w:numId w:val="1"/>
        </w:numPr>
        <w:spacing w:line="440" w:lineRule="exact"/>
        <w:ind w:firstLine="482" w:firstLineChars="200"/>
        <w:rPr>
          <w:rFonts w:cs="宋体" w:asciiTheme="majorEastAsia" w:hAnsiTheme="majorEastAsia" w:eastAsiaTheme="majorEastAsia"/>
          <w:b/>
          <w:bCs/>
          <w:color w:val="000000" w:themeColor="text1"/>
          <w:sz w:val="24"/>
          <w:szCs w:val="24"/>
        </w:rPr>
      </w:pPr>
      <w:r>
        <w:rPr>
          <w:rFonts w:hint="eastAsia" w:cs="宋体" w:asciiTheme="majorEastAsia" w:hAnsiTheme="majorEastAsia" w:eastAsiaTheme="majorEastAsia"/>
          <w:b/>
          <w:bCs/>
          <w:color w:val="000000" w:themeColor="text1"/>
          <w:sz w:val="24"/>
          <w:szCs w:val="24"/>
        </w:rPr>
        <w:t>其他补充事宜</w:t>
      </w:r>
      <w:bookmarkEnd w:id="32"/>
      <w:bookmarkEnd w:id="33"/>
    </w:p>
    <w:p>
      <w:pPr>
        <w:spacing w:line="440" w:lineRule="exact"/>
        <w:ind w:firstLine="480" w:firstLineChars="200"/>
        <w:rPr>
          <w:rFonts w:cs="宋体" w:asciiTheme="majorEastAsia" w:hAnsiTheme="majorEastAsia" w:eastAsiaTheme="majorEastAsia"/>
          <w:bCs/>
          <w:color w:val="000000" w:themeColor="text1"/>
          <w:sz w:val="24"/>
          <w:szCs w:val="24"/>
        </w:rPr>
      </w:pPr>
      <w:bookmarkStart w:id="34" w:name="_Toc35393796"/>
      <w:bookmarkStart w:id="35" w:name="_Toc35393627"/>
      <w:bookmarkStart w:id="36" w:name="_Toc28359085"/>
      <w:bookmarkStart w:id="37" w:name="_Toc28359008"/>
      <w:r>
        <w:rPr>
          <w:rFonts w:hint="eastAsia" w:cs="宋体" w:asciiTheme="majorEastAsia" w:hAnsiTheme="majorEastAsia" w:eastAsiaTheme="majorEastAsia"/>
          <w:bCs/>
          <w:color w:val="000000" w:themeColor="text1"/>
          <w:sz w:val="24"/>
          <w:szCs w:val="24"/>
        </w:rPr>
        <w:t>1.投标文件要求提供正本</w:t>
      </w:r>
      <w:r>
        <w:rPr>
          <w:rFonts w:cs="宋体" w:asciiTheme="majorEastAsia" w:hAnsiTheme="majorEastAsia" w:eastAsiaTheme="majorEastAsia"/>
          <w:bCs/>
          <w:color w:val="000000" w:themeColor="text1"/>
          <w:sz w:val="24"/>
          <w:szCs w:val="24"/>
        </w:rPr>
        <w:t>1</w:t>
      </w:r>
      <w:r>
        <w:rPr>
          <w:rFonts w:hint="eastAsia" w:cs="宋体" w:asciiTheme="majorEastAsia" w:hAnsiTheme="majorEastAsia" w:eastAsiaTheme="majorEastAsia"/>
          <w:bCs/>
          <w:color w:val="000000" w:themeColor="text1"/>
          <w:sz w:val="24"/>
          <w:szCs w:val="24"/>
        </w:rPr>
        <w:t>份，副本4份。</w:t>
      </w:r>
    </w:p>
    <w:p>
      <w:pPr>
        <w:spacing w:line="440" w:lineRule="exact"/>
        <w:ind w:firstLine="420" w:firstLineChars="175"/>
        <w:rPr>
          <w:rStyle w:val="126"/>
          <w:rFonts w:ascii="宋体" w:hAnsi="宋体" w:cs="宋体"/>
          <w:bCs/>
          <w:color w:val="000000"/>
          <w:sz w:val="24"/>
        </w:rPr>
      </w:pPr>
      <w:r>
        <w:rPr>
          <w:rStyle w:val="126"/>
          <w:rFonts w:hint="eastAsia" w:ascii="宋体" w:hAnsi="宋体" w:cs="宋体"/>
          <w:bCs/>
          <w:color w:val="000000"/>
          <w:sz w:val="24"/>
        </w:rPr>
        <w:t>2.疫情防控期间投标人注意事项</w:t>
      </w:r>
    </w:p>
    <w:p>
      <w:pPr>
        <w:spacing w:line="440" w:lineRule="exact"/>
        <w:ind w:firstLine="420" w:firstLineChars="175"/>
        <w:rPr>
          <w:rStyle w:val="126"/>
          <w:rFonts w:ascii="宋体" w:hAnsi="宋体" w:cs="宋体"/>
          <w:bCs/>
          <w:color w:val="000000"/>
          <w:sz w:val="24"/>
        </w:rPr>
      </w:pPr>
      <w:r>
        <w:rPr>
          <w:rStyle w:val="126"/>
          <w:rFonts w:hint="eastAsia" w:ascii="宋体" w:hAnsi="宋体" w:cs="宋体"/>
          <w:bCs/>
          <w:color w:val="000000"/>
          <w:sz w:val="24"/>
        </w:rPr>
        <w:t>2.1本项目处于疫情防控期间，因需登记相关信息，耽误时间可能较长，投标人可提前半小时，从位于盐城市解放南路283号江苏医药职业学院南门进入，进门前请投标人配戴口罩，通过手机出示“苏康码”、“通信大数据行程卡”，接受体温检测。如遇阻，请联系：刘老师，联系电话：0515-88550311。</w:t>
      </w:r>
    </w:p>
    <w:p>
      <w:pPr>
        <w:spacing w:line="440" w:lineRule="exact"/>
        <w:ind w:firstLine="420" w:firstLineChars="175"/>
        <w:rPr>
          <w:rStyle w:val="126"/>
          <w:rFonts w:ascii="宋体" w:hAnsi="宋体" w:cs="宋体"/>
          <w:bCs/>
          <w:color w:val="000000"/>
          <w:sz w:val="24"/>
        </w:rPr>
      </w:pPr>
      <w:r>
        <w:rPr>
          <w:rStyle w:val="126"/>
          <w:rFonts w:hint="eastAsia" w:ascii="宋体" w:hAnsi="宋体" w:cs="宋体"/>
          <w:bCs/>
          <w:color w:val="000000"/>
          <w:sz w:val="24"/>
        </w:rPr>
        <w:t>2.2各投标人请慎重选择出席开标会议人员，如因显示其他颜色导致无法进入学校，责任自负。</w:t>
      </w:r>
    </w:p>
    <w:p>
      <w:pPr>
        <w:spacing w:line="440" w:lineRule="exact"/>
        <w:ind w:firstLine="420" w:firstLineChars="175"/>
        <w:rPr>
          <w:rStyle w:val="126"/>
        </w:rPr>
      </w:pPr>
      <w:r>
        <w:rPr>
          <w:rStyle w:val="126"/>
          <w:rFonts w:hint="eastAsia" w:ascii="宋体" w:hAnsi="宋体" w:cs="宋体"/>
          <w:bCs/>
          <w:color w:val="000000"/>
          <w:sz w:val="24"/>
        </w:rPr>
        <w:t>2.3投标人进入开标场所后应在指定地点参与投标活动，不到非相关场所活动；投标工作结束后应立即离开现场，不得逗留。</w:t>
      </w:r>
    </w:p>
    <w:p>
      <w:pPr>
        <w:numPr>
          <w:ilvl w:val="0"/>
          <w:numId w:val="1"/>
        </w:numPr>
        <w:spacing w:line="440" w:lineRule="exact"/>
        <w:ind w:firstLine="482" w:firstLineChars="200"/>
        <w:rPr>
          <w:rFonts w:cs="宋体" w:asciiTheme="majorEastAsia" w:hAnsiTheme="majorEastAsia" w:eastAsiaTheme="majorEastAsia"/>
          <w:b/>
          <w:bCs/>
          <w:color w:val="000000" w:themeColor="text1"/>
          <w:sz w:val="24"/>
          <w:szCs w:val="24"/>
        </w:rPr>
      </w:pPr>
      <w:r>
        <w:rPr>
          <w:rFonts w:hint="eastAsia" w:cs="宋体" w:asciiTheme="majorEastAsia" w:hAnsiTheme="majorEastAsia" w:eastAsiaTheme="majorEastAsia"/>
          <w:b/>
          <w:bCs/>
          <w:color w:val="000000" w:themeColor="text1"/>
          <w:sz w:val="24"/>
          <w:szCs w:val="24"/>
        </w:rPr>
        <w:t>对本次招标提出询问，请按以下方式联系。</w:t>
      </w:r>
      <w:bookmarkEnd w:id="34"/>
      <w:bookmarkEnd w:id="35"/>
      <w:bookmarkEnd w:id="36"/>
      <w:bookmarkEnd w:id="37"/>
      <w:bookmarkStart w:id="38" w:name="_Toc28359096"/>
      <w:bookmarkStart w:id="39" w:name="_Toc35393637"/>
      <w:bookmarkStart w:id="40" w:name="_Toc35393806"/>
      <w:bookmarkStart w:id="41" w:name="_Toc28359019"/>
    </w:p>
    <w:p>
      <w:pPr>
        <w:spacing w:line="440" w:lineRule="exact"/>
        <w:ind w:left="1080" w:leftChars="371" w:hanging="301" w:hangingChars="125"/>
        <w:jc w:val="left"/>
        <w:rPr>
          <w:rFonts w:cs="宋体" w:asciiTheme="majorEastAsia" w:hAnsiTheme="majorEastAsia" w:eastAsiaTheme="majorEastAsia"/>
          <w:b/>
          <w:color w:val="000000" w:themeColor="text1"/>
          <w:sz w:val="24"/>
          <w:szCs w:val="24"/>
        </w:rPr>
      </w:pPr>
      <w:r>
        <w:rPr>
          <w:rFonts w:hint="eastAsia" w:cs="宋体" w:asciiTheme="majorEastAsia" w:hAnsiTheme="majorEastAsia" w:eastAsiaTheme="majorEastAsia"/>
          <w:b/>
          <w:color w:val="000000" w:themeColor="text1"/>
          <w:sz w:val="24"/>
          <w:szCs w:val="24"/>
        </w:rPr>
        <w:t>1.采购人信息</w:t>
      </w:r>
      <w:bookmarkEnd w:id="38"/>
      <w:bookmarkEnd w:id="39"/>
      <w:bookmarkEnd w:id="40"/>
      <w:bookmarkEnd w:id="41"/>
    </w:p>
    <w:p>
      <w:pPr>
        <w:spacing w:line="440" w:lineRule="exact"/>
        <w:ind w:left="1079" w:leftChars="371" w:hanging="300" w:hangingChars="125"/>
        <w:jc w:val="left"/>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名    称：江苏医药职业学院</w:t>
      </w:r>
    </w:p>
    <w:p>
      <w:pPr>
        <w:spacing w:line="440" w:lineRule="exact"/>
        <w:ind w:left="1079" w:leftChars="371" w:hanging="300" w:hangingChars="125"/>
        <w:jc w:val="left"/>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地    址：盐城市解放南路</w:t>
      </w:r>
      <w:r>
        <w:rPr>
          <w:rFonts w:cs="宋体" w:asciiTheme="majorEastAsia" w:hAnsiTheme="majorEastAsia" w:eastAsiaTheme="majorEastAsia"/>
          <w:bCs/>
          <w:color w:val="000000" w:themeColor="text1"/>
          <w:sz w:val="24"/>
          <w:szCs w:val="24"/>
        </w:rPr>
        <w:t>283</w:t>
      </w:r>
      <w:r>
        <w:rPr>
          <w:rFonts w:hint="eastAsia" w:cs="宋体" w:asciiTheme="majorEastAsia" w:hAnsiTheme="majorEastAsia" w:eastAsiaTheme="majorEastAsia"/>
          <w:bCs/>
          <w:color w:val="000000" w:themeColor="text1"/>
          <w:sz w:val="24"/>
          <w:szCs w:val="24"/>
        </w:rPr>
        <w:t>号</w:t>
      </w:r>
    </w:p>
    <w:p>
      <w:pPr>
        <w:spacing w:line="440" w:lineRule="exact"/>
        <w:ind w:left="1079" w:leftChars="371" w:hanging="300" w:hangingChars="125"/>
        <w:jc w:val="left"/>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 xml:space="preserve">联 系 人：刘老师      </w:t>
      </w:r>
    </w:p>
    <w:p>
      <w:pPr>
        <w:spacing w:line="440" w:lineRule="exact"/>
        <w:ind w:left="1079" w:leftChars="371" w:hanging="300" w:hangingChars="125"/>
        <w:jc w:val="left"/>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联系电话：</w:t>
      </w:r>
      <w:bookmarkStart w:id="42" w:name="_Toc35393638"/>
      <w:bookmarkStart w:id="43" w:name="_Toc28359097"/>
      <w:bookmarkStart w:id="44" w:name="_Toc35393807"/>
      <w:bookmarkStart w:id="45" w:name="_Toc28359020"/>
      <w:r>
        <w:rPr>
          <w:rFonts w:cs="宋体" w:asciiTheme="majorEastAsia" w:hAnsiTheme="majorEastAsia" w:eastAsiaTheme="majorEastAsia"/>
          <w:bCs/>
          <w:color w:val="000000" w:themeColor="text1"/>
          <w:sz w:val="24"/>
          <w:szCs w:val="24"/>
        </w:rPr>
        <w:t>0515-88550311</w:t>
      </w:r>
    </w:p>
    <w:p>
      <w:pPr>
        <w:spacing w:line="440" w:lineRule="exact"/>
        <w:ind w:left="1080" w:leftChars="371" w:hanging="301" w:hangingChars="125"/>
        <w:jc w:val="left"/>
        <w:rPr>
          <w:rFonts w:cs="宋体" w:asciiTheme="majorEastAsia" w:hAnsiTheme="majorEastAsia" w:eastAsiaTheme="majorEastAsia"/>
          <w:b/>
          <w:color w:val="000000" w:themeColor="text1"/>
          <w:sz w:val="24"/>
          <w:szCs w:val="24"/>
        </w:rPr>
      </w:pPr>
      <w:r>
        <w:rPr>
          <w:rFonts w:hint="eastAsia" w:cs="宋体" w:asciiTheme="majorEastAsia" w:hAnsiTheme="majorEastAsia" w:eastAsiaTheme="majorEastAsia"/>
          <w:b/>
          <w:color w:val="000000" w:themeColor="text1"/>
          <w:sz w:val="24"/>
          <w:szCs w:val="24"/>
        </w:rPr>
        <w:t>2.采购代理机构信息</w:t>
      </w:r>
      <w:bookmarkEnd w:id="42"/>
      <w:bookmarkEnd w:id="43"/>
      <w:bookmarkEnd w:id="44"/>
      <w:bookmarkEnd w:id="45"/>
    </w:p>
    <w:p>
      <w:pPr>
        <w:spacing w:line="440" w:lineRule="exact"/>
        <w:ind w:firstLine="720" w:firstLineChars="3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名    称：盐城市天平建设监理有限公司</w:t>
      </w:r>
    </w:p>
    <w:p>
      <w:pPr>
        <w:spacing w:line="440" w:lineRule="exact"/>
        <w:ind w:firstLine="720" w:firstLineChars="3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地　　址：盐城市青年中路14号</w:t>
      </w:r>
    </w:p>
    <w:p>
      <w:pPr>
        <w:spacing w:line="440" w:lineRule="exact"/>
        <w:ind w:firstLine="720" w:firstLineChars="300"/>
        <w:jc w:val="left"/>
        <w:rPr>
          <w:rFonts w:cs="宋体" w:asciiTheme="majorEastAsia" w:hAnsiTheme="majorEastAsia" w:eastAsiaTheme="majorEastAsia"/>
          <w:bCs/>
          <w:color w:val="000000" w:themeColor="text1"/>
          <w:sz w:val="24"/>
          <w:szCs w:val="24"/>
        </w:rPr>
      </w:pPr>
      <w:bookmarkStart w:id="46" w:name="_Toc28359021"/>
      <w:bookmarkStart w:id="47" w:name="_Toc28359098"/>
      <w:bookmarkStart w:id="48" w:name="_Toc35393639"/>
      <w:bookmarkStart w:id="49" w:name="_Toc35393808"/>
      <w:r>
        <w:rPr>
          <w:rFonts w:hint="eastAsia" w:cs="宋体" w:asciiTheme="majorEastAsia" w:hAnsiTheme="majorEastAsia" w:eastAsiaTheme="majorEastAsia"/>
          <w:bCs/>
          <w:color w:val="000000" w:themeColor="text1"/>
          <w:sz w:val="24"/>
          <w:szCs w:val="24"/>
        </w:rPr>
        <w:t xml:space="preserve">联 系 人：周雷明             </w:t>
      </w:r>
    </w:p>
    <w:p>
      <w:pPr>
        <w:spacing w:line="440" w:lineRule="exact"/>
        <w:ind w:left="1079" w:leftChars="338" w:hanging="369" w:hangingChars="154"/>
        <w:jc w:val="left"/>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联系电话：0515-87064065</w:t>
      </w:r>
    </w:p>
    <w:p>
      <w:pPr>
        <w:spacing w:line="440" w:lineRule="exact"/>
        <w:ind w:left="1079" w:leftChars="338" w:hanging="369" w:hangingChars="153"/>
        <w:jc w:val="left"/>
        <w:rPr>
          <w:rFonts w:cs="宋体" w:asciiTheme="majorEastAsia" w:hAnsiTheme="majorEastAsia" w:eastAsiaTheme="majorEastAsia"/>
          <w:b/>
          <w:color w:val="000000" w:themeColor="text1"/>
          <w:sz w:val="24"/>
          <w:szCs w:val="24"/>
        </w:rPr>
      </w:pPr>
      <w:r>
        <w:rPr>
          <w:rFonts w:hint="eastAsia" w:cs="宋体" w:asciiTheme="majorEastAsia" w:hAnsiTheme="majorEastAsia" w:eastAsiaTheme="majorEastAsia"/>
          <w:b/>
          <w:color w:val="000000" w:themeColor="text1"/>
          <w:sz w:val="24"/>
          <w:szCs w:val="24"/>
        </w:rPr>
        <w:t>3.项目联系人</w:t>
      </w:r>
    </w:p>
    <w:bookmarkEnd w:id="46"/>
    <w:bookmarkEnd w:id="47"/>
    <w:bookmarkEnd w:id="48"/>
    <w:bookmarkEnd w:id="49"/>
    <w:p>
      <w:pPr>
        <w:spacing w:line="440" w:lineRule="exact"/>
        <w:ind w:firstLine="720" w:firstLineChars="300"/>
        <w:jc w:val="left"/>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联系人：周老师</w:t>
      </w:r>
    </w:p>
    <w:p>
      <w:pPr>
        <w:spacing w:line="440" w:lineRule="exact"/>
        <w:ind w:firstLine="720" w:firstLineChars="300"/>
        <w:jc w:val="left"/>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联系电话：</w:t>
      </w:r>
      <w:r>
        <w:rPr>
          <w:rFonts w:cs="宋体" w:asciiTheme="majorEastAsia" w:hAnsiTheme="majorEastAsia" w:eastAsiaTheme="majorEastAsia"/>
          <w:bCs/>
          <w:color w:val="000000" w:themeColor="text1"/>
          <w:sz w:val="24"/>
          <w:szCs w:val="24"/>
        </w:rPr>
        <w:t>18205111528</w:t>
      </w:r>
      <w:r>
        <w:rPr>
          <w:rFonts w:hint="eastAsia" w:cs="宋体" w:asciiTheme="majorEastAsia" w:hAnsiTheme="majorEastAsia" w:eastAsiaTheme="majorEastAsia"/>
          <w:bCs/>
          <w:color w:val="000000" w:themeColor="text1"/>
          <w:sz w:val="24"/>
          <w:szCs w:val="24"/>
        </w:rPr>
        <w:t xml:space="preserve">  </w:t>
      </w:r>
    </w:p>
    <w:p>
      <w:pPr>
        <w:spacing w:line="440" w:lineRule="exact"/>
        <w:ind w:firstLine="708" w:firstLineChars="294"/>
        <w:jc w:val="left"/>
        <w:rPr>
          <w:rFonts w:ascii="宋体" w:hAnsi="宋体" w:cs="宋体"/>
          <w:b/>
          <w:color w:val="000000" w:themeColor="text1"/>
          <w:sz w:val="24"/>
          <w:szCs w:val="24"/>
        </w:rPr>
      </w:pPr>
      <w:r>
        <w:rPr>
          <w:rFonts w:hint="eastAsia" w:ascii="宋体" w:hAnsi="宋体" w:cs="宋体"/>
          <w:b/>
          <w:color w:val="000000" w:themeColor="text1"/>
          <w:sz w:val="24"/>
          <w:szCs w:val="24"/>
        </w:rPr>
        <w:t>4.提醒</w:t>
      </w:r>
    </w:p>
    <w:p>
      <w:pPr>
        <w:widowControl/>
        <w:spacing w:line="440" w:lineRule="exact"/>
        <w:ind w:firstLine="720" w:firstLineChars="300"/>
        <w:jc w:val="left"/>
        <w:rPr>
          <w:rFonts w:ascii="宋体" w:hAnsi="宋体" w:cs="宋体"/>
          <w:color w:val="000000" w:themeColor="text1"/>
          <w:sz w:val="24"/>
          <w:szCs w:val="24"/>
        </w:rPr>
      </w:pPr>
      <w:r>
        <w:rPr>
          <w:rFonts w:hint="eastAsia" w:ascii="宋体" w:hAnsi="宋体" w:cs="宋体"/>
          <w:color w:val="000000" w:themeColor="text1"/>
          <w:sz w:val="24"/>
          <w:szCs w:val="24"/>
        </w:rPr>
        <w:t>对项目需求部分的询问、质疑请向项目联系人提出，由项目联系人负责答复；对项目招标文件其它部分的询问、质疑向采购人提出。</w:t>
      </w:r>
    </w:p>
    <w:p>
      <w:pPr>
        <w:pStyle w:val="24"/>
        <w:spacing w:line="440" w:lineRule="exact"/>
        <w:rPr>
          <w:rFonts w:asciiTheme="majorEastAsia" w:hAnsiTheme="majorEastAsia" w:eastAsiaTheme="majorEastAsia"/>
        </w:rPr>
      </w:pPr>
    </w:p>
    <w:p>
      <w:pPr>
        <w:spacing w:line="440" w:lineRule="exact"/>
        <w:rPr>
          <w:rFonts w:asciiTheme="majorEastAsia" w:hAnsiTheme="majorEastAsia" w:eastAsiaTheme="majorEastAsia"/>
        </w:rPr>
      </w:pPr>
    </w:p>
    <w:p/>
    <w:p>
      <w:pPr>
        <w:pStyle w:val="2"/>
      </w:pPr>
    </w:p>
    <w:p>
      <w:pPr>
        <w:pStyle w:val="2"/>
      </w:pPr>
    </w:p>
    <w:p>
      <w:pPr>
        <w:pStyle w:val="2"/>
      </w:pPr>
    </w:p>
    <w:p>
      <w:pPr>
        <w:pStyle w:val="2"/>
      </w:pPr>
    </w:p>
    <w:p>
      <w:pPr>
        <w:pStyle w:val="2"/>
        <w:ind w:firstLine="0" w:firstLineChars="0"/>
        <w:rPr>
          <w:rFonts w:asciiTheme="majorEastAsia" w:hAnsiTheme="majorEastAsia" w:eastAsiaTheme="majorEastAsia"/>
        </w:rPr>
      </w:pPr>
    </w:p>
    <w:p>
      <w:pPr>
        <w:pStyle w:val="5"/>
        <w:rPr>
          <w:rFonts w:asciiTheme="majorEastAsia" w:hAnsiTheme="majorEastAsia" w:eastAsiaTheme="majorEastAsia"/>
          <w:b/>
          <w:sz w:val="44"/>
          <w:szCs w:val="44"/>
        </w:rPr>
      </w:pPr>
      <w:r>
        <w:rPr>
          <w:rFonts w:hint="eastAsia" w:asciiTheme="majorEastAsia" w:hAnsiTheme="majorEastAsia" w:eastAsiaTheme="majorEastAsia"/>
          <w:b/>
          <w:sz w:val="44"/>
          <w:szCs w:val="44"/>
        </w:rPr>
        <w:t xml:space="preserve">第二章  </w:t>
      </w:r>
      <w:bookmarkStart w:id="50" w:name="_Toc16938518"/>
      <w:bookmarkStart w:id="51" w:name="_Toc513029202"/>
      <w:bookmarkStart w:id="52" w:name="_Toc20823274"/>
      <w:bookmarkStart w:id="53" w:name="_Toc120614213"/>
      <w:r>
        <w:rPr>
          <w:rFonts w:hint="eastAsia" w:asciiTheme="majorEastAsia" w:hAnsiTheme="majorEastAsia" w:eastAsiaTheme="majorEastAsia"/>
          <w:b/>
          <w:color w:val="000000" w:themeColor="text1"/>
          <w:sz w:val="44"/>
          <w:szCs w:val="44"/>
        </w:rPr>
        <w:t>磋商须知</w:t>
      </w:r>
      <w:bookmarkEnd w:id="50"/>
      <w:bookmarkEnd w:id="51"/>
      <w:bookmarkEnd w:id="52"/>
      <w:bookmarkEnd w:id="53"/>
    </w:p>
    <w:p>
      <w:pPr>
        <w:pStyle w:val="24"/>
        <w:spacing w:line="360" w:lineRule="auto"/>
        <w:jc w:val="center"/>
        <w:rPr>
          <w:rFonts w:asciiTheme="majorEastAsia" w:hAnsiTheme="majorEastAsia" w:eastAsiaTheme="majorEastAsia"/>
          <w:b/>
          <w:sz w:val="28"/>
          <w:szCs w:val="28"/>
        </w:rPr>
      </w:pPr>
      <w:r>
        <w:rPr>
          <w:rFonts w:hint="eastAsia" w:asciiTheme="majorEastAsia" w:hAnsiTheme="majorEastAsia" w:eastAsiaTheme="majorEastAsia"/>
          <w:b/>
          <w:sz w:val="28"/>
          <w:szCs w:val="28"/>
        </w:rPr>
        <w:t>投标人须知前附表</w:t>
      </w:r>
    </w:p>
    <w:tbl>
      <w:tblPr>
        <w:tblStyle w:val="45"/>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trPr>
        <w:tc>
          <w:tcPr>
            <w:tcW w:w="828" w:type="dxa"/>
            <w:vAlign w:val="center"/>
          </w:tcPr>
          <w:p>
            <w:pPr>
              <w:pStyle w:val="24"/>
              <w:spacing w:line="360" w:lineRule="auto"/>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项号</w:t>
            </w:r>
          </w:p>
        </w:tc>
        <w:tc>
          <w:tcPr>
            <w:tcW w:w="8778" w:type="dxa"/>
            <w:vAlign w:val="center"/>
          </w:tcPr>
          <w:p>
            <w:pPr>
              <w:pStyle w:val="24"/>
              <w:spacing w:line="360" w:lineRule="auto"/>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内  容  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9"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w:t>
            </w:r>
          </w:p>
        </w:tc>
        <w:tc>
          <w:tcPr>
            <w:tcW w:w="8778" w:type="dxa"/>
            <w:vAlign w:val="center"/>
          </w:tcPr>
          <w:p>
            <w:pPr>
              <w:pStyle w:val="24"/>
              <w:spacing w:line="440" w:lineRule="exact"/>
              <w:jc w:val="left"/>
              <w:rPr>
                <w:rFonts w:asciiTheme="majorEastAsia" w:hAnsiTheme="majorEastAsia" w:eastAsiaTheme="majorEastAsia"/>
                <w:sz w:val="24"/>
                <w:szCs w:val="24"/>
              </w:rPr>
            </w:pPr>
            <w:r>
              <w:rPr>
                <w:rFonts w:hint="eastAsia" w:asciiTheme="majorEastAsia" w:hAnsiTheme="majorEastAsia" w:eastAsiaTheme="majorEastAsia"/>
                <w:sz w:val="24"/>
                <w:szCs w:val="24"/>
              </w:rPr>
              <w:t>招标文件编号：</w:t>
            </w:r>
            <w:r>
              <w:rPr>
                <w:rFonts w:asciiTheme="majorEastAsia" w:hAnsiTheme="majorEastAsia" w:eastAsiaTheme="majorEastAsia"/>
                <w:sz w:val="24"/>
                <w:szCs w:val="24"/>
              </w:rPr>
              <w:t>SY2021-0</w:t>
            </w:r>
            <w:r>
              <w:rPr>
                <w:rFonts w:hint="eastAsia" w:asciiTheme="majorEastAsia" w:hAnsiTheme="majorEastAsia" w:eastAsiaTheme="majorEastAsia"/>
                <w:sz w:val="24"/>
                <w:szCs w:val="24"/>
              </w:rPr>
              <w:t>76</w:t>
            </w:r>
            <w:r>
              <w:rPr>
                <w:rFonts w:asciiTheme="majorEastAsia" w:hAnsiTheme="majorEastAsia" w:eastAsiaTheme="majorEastAsia"/>
                <w:sz w:val="24"/>
                <w:szCs w:val="24"/>
              </w:rPr>
              <w:t>-</w:t>
            </w:r>
            <w:r>
              <w:rPr>
                <w:rFonts w:hint="eastAsia" w:asciiTheme="majorEastAsia" w:hAnsiTheme="majorEastAsia" w:eastAsiaTheme="majorEastAsia"/>
                <w:sz w:val="24"/>
                <w:szCs w:val="24"/>
              </w:rPr>
              <w:t>GC</w:t>
            </w:r>
            <w:r>
              <w:rPr>
                <w:rFonts w:asciiTheme="majorEastAsia" w:hAnsiTheme="majorEastAsia" w:eastAsiaTheme="majorEastAsia"/>
                <w:sz w:val="24"/>
                <w:szCs w:val="24"/>
              </w:rPr>
              <w:t>-JC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2</w:t>
            </w:r>
          </w:p>
        </w:tc>
        <w:tc>
          <w:tcPr>
            <w:tcW w:w="8778" w:type="dxa"/>
            <w:vAlign w:val="center"/>
          </w:tcPr>
          <w:p>
            <w:pPr>
              <w:pStyle w:val="24"/>
              <w:spacing w:line="440" w:lineRule="exact"/>
              <w:rPr>
                <w:rFonts w:cs="宋体" w:asciiTheme="majorEastAsia" w:hAnsiTheme="majorEastAsia" w:eastAsiaTheme="majorEastAsia"/>
                <w:sz w:val="24"/>
                <w:szCs w:val="24"/>
              </w:rPr>
            </w:pPr>
            <w:r>
              <w:rPr>
                <w:rFonts w:hint="eastAsia" w:asciiTheme="majorEastAsia" w:hAnsiTheme="majorEastAsia" w:eastAsiaTheme="majorEastAsia"/>
                <w:sz w:val="24"/>
                <w:szCs w:val="24"/>
              </w:rPr>
              <w:t>项目名称：</w:t>
            </w:r>
            <w:r>
              <w:rPr>
                <w:rFonts w:hint="eastAsia" w:cs="宋体" w:asciiTheme="majorEastAsia" w:hAnsiTheme="majorEastAsia" w:eastAsiaTheme="majorEastAsia"/>
                <w:sz w:val="24"/>
                <w:szCs w:val="24"/>
              </w:rPr>
              <w:t>江苏医药职业学院博士后基地C5楼外环境改造工程项目</w:t>
            </w:r>
          </w:p>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项目地点：江苏医药职业学院内</w:t>
            </w:r>
          </w:p>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项目预算：40万元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3</w:t>
            </w:r>
          </w:p>
        </w:tc>
        <w:tc>
          <w:tcPr>
            <w:tcW w:w="8778" w:type="dxa"/>
            <w:vAlign w:val="center"/>
          </w:tcPr>
          <w:p>
            <w:pPr>
              <w:spacing w:line="440" w:lineRule="exact"/>
              <w:rPr>
                <w:rFonts w:asciiTheme="majorEastAsia" w:hAnsiTheme="majorEastAsia" w:eastAsiaTheme="majorEastAsia"/>
                <w:bCs/>
                <w:sz w:val="24"/>
              </w:rPr>
            </w:pPr>
            <w:r>
              <w:rPr>
                <w:rFonts w:hint="eastAsia" w:asciiTheme="majorEastAsia" w:hAnsiTheme="majorEastAsia" w:eastAsiaTheme="majorEastAsia"/>
                <w:bCs/>
                <w:sz w:val="24"/>
              </w:rPr>
              <w:t>质量要求：符合现行国家施工及验收规范标准要求，符合国家“合格”标准。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2"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4</w:t>
            </w:r>
          </w:p>
        </w:tc>
        <w:tc>
          <w:tcPr>
            <w:tcW w:w="8778" w:type="dxa"/>
            <w:vAlign w:val="center"/>
          </w:tcPr>
          <w:p>
            <w:pPr>
              <w:spacing w:line="480" w:lineRule="exact"/>
              <w:rPr>
                <w:rFonts w:asciiTheme="majorEastAsia" w:hAnsiTheme="majorEastAsia" w:eastAsiaTheme="majorEastAsia"/>
                <w:bCs/>
                <w:sz w:val="24"/>
              </w:rPr>
            </w:pPr>
            <w:r>
              <w:rPr>
                <w:rFonts w:hint="eastAsia" w:asciiTheme="majorEastAsia" w:hAnsiTheme="majorEastAsia" w:eastAsiaTheme="majorEastAsia"/>
                <w:bCs/>
                <w:sz w:val="24"/>
              </w:rPr>
              <w:t>工期：30日历天。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6"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5</w:t>
            </w:r>
          </w:p>
        </w:tc>
        <w:tc>
          <w:tcPr>
            <w:tcW w:w="8778" w:type="dxa"/>
            <w:vAlign w:val="center"/>
          </w:tcPr>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投标有效期：30天（日历天）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6</w:t>
            </w:r>
          </w:p>
        </w:tc>
        <w:tc>
          <w:tcPr>
            <w:tcW w:w="8778" w:type="dxa"/>
            <w:vAlign w:val="center"/>
          </w:tcPr>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投标保证金：8000元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87"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7</w:t>
            </w:r>
          </w:p>
        </w:tc>
        <w:tc>
          <w:tcPr>
            <w:tcW w:w="8778" w:type="dxa"/>
            <w:vAlign w:val="center"/>
          </w:tcPr>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发布招标文件时间：2021年10月 22 日</w:t>
            </w:r>
          </w:p>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发布网站：盐城市政府采购网或江苏医药职业学院网 </w:t>
            </w:r>
          </w:p>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招标相关文件资料费400元，递交投标文件时以现金形式补交，未中标者不退。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8</w:t>
            </w:r>
          </w:p>
        </w:tc>
        <w:tc>
          <w:tcPr>
            <w:tcW w:w="8778" w:type="dxa"/>
            <w:vAlign w:val="center"/>
          </w:tcPr>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投标文件一式五份，正本一份，副本四份。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6"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9</w:t>
            </w:r>
          </w:p>
        </w:tc>
        <w:tc>
          <w:tcPr>
            <w:tcW w:w="8778" w:type="dxa"/>
            <w:vAlign w:val="center"/>
          </w:tcPr>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投标时间：2021年11月 1 日14:30-15:00</w:t>
            </w:r>
          </w:p>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地点：江苏医药职业学院（盐城市解放南路283号）行政楼210室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10</w:t>
            </w:r>
          </w:p>
        </w:tc>
        <w:tc>
          <w:tcPr>
            <w:tcW w:w="8778" w:type="dxa"/>
            <w:vAlign w:val="center"/>
          </w:tcPr>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开标时间：2021年 11月 1  日15:00</w:t>
            </w:r>
          </w:p>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地点：江苏医药职业学院（盐城市解放南路283号）行政楼210室</w:t>
            </w:r>
          </w:p>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评标结果经法人代表确认后在江苏医药职业学院网站公示3天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5"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11</w:t>
            </w:r>
          </w:p>
        </w:tc>
        <w:tc>
          <w:tcPr>
            <w:tcW w:w="8778" w:type="dxa"/>
            <w:vAlign w:val="center"/>
          </w:tcPr>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踏勘现场: 不组织，投标人在投标截止时间前可自行踏勘现场。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12</w:t>
            </w:r>
          </w:p>
        </w:tc>
        <w:tc>
          <w:tcPr>
            <w:tcW w:w="8778" w:type="dxa"/>
            <w:vAlign w:val="center"/>
          </w:tcPr>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招标方式：采用公开招标，评标定标方法采用“综合评估法”。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7"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13</w:t>
            </w:r>
          </w:p>
        </w:tc>
        <w:tc>
          <w:tcPr>
            <w:tcW w:w="8778" w:type="dxa"/>
            <w:vAlign w:val="center"/>
          </w:tcPr>
          <w:p>
            <w:pPr>
              <w:spacing w:line="480" w:lineRule="exact"/>
              <w:rPr>
                <w:rFonts w:cs="宋体" w:asciiTheme="majorEastAsia" w:hAnsiTheme="majorEastAsia" w:eastAsiaTheme="majorEastAsia"/>
                <w:b/>
                <w:sz w:val="24"/>
                <w:szCs w:val="24"/>
              </w:rPr>
            </w:pPr>
            <w:r>
              <w:rPr>
                <w:rFonts w:hint="eastAsia" w:cs="宋体" w:asciiTheme="majorEastAsia" w:hAnsiTheme="majorEastAsia" w:eastAsiaTheme="majorEastAsia"/>
                <w:b/>
                <w:sz w:val="24"/>
                <w:szCs w:val="24"/>
              </w:rPr>
              <w:t>申请人的资格要求：</w:t>
            </w:r>
          </w:p>
          <w:p>
            <w:pPr>
              <w:spacing w:line="500" w:lineRule="exact"/>
              <w:ind w:firstLine="480" w:firstLineChars="200"/>
              <w:rPr>
                <w:rFonts w:cs="宋体" w:asciiTheme="majorEastAsia" w:hAnsiTheme="majorEastAsia" w:eastAsiaTheme="majorEastAsia"/>
                <w:color w:val="000000" w:themeColor="text1"/>
                <w:sz w:val="24"/>
                <w:szCs w:val="24"/>
              </w:rPr>
            </w:pPr>
            <w:r>
              <w:rPr>
                <w:rFonts w:hint="eastAsia" w:cs="宋体" w:asciiTheme="majorEastAsia" w:hAnsiTheme="majorEastAsia" w:eastAsiaTheme="majorEastAsia"/>
                <w:color w:val="000000" w:themeColor="text1"/>
                <w:sz w:val="24"/>
                <w:szCs w:val="24"/>
              </w:rPr>
              <w:t>1.满足《中华人民共和国政府采购法》第二十二条规定，并提供下列材料；</w:t>
            </w:r>
          </w:p>
          <w:p>
            <w:pPr>
              <w:spacing w:line="50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1.1具有独立承担民事责任的能力（提供法人或者其他组织的营业执照，提供复印件加盖公章）；</w:t>
            </w:r>
          </w:p>
          <w:p>
            <w:pPr>
              <w:spacing w:line="50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1.2法人代表授权书（原件）及法定代表人、授权代表身份证复印件（如果是法定代表人直接参与投标的可以不提供授权书）；</w:t>
            </w:r>
          </w:p>
          <w:p>
            <w:pPr>
              <w:spacing w:line="50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1.3具有良好的商业信誉和健全的财务会计制度（提供2020年度经审计的财务报告，或投标截止时间前六个月内银行出具的资信证明，提供复印件加盖公章）；</w:t>
            </w:r>
          </w:p>
          <w:p>
            <w:pPr>
              <w:spacing w:line="50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1.4具有履行合同所必需的设备和专业技术能力（投标人根据履行采购项目合同需要，提供履行合同所必需的设备和专业技术能力的证明材料或者加盖投标供应商公章的承诺函）；</w:t>
            </w:r>
          </w:p>
          <w:p>
            <w:pPr>
              <w:spacing w:line="50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1.5有依法缴纳税收和社会保障资金的良好记录【提供参加本次政府采购活动前一年内至少一个月缴纳增值税，或营业税，或企业所得税的凭据；并提供缴纳社会保险的凭据（专用收据或社会保险缴纳清单）】；</w:t>
            </w:r>
          </w:p>
          <w:p>
            <w:pPr>
              <w:spacing w:line="500" w:lineRule="exact"/>
              <w:ind w:firstLine="480" w:firstLineChars="200"/>
              <w:rPr>
                <w:rFonts w:cs="宋体" w:asciiTheme="majorEastAsia" w:hAnsiTheme="majorEastAsia" w:eastAsiaTheme="majorEastAsia"/>
                <w:bCs/>
                <w:color w:val="000000" w:themeColor="text1"/>
                <w:sz w:val="24"/>
                <w:szCs w:val="24"/>
              </w:rPr>
            </w:pPr>
            <w:r>
              <w:rPr>
                <w:rFonts w:hint="eastAsia" w:cs="宋体" w:asciiTheme="majorEastAsia" w:hAnsiTheme="majorEastAsia" w:eastAsiaTheme="majorEastAsia"/>
                <w:bCs/>
                <w:color w:val="000000" w:themeColor="text1"/>
                <w:sz w:val="24"/>
                <w:szCs w:val="24"/>
              </w:rPr>
              <w:t>1.6参加政府采购活动前三年内，在经营活动中没有重大违法记录（提供承诺书）。</w:t>
            </w:r>
          </w:p>
          <w:p>
            <w:pPr>
              <w:spacing w:line="460" w:lineRule="exact"/>
              <w:ind w:firstLine="120" w:firstLineChars="5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2.落实政府采购政策需满足的资格要求：无。</w:t>
            </w:r>
          </w:p>
          <w:p>
            <w:pPr>
              <w:spacing w:line="460" w:lineRule="exact"/>
              <w:ind w:firstLine="120" w:firstLineChars="5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3.本项目的特定资格要求：</w:t>
            </w:r>
          </w:p>
          <w:p>
            <w:pPr>
              <w:spacing w:line="480" w:lineRule="exact"/>
              <w:ind w:firstLine="240" w:firstLineChars="100"/>
              <w:rPr>
                <w:rFonts w:cs="宋体" w:asciiTheme="majorEastAsia" w:hAnsiTheme="majorEastAsia" w:eastAsiaTheme="majorEastAsia"/>
                <w:bCs/>
                <w:sz w:val="24"/>
                <w:szCs w:val="24"/>
              </w:rPr>
            </w:pPr>
            <w:r>
              <w:rPr>
                <w:rFonts w:hint="eastAsia" w:cs="宋体" w:asciiTheme="majorEastAsia" w:hAnsiTheme="majorEastAsia" w:eastAsiaTheme="majorEastAsia"/>
                <w:sz w:val="24"/>
                <w:szCs w:val="24"/>
              </w:rPr>
              <w:t>3.1</w:t>
            </w:r>
            <w:r>
              <w:rPr>
                <w:rFonts w:hint="eastAsia" w:cs="宋体" w:asciiTheme="majorEastAsia" w:hAnsiTheme="majorEastAsia" w:eastAsiaTheme="majorEastAsia"/>
                <w:bCs/>
                <w:sz w:val="24"/>
                <w:szCs w:val="24"/>
              </w:rPr>
              <w:t>投标申请人应具有建设行政主管部门核发的</w:t>
            </w:r>
            <w:r>
              <w:rPr>
                <w:rFonts w:hint="eastAsia" w:cs="宋体" w:asciiTheme="majorEastAsia" w:hAnsiTheme="majorEastAsia" w:eastAsiaTheme="majorEastAsia"/>
                <w:b/>
                <w:bCs/>
                <w:sz w:val="24"/>
                <w:szCs w:val="24"/>
              </w:rPr>
              <w:t>建筑工程施工总承包三级及以上（或建筑装修装饰工程专业承包二级及以上）</w:t>
            </w:r>
            <w:r>
              <w:rPr>
                <w:rFonts w:hint="eastAsia" w:cs="宋体" w:asciiTheme="majorEastAsia" w:hAnsiTheme="majorEastAsia" w:eastAsiaTheme="majorEastAsia"/>
                <w:bCs/>
                <w:sz w:val="24"/>
                <w:szCs w:val="24"/>
              </w:rPr>
              <w:t>资质的独立法人，并取得安全生产许可证。</w:t>
            </w:r>
          </w:p>
          <w:p>
            <w:pPr>
              <w:spacing w:line="480" w:lineRule="exact"/>
              <w:ind w:firstLine="240" w:firstLineChars="100"/>
              <w:rPr>
                <w:rFonts w:cs="宋体" w:asciiTheme="majorEastAsia" w:hAnsiTheme="majorEastAsia" w:eastAsiaTheme="majorEastAsia"/>
                <w:bCs/>
                <w:sz w:val="24"/>
                <w:szCs w:val="24"/>
              </w:rPr>
            </w:pPr>
            <w:r>
              <w:rPr>
                <w:rFonts w:hint="eastAsia" w:cs="宋体" w:asciiTheme="majorEastAsia" w:hAnsiTheme="majorEastAsia" w:eastAsiaTheme="majorEastAsia"/>
                <w:bCs/>
                <w:sz w:val="24"/>
                <w:szCs w:val="24"/>
              </w:rPr>
              <w:t>3.2 项目负责人必须是投标人本单位正式职工，</w:t>
            </w:r>
            <w:r>
              <w:rPr>
                <w:rFonts w:cs="宋体" w:asciiTheme="majorEastAsia" w:hAnsiTheme="majorEastAsia" w:eastAsiaTheme="majorEastAsia"/>
                <w:bCs/>
                <w:sz w:val="24"/>
                <w:szCs w:val="24"/>
              </w:rPr>
              <w:t>具有</w:t>
            </w:r>
            <w:r>
              <w:rPr>
                <w:rFonts w:hint="eastAsia" w:cs="宋体" w:asciiTheme="majorEastAsia" w:hAnsiTheme="majorEastAsia" w:eastAsiaTheme="majorEastAsia"/>
                <w:b/>
                <w:bCs/>
                <w:sz w:val="24"/>
                <w:szCs w:val="24"/>
              </w:rPr>
              <w:t>建筑工程</w:t>
            </w:r>
            <w:r>
              <w:rPr>
                <w:rFonts w:hint="eastAsia" w:cs="宋体" w:asciiTheme="majorEastAsia" w:hAnsiTheme="majorEastAsia" w:eastAsiaTheme="majorEastAsia"/>
                <w:bCs/>
                <w:sz w:val="24"/>
                <w:szCs w:val="24"/>
              </w:rPr>
              <w:t>专业</w:t>
            </w:r>
            <w:r>
              <w:rPr>
                <w:rFonts w:cs="宋体" w:asciiTheme="majorEastAsia" w:hAnsiTheme="majorEastAsia" w:eastAsiaTheme="majorEastAsia"/>
                <w:bCs/>
                <w:sz w:val="24"/>
                <w:szCs w:val="24"/>
              </w:rPr>
              <w:t>的二级及以上建造师注册证书（或建造师临时执业证书），并取得安全生产考核合格证（B类</w:t>
            </w:r>
            <w:r>
              <w:rPr>
                <w:rFonts w:hint="eastAsia" w:cs="宋体" w:asciiTheme="majorEastAsia" w:hAnsiTheme="majorEastAsia" w:eastAsiaTheme="majorEastAsia"/>
                <w:bCs/>
                <w:sz w:val="24"/>
                <w:szCs w:val="24"/>
              </w:rPr>
              <w:t>）</w:t>
            </w:r>
            <w:r>
              <w:rPr>
                <w:rFonts w:cs="宋体" w:asciiTheme="majorEastAsia" w:hAnsiTheme="majorEastAsia" w:eastAsiaTheme="majorEastAsia"/>
                <w:bCs/>
                <w:sz w:val="24"/>
                <w:szCs w:val="24"/>
              </w:rPr>
              <w:t>。</w:t>
            </w:r>
          </w:p>
          <w:p>
            <w:pPr>
              <w:spacing w:line="480" w:lineRule="exact"/>
              <w:ind w:firstLine="240" w:firstLineChars="100"/>
              <w:rPr>
                <w:rFonts w:cs="宋体" w:asciiTheme="majorEastAsia" w:hAnsiTheme="majorEastAsia" w:eastAsiaTheme="majorEastAsia"/>
                <w:bCs/>
                <w:sz w:val="24"/>
                <w:szCs w:val="24"/>
              </w:rPr>
            </w:pPr>
            <w:r>
              <w:rPr>
                <w:rFonts w:hint="eastAsia" w:cs="宋体" w:asciiTheme="majorEastAsia" w:hAnsiTheme="majorEastAsia" w:eastAsiaTheme="majorEastAsia"/>
                <w:bCs/>
                <w:sz w:val="24"/>
                <w:szCs w:val="24"/>
              </w:rPr>
              <w:t>3.3项目负责人须为投标人本单位正式职工，从投标截止日当月向前连续6个月均在投标人本单位缴纳养老保险（例：如投标截止日期为2020年4月*日，则为2019年10月-2020年3月养老保险均在投标人本单位缴纳）。投标时无须提供证明材料，如有质疑或招标人要求，再按要求提供相关证明材料。</w:t>
            </w:r>
          </w:p>
          <w:p>
            <w:pPr>
              <w:spacing w:line="480" w:lineRule="exact"/>
              <w:ind w:firstLine="240" w:firstLineChars="1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3.4未被“信用中国”网站（www.creditchina.gov.cn）列入失信被执行人、重大税收违法案件当事人名单、政府采购严重失信行为记录名单。</w:t>
            </w:r>
          </w:p>
          <w:p>
            <w:pPr>
              <w:spacing w:line="480" w:lineRule="exact"/>
              <w:ind w:firstLine="240" w:firstLineChars="100"/>
              <w:rPr>
                <w:rFonts w:cs="宋体" w:asciiTheme="majorEastAsia" w:hAnsiTheme="majorEastAsia" w:eastAsiaTheme="majorEastAsia"/>
                <w:sz w:val="24"/>
                <w:szCs w:val="24"/>
              </w:rPr>
            </w:pPr>
            <w:r>
              <w:rPr>
                <w:rFonts w:hint="eastAsia" w:cs="宋体" w:asciiTheme="majorEastAsia" w:hAnsiTheme="majorEastAsia" w:eastAsiaTheme="majorEastAsia"/>
                <w:color w:val="444444"/>
                <w:sz w:val="24"/>
                <w:szCs w:val="24"/>
              </w:rPr>
              <w:t>3.5</w:t>
            </w:r>
            <w:r>
              <w:rPr>
                <w:rFonts w:hint="eastAsia" w:cs="宋体" w:asciiTheme="majorEastAsia" w:hAnsiTheme="majorEastAsia" w:eastAsiaTheme="majorEastAsia"/>
                <w:sz w:val="24"/>
                <w:szCs w:val="24"/>
              </w:rPr>
              <w:t>单位负责人为同一人或者存在直接控股、管理关系的不同供应商，不得参加同一合同项下的政府采购活动。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14</w:t>
            </w:r>
          </w:p>
        </w:tc>
        <w:tc>
          <w:tcPr>
            <w:tcW w:w="8778" w:type="dxa"/>
            <w:vAlign w:val="center"/>
          </w:tcPr>
          <w:p>
            <w:pPr>
              <w:spacing w:line="480" w:lineRule="exact"/>
              <w:ind w:firstLine="241" w:firstLineChars="100"/>
              <w:rPr>
                <w:rFonts w:asciiTheme="majorEastAsia" w:hAnsiTheme="majorEastAsia" w:eastAsiaTheme="majorEastAsia"/>
                <w:bCs/>
                <w:sz w:val="24"/>
              </w:rPr>
            </w:pPr>
            <w:r>
              <w:rPr>
                <w:rFonts w:hint="eastAsia" w:asciiTheme="majorEastAsia" w:hAnsiTheme="majorEastAsia" w:eastAsiaTheme="majorEastAsia"/>
                <w:b/>
                <w:bCs/>
                <w:sz w:val="24"/>
              </w:rPr>
              <w:t>付款方式：</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项目验收合格后无质量问题支付合同价的70%款项；审计合格后付至审计价的90%，余款待验收合格</w:t>
            </w:r>
            <w:r>
              <w:rPr>
                <w:rFonts w:hint="eastAsia" w:asciiTheme="majorEastAsia" w:hAnsiTheme="majorEastAsia" w:eastAsiaTheme="majorEastAsia"/>
                <w:bCs/>
                <w:sz w:val="24"/>
                <w:u w:val="single"/>
              </w:rPr>
              <w:t>2</w:t>
            </w:r>
            <w:r>
              <w:rPr>
                <w:rFonts w:asciiTheme="majorEastAsia" w:hAnsiTheme="majorEastAsia" w:eastAsiaTheme="majorEastAsia"/>
                <w:bCs/>
                <w:sz w:val="24"/>
                <w:u w:val="single"/>
              </w:rPr>
              <w:t>_</w:t>
            </w:r>
            <w:r>
              <w:rPr>
                <w:rFonts w:hint="eastAsia" w:asciiTheme="majorEastAsia" w:hAnsiTheme="majorEastAsia" w:eastAsiaTheme="majorEastAsia"/>
                <w:bCs/>
                <w:sz w:val="24"/>
              </w:rPr>
              <w:t>年后无质量问题一次性无息付清。</w:t>
            </w:r>
          </w:p>
          <w:p>
            <w:pPr>
              <w:spacing w:line="480" w:lineRule="exact"/>
              <w:ind w:firstLine="240" w:firstLineChars="100"/>
              <w:rPr>
                <w:rFonts w:asciiTheme="majorEastAsia" w:hAnsiTheme="majorEastAsia" w:eastAsiaTheme="majorEastAsia"/>
                <w:bCs/>
                <w:sz w:val="24"/>
              </w:rPr>
            </w:pPr>
            <w:r>
              <w:rPr>
                <w:rFonts w:hint="eastAsia" w:asciiTheme="majorEastAsia" w:hAnsiTheme="majorEastAsia" w:eastAsiaTheme="majorEastAsia"/>
                <w:bCs/>
                <w:sz w:val="24"/>
              </w:rPr>
              <w:t>以上付款均以人民币通过银行支付，付款前需提供我校财务处认可的增值税发票（仪器设备须开增值税专用发票）。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15</w:t>
            </w:r>
          </w:p>
        </w:tc>
        <w:tc>
          <w:tcPr>
            <w:tcW w:w="8778" w:type="dxa"/>
            <w:vAlign w:val="center"/>
          </w:tcPr>
          <w:p>
            <w:pPr>
              <w:pStyle w:val="24"/>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投标保证金与招标相关文件资料费</w:t>
            </w:r>
            <w:r>
              <w:rPr>
                <w:rFonts w:hint="eastAsia" w:asciiTheme="majorEastAsia" w:hAnsiTheme="majorEastAsia" w:eastAsiaTheme="majorEastAsia"/>
                <w:sz w:val="24"/>
              </w:rPr>
              <w:t>在递交投标文件截止时间前按招标文件约定形式缴纳，否则其投标文件作无效标书处理，未中标人的投标保证金在评审结束后当场退还，中标单位的保证金直接转为履约保证金。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16</w:t>
            </w:r>
          </w:p>
        </w:tc>
        <w:tc>
          <w:tcPr>
            <w:tcW w:w="8778" w:type="dxa"/>
            <w:vAlign w:val="center"/>
          </w:tcPr>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招标人：江苏医药职业学院          地址：盐城市解放南路283号</w:t>
            </w:r>
          </w:p>
          <w:p>
            <w:pPr>
              <w:pStyle w:val="24"/>
              <w:spacing w:line="44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邮编：224005  联系人：刘老师      电话：0515-88550311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828" w:type="dxa"/>
            <w:vAlign w:val="center"/>
          </w:tcPr>
          <w:p>
            <w:pPr>
              <w:pStyle w:val="24"/>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17</w:t>
            </w:r>
          </w:p>
        </w:tc>
        <w:tc>
          <w:tcPr>
            <w:tcW w:w="8778" w:type="dxa"/>
            <w:vAlign w:val="center"/>
          </w:tcPr>
          <w:p>
            <w:pPr>
              <w:pStyle w:val="24"/>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招标相关文件资料费在递交投标文件截止时间前按招标文件约定形式缴纳，否则其投标文件做无效标书处理。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828" w:type="dxa"/>
            <w:vAlign w:val="center"/>
          </w:tcPr>
          <w:p>
            <w:pPr>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18</w:t>
            </w:r>
          </w:p>
        </w:tc>
        <w:tc>
          <w:tcPr>
            <w:tcW w:w="8778" w:type="dxa"/>
            <w:vAlign w:val="center"/>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技术标书由投标人按招标项目需求自行提供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828" w:type="dxa"/>
            <w:vAlign w:val="center"/>
          </w:tcPr>
          <w:p>
            <w:pPr>
              <w:spacing w:line="52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19</w:t>
            </w:r>
          </w:p>
        </w:tc>
        <w:tc>
          <w:tcPr>
            <w:tcW w:w="8778" w:type="dxa"/>
            <w:vAlign w:val="center"/>
          </w:tcPr>
          <w:p>
            <w:pPr>
              <w:spacing w:line="440" w:lineRule="exact"/>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合同签字地点：江苏医药职业学院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9606" w:type="dxa"/>
            <w:gridSpan w:val="2"/>
            <w:vAlign w:val="center"/>
          </w:tcPr>
          <w:p>
            <w:pPr>
              <w:spacing w:line="440" w:lineRule="exact"/>
              <w:ind w:firstLine="1920" w:firstLineChars="800"/>
              <w:rPr>
                <w:rFonts w:asciiTheme="majorEastAsia" w:hAnsiTheme="majorEastAsia" w:eastAsiaTheme="majorEastAsia"/>
                <w:sz w:val="24"/>
                <w:szCs w:val="24"/>
              </w:rPr>
            </w:pPr>
            <w:r>
              <w:rPr>
                <w:rFonts w:hint="eastAsia" w:asciiTheme="majorEastAsia" w:hAnsiTheme="majorEastAsia" w:eastAsiaTheme="majorEastAsia"/>
                <w:sz w:val="24"/>
                <w:szCs w:val="24"/>
              </w:rPr>
              <w:t>本招标文件时间均以中华人民共和国北京时间为准。</w:t>
            </w:r>
          </w:p>
        </w:tc>
      </w:tr>
    </w:tbl>
    <w:p>
      <w:pPr>
        <w:pStyle w:val="24"/>
        <w:spacing w:line="360" w:lineRule="auto"/>
        <w:rPr>
          <w:rFonts w:asciiTheme="majorEastAsia" w:hAnsiTheme="majorEastAsia" w:eastAsiaTheme="majorEastAsia"/>
          <w:b/>
          <w:sz w:val="32"/>
        </w:rPr>
      </w:pPr>
    </w:p>
    <w:p>
      <w:pPr>
        <w:pStyle w:val="24"/>
        <w:spacing w:line="360" w:lineRule="auto"/>
        <w:rPr>
          <w:rFonts w:asciiTheme="majorEastAsia" w:hAnsiTheme="majorEastAsia" w:eastAsiaTheme="majorEastAsia"/>
          <w:b/>
          <w:sz w:val="32"/>
        </w:rPr>
      </w:pPr>
    </w:p>
    <w:p>
      <w:pPr>
        <w:pStyle w:val="24"/>
        <w:rPr>
          <w:rFonts w:asciiTheme="majorEastAsia" w:hAnsiTheme="majorEastAsia" w:eastAsiaTheme="majorEastAsia"/>
        </w:rPr>
      </w:pPr>
      <w:bookmarkStart w:id="54" w:name="_Toc16938519"/>
      <w:bookmarkStart w:id="55" w:name="_Toc120614214"/>
      <w:bookmarkStart w:id="56" w:name="_Toc513029203"/>
      <w:bookmarkStart w:id="57" w:name="_Toc20823275"/>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p>
      <w:pPr>
        <w:pStyle w:val="24"/>
        <w:rPr>
          <w:rFonts w:asciiTheme="majorEastAsia" w:hAnsiTheme="majorEastAsia" w:eastAsiaTheme="majorEastAsia"/>
        </w:rPr>
      </w:pPr>
    </w:p>
    <w:bookmarkEnd w:id="54"/>
    <w:bookmarkEnd w:id="55"/>
    <w:bookmarkEnd w:id="56"/>
    <w:bookmarkEnd w:id="57"/>
    <w:p>
      <w:pPr>
        <w:spacing w:after="145" w:afterLines="50" w:line="500" w:lineRule="exact"/>
        <w:jc w:val="center"/>
        <w:rPr>
          <w:rFonts w:ascii="宋体" w:hAnsi="宋体"/>
          <w:bCs/>
          <w:color w:val="000000" w:themeColor="text1"/>
          <w:sz w:val="28"/>
          <w:szCs w:val="24"/>
        </w:rPr>
      </w:pPr>
      <w:r>
        <w:rPr>
          <w:rFonts w:ascii="宋体" w:hAnsi="宋体"/>
          <w:bCs/>
          <w:color w:val="000000" w:themeColor="text1"/>
          <w:sz w:val="28"/>
          <w:szCs w:val="24"/>
        </w:rPr>
        <w:t>（参加竞争性磋商的供应商以下简称“磋商供应商”）</w:t>
      </w:r>
    </w:p>
    <w:p>
      <w:pPr>
        <w:tabs>
          <w:tab w:val="left" w:pos="900"/>
        </w:tabs>
        <w:spacing w:after="145" w:afterLines="50" w:line="420" w:lineRule="exact"/>
        <w:ind w:firstLine="354" w:firstLineChars="147"/>
        <w:rPr>
          <w:rFonts w:ascii="宋体" w:hAnsi="宋体"/>
          <w:color w:val="000000" w:themeColor="text1"/>
          <w:sz w:val="24"/>
          <w:szCs w:val="24"/>
        </w:rPr>
      </w:pPr>
      <w:r>
        <w:rPr>
          <w:rFonts w:ascii="宋体" w:hAnsi="宋体"/>
          <w:b/>
          <w:color w:val="000000" w:themeColor="text1"/>
          <w:sz w:val="24"/>
          <w:szCs w:val="24"/>
        </w:rPr>
        <w:t>一、总则</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1、适用范围</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1.1 本竞争性磋商文件（以下简称磋商文件）仅适用此项目。</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1.2 本项目按照项目</w:t>
      </w:r>
      <w:r>
        <w:rPr>
          <w:rFonts w:hint="eastAsia" w:ascii="宋体" w:hAnsi="宋体"/>
          <w:color w:val="000000" w:themeColor="text1"/>
          <w:sz w:val="24"/>
          <w:szCs w:val="24"/>
        </w:rPr>
        <w:t>如</w:t>
      </w:r>
      <w:r>
        <w:rPr>
          <w:rFonts w:ascii="宋体" w:hAnsi="宋体"/>
          <w:color w:val="000000" w:themeColor="text1"/>
          <w:sz w:val="24"/>
          <w:szCs w:val="24"/>
        </w:rPr>
        <w:t>分包，分别确定各分包成交</w:t>
      </w:r>
      <w:r>
        <w:rPr>
          <w:rFonts w:hint="eastAsia" w:ascii="宋体" w:hAnsi="宋体"/>
          <w:color w:val="000000" w:themeColor="text1"/>
          <w:sz w:val="24"/>
          <w:szCs w:val="24"/>
        </w:rPr>
        <w:t>磋商</w:t>
      </w:r>
      <w:r>
        <w:rPr>
          <w:rFonts w:ascii="宋体" w:hAnsi="宋体"/>
          <w:color w:val="000000" w:themeColor="text1"/>
          <w:sz w:val="24"/>
          <w:szCs w:val="24"/>
        </w:rPr>
        <w:t>供应商。</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2、项目采购方式</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本次采购采取竞争性磋商的方式。</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3、合格的磋商供应商</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3.1满足本磋商文件“竞争性磋商采购公告”中合格磋商供应商资格要求的规定。</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3.2 满足本磋商文件实质性要求和条件的规定。</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3.3 本工程不得转包及违法分包，如有转包或违法分包，或中标项目负责人不是真正在现场实施工程管理的，一经查属，招标人可终止合同，没收履约保证金，已发生的工程量不予结算。</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4、参加磋商费用</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4.1参加磋商供应商应自行承担所有与参加磋商有关的费用。不论最终的成交结果如何，</w:t>
      </w:r>
      <w:r>
        <w:rPr>
          <w:rFonts w:hint="eastAsia" w:ascii="宋体" w:hAnsi="宋体"/>
          <w:color w:val="000000" w:themeColor="text1"/>
          <w:sz w:val="24"/>
          <w:szCs w:val="24"/>
        </w:rPr>
        <w:t>盐城市天平建设监理有限公司</w:t>
      </w:r>
      <w:r>
        <w:rPr>
          <w:rFonts w:ascii="宋体" w:hAnsi="宋体"/>
          <w:color w:val="000000" w:themeColor="text1"/>
          <w:sz w:val="24"/>
          <w:szCs w:val="24"/>
        </w:rPr>
        <w:t>（以下简称：</w:t>
      </w:r>
      <w:r>
        <w:rPr>
          <w:rFonts w:hint="eastAsia" w:ascii="宋体" w:hAnsi="宋体"/>
          <w:color w:val="000000" w:themeColor="text1"/>
          <w:sz w:val="24"/>
          <w:szCs w:val="24"/>
        </w:rPr>
        <w:t>采购代理机构</w:t>
      </w:r>
      <w:r>
        <w:rPr>
          <w:rFonts w:ascii="宋体" w:hAnsi="宋体"/>
          <w:color w:val="000000" w:themeColor="text1"/>
          <w:sz w:val="24"/>
          <w:szCs w:val="24"/>
        </w:rPr>
        <w:t>）在任何情况下均无义务和责任承担这些费用。</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5、磋商文件的约束力</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磋商</w:t>
      </w:r>
      <w:r>
        <w:rPr>
          <w:rFonts w:ascii="宋体" w:hAnsi="宋体"/>
          <w:color w:val="000000" w:themeColor="text1"/>
          <w:sz w:val="24"/>
          <w:szCs w:val="24"/>
        </w:rPr>
        <w:t>供应商一旦</w:t>
      </w:r>
      <w:r>
        <w:rPr>
          <w:rFonts w:hint="eastAsia" w:ascii="宋体" w:hAnsi="宋体"/>
          <w:color w:val="000000" w:themeColor="text1"/>
          <w:sz w:val="24"/>
          <w:szCs w:val="24"/>
        </w:rPr>
        <w:t>获取</w:t>
      </w:r>
      <w:r>
        <w:rPr>
          <w:rFonts w:ascii="宋体" w:hAnsi="宋体"/>
          <w:color w:val="000000" w:themeColor="text1"/>
          <w:sz w:val="24"/>
          <w:szCs w:val="24"/>
        </w:rPr>
        <w:t>了本磋商文件并决定参加磋商，即被认为接受了本磋商文件的规定和约束，并且视为自竞争性磋商公告期限届满之日起已经知道或应当知道自身权益是否受到了损害。</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6、</w:t>
      </w:r>
      <w:bookmarkStart w:id="58" w:name="_Toc20823283"/>
      <w:bookmarkStart w:id="59" w:name="_Toc513029211"/>
      <w:bookmarkStart w:id="60" w:name="_Toc462564070"/>
      <w:bookmarkStart w:id="61" w:name="_Toc16938527"/>
      <w:r>
        <w:rPr>
          <w:rFonts w:ascii="宋体" w:hAnsi="宋体"/>
          <w:color w:val="000000" w:themeColor="text1"/>
          <w:sz w:val="24"/>
          <w:szCs w:val="24"/>
        </w:rPr>
        <w:t>磋商文件的</w:t>
      </w:r>
      <w:bookmarkEnd w:id="58"/>
      <w:bookmarkEnd w:id="59"/>
      <w:bookmarkEnd w:id="60"/>
      <w:bookmarkEnd w:id="61"/>
      <w:r>
        <w:rPr>
          <w:rFonts w:ascii="宋体" w:hAnsi="宋体"/>
          <w:color w:val="000000" w:themeColor="text1"/>
          <w:sz w:val="24"/>
          <w:szCs w:val="24"/>
        </w:rPr>
        <w:t>询问及修改</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6.1任何要求对磋商文件进行询问的</w:t>
      </w:r>
      <w:r>
        <w:rPr>
          <w:rFonts w:hint="eastAsia" w:ascii="宋体" w:hAnsi="宋体"/>
          <w:color w:val="000000" w:themeColor="text1"/>
          <w:sz w:val="24"/>
          <w:szCs w:val="24"/>
        </w:rPr>
        <w:t>磋商</w:t>
      </w:r>
      <w:r>
        <w:rPr>
          <w:rFonts w:ascii="宋体" w:hAnsi="宋体"/>
          <w:color w:val="000000" w:themeColor="text1"/>
          <w:sz w:val="24"/>
          <w:szCs w:val="24"/>
        </w:rPr>
        <w:t>供应商，均应在提交首次响应文件截止时间五日前按采购</w:t>
      </w:r>
      <w:r>
        <w:rPr>
          <w:rFonts w:hint="eastAsia" w:ascii="宋体" w:hAnsi="宋体"/>
          <w:color w:val="000000" w:themeColor="text1"/>
          <w:sz w:val="24"/>
          <w:szCs w:val="24"/>
        </w:rPr>
        <w:t>文件</w:t>
      </w:r>
      <w:r>
        <w:rPr>
          <w:rFonts w:ascii="宋体" w:hAnsi="宋体"/>
          <w:color w:val="000000" w:themeColor="text1"/>
          <w:sz w:val="24"/>
          <w:szCs w:val="24"/>
        </w:rPr>
        <w:t>中的通讯地址，向采购人或采购</w:t>
      </w:r>
      <w:r>
        <w:rPr>
          <w:rFonts w:hint="eastAsia" w:ascii="宋体" w:hAnsi="宋体"/>
          <w:color w:val="000000" w:themeColor="text1"/>
          <w:sz w:val="24"/>
          <w:szCs w:val="24"/>
        </w:rPr>
        <w:t>代理机构</w:t>
      </w:r>
      <w:r>
        <w:rPr>
          <w:rFonts w:ascii="宋体" w:hAnsi="宋体"/>
          <w:color w:val="000000" w:themeColor="text1"/>
          <w:sz w:val="24"/>
          <w:szCs w:val="24"/>
        </w:rPr>
        <w:t>提出。提交首次响应文件截止之日前，</w:t>
      </w:r>
      <w:r>
        <w:rPr>
          <w:rFonts w:hint="eastAsia" w:ascii="宋体" w:hAnsi="宋体"/>
          <w:color w:val="000000" w:themeColor="text1"/>
          <w:sz w:val="24"/>
          <w:szCs w:val="24"/>
        </w:rPr>
        <w:t>采购人</w:t>
      </w:r>
      <w:r>
        <w:rPr>
          <w:rFonts w:ascii="宋体" w:hAnsi="宋体"/>
          <w:color w:val="000000" w:themeColor="text1"/>
          <w:sz w:val="24"/>
          <w:szCs w:val="24"/>
        </w:rPr>
        <w:t>可以对已发出的磋商文件进行必要的澄清或者修改，澄清或者修改的内容作为磋商文件的组成部分。澄清或者修改的内容可能影响响应文件编制的，采购人将在提交首次响应文件截止时间至少五日前，在</w:t>
      </w:r>
      <w:r>
        <w:rPr>
          <w:rFonts w:hint="eastAsia" w:ascii="宋体" w:hAnsi="宋体"/>
          <w:color w:val="000000" w:themeColor="text1"/>
          <w:sz w:val="24"/>
          <w:szCs w:val="24"/>
        </w:rPr>
        <w:t>江苏医药职业学院</w:t>
      </w:r>
      <w:r>
        <w:rPr>
          <w:rFonts w:ascii="宋体" w:hAnsi="宋体"/>
          <w:color w:val="000000" w:themeColor="text1"/>
          <w:sz w:val="24"/>
          <w:szCs w:val="24"/>
        </w:rPr>
        <w:t>网上发布书面更正公告形式通知所有获取磋商文件的</w:t>
      </w:r>
      <w:r>
        <w:rPr>
          <w:rFonts w:hint="eastAsia" w:ascii="宋体" w:hAnsi="宋体"/>
          <w:color w:val="000000" w:themeColor="text1"/>
          <w:sz w:val="24"/>
          <w:szCs w:val="24"/>
        </w:rPr>
        <w:t>磋商</w:t>
      </w:r>
      <w:r>
        <w:rPr>
          <w:rFonts w:ascii="宋体" w:hAnsi="宋体"/>
          <w:color w:val="000000" w:themeColor="text1"/>
          <w:sz w:val="24"/>
          <w:szCs w:val="24"/>
        </w:rPr>
        <w:t>供应商。不足五日的，采购人应当顺延提交首次响应文件截止时间。</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6.2采购</w:t>
      </w:r>
      <w:r>
        <w:rPr>
          <w:rFonts w:hint="eastAsia" w:ascii="宋体" w:hAnsi="宋体"/>
          <w:color w:val="000000" w:themeColor="text1"/>
          <w:sz w:val="24"/>
          <w:szCs w:val="24"/>
        </w:rPr>
        <w:t>代理机构</w:t>
      </w:r>
      <w:r>
        <w:rPr>
          <w:rFonts w:ascii="宋体" w:hAnsi="宋体"/>
          <w:color w:val="000000" w:themeColor="text1"/>
          <w:sz w:val="24"/>
          <w:szCs w:val="24"/>
        </w:rPr>
        <w:t>或采购人可以视采购项目的具体情况，组织</w:t>
      </w:r>
      <w:r>
        <w:rPr>
          <w:rFonts w:hint="eastAsia" w:ascii="宋体" w:hAnsi="宋体"/>
          <w:color w:val="000000" w:themeColor="text1"/>
          <w:sz w:val="24"/>
          <w:szCs w:val="24"/>
        </w:rPr>
        <w:t>磋商</w:t>
      </w:r>
      <w:r>
        <w:rPr>
          <w:rFonts w:ascii="宋体" w:hAnsi="宋体"/>
          <w:color w:val="000000" w:themeColor="text1"/>
          <w:sz w:val="24"/>
          <w:szCs w:val="24"/>
        </w:rPr>
        <w:t>供应商进行现场考察或召开磋商前答疑会，但不单独或分别组织只有一个</w:t>
      </w:r>
      <w:r>
        <w:rPr>
          <w:rFonts w:hint="eastAsia" w:ascii="宋体" w:hAnsi="宋体"/>
          <w:color w:val="000000" w:themeColor="text1"/>
          <w:sz w:val="24"/>
          <w:szCs w:val="24"/>
        </w:rPr>
        <w:t>磋商</w:t>
      </w:r>
      <w:r>
        <w:rPr>
          <w:rFonts w:ascii="宋体" w:hAnsi="宋体"/>
          <w:color w:val="000000" w:themeColor="text1"/>
          <w:sz w:val="24"/>
          <w:szCs w:val="24"/>
        </w:rPr>
        <w:t>供应商参加的现场考察和答疑会</w:t>
      </w:r>
      <w:r>
        <w:rPr>
          <w:rFonts w:hint="eastAsia" w:ascii="宋体" w:hAnsi="宋体"/>
          <w:color w:val="000000" w:themeColor="text1"/>
          <w:sz w:val="24"/>
          <w:szCs w:val="24"/>
        </w:rPr>
        <w:t>。</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7、磋商文件的解释</w:t>
      </w:r>
    </w:p>
    <w:p>
      <w:pPr>
        <w:spacing w:line="420" w:lineRule="exact"/>
        <w:ind w:firstLine="480" w:firstLineChars="200"/>
        <w:rPr>
          <w:rFonts w:ascii="宋体" w:hAnsi="宋体"/>
          <w:bCs/>
          <w:color w:val="000000" w:themeColor="text1"/>
          <w:sz w:val="24"/>
          <w:szCs w:val="24"/>
        </w:rPr>
      </w:pPr>
      <w:r>
        <w:rPr>
          <w:rFonts w:ascii="宋体" w:hAnsi="宋体"/>
          <w:bCs/>
          <w:color w:val="000000" w:themeColor="text1"/>
          <w:sz w:val="24"/>
          <w:szCs w:val="24"/>
        </w:rPr>
        <w:t>7.1 本磋商文件由</w:t>
      </w:r>
      <w:r>
        <w:rPr>
          <w:rFonts w:ascii="宋体" w:hAnsi="宋体"/>
          <w:color w:val="000000" w:themeColor="text1"/>
          <w:sz w:val="24"/>
          <w:szCs w:val="24"/>
        </w:rPr>
        <w:t>采购</w:t>
      </w:r>
      <w:r>
        <w:rPr>
          <w:rFonts w:hint="eastAsia" w:ascii="宋体" w:hAnsi="宋体"/>
          <w:color w:val="000000" w:themeColor="text1"/>
          <w:sz w:val="24"/>
          <w:szCs w:val="24"/>
        </w:rPr>
        <w:t>人</w:t>
      </w:r>
      <w:r>
        <w:rPr>
          <w:rFonts w:ascii="宋体" w:hAnsi="宋体"/>
          <w:bCs/>
          <w:color w:val="000000" w:themeColor="text1"/>
          <w:sz w:val="24"/>
          <w:szCs w:val="24"/>
        </w:rPr>
        <w:t>负责解释。</w:t>
      </w:r>
      <w:bookmarkStart w:id="62" w:name="_Hlt26670348"/>
      <w:bookmarkEnd w:id="62"/>
      <w:bookmarkStart w:id="63" w:name="_Hlt26954828"/>
      <w:bookmarkEnd w:id="63"/>
      <w:bookmarkStart w:id="64" w:name="_Hlt26670345"/>
      <w:bookmarkEnd w:id="64"/>
      <w:bookmarkStart w:id="65" w:name="_Hlt26670354"/>
      <w:bookmarkEnd w:id="65"/>
      <w:bookmarkStart w:id="66" w:name="_Hlt26954830"/>
      <w:bookmarkEnd w:id="66"/>
      <w:bookmarkStart w:id="67" w:name="_Hlt26954832"/>
      <w:bookmarkEnd w:id="67"/>
      <w:bookmarkStart w:id="68" w:name="_Hlt26668969"/>
      <w:bookmarkEnd w:id="68"/>
      <w:bookmarkStart w:id="69" w:name="_Toc14577351"/>
      <w:bookmarkStart w:id="70" w:name="_Toc462564072"/>
      <w:bookmarkStart w:id="71" w:name="_Toc61149553"/>
      <w:bookmarkStart w:id="72" w:name="_Toc513029213"/>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8、现场踏勘</w:t>
      </w:r>
    </w:p>
    <w:p>
      <w:pPr>
        <w:spacing w:line="420" w:lineRule="exact"/>
        <w:ind w:firstLine="480" w:firstLineChars="200"/>
        <w:rPr>
          <w:rFonts w:asciiTheme="majorEastAsia" w:hAnsiTheme="majorEastAsia" w:eastAsiaTheme="majorEastAsia"/>
          <w:sz w:val="24"/>
        </w:rPr>
      </w:pPr>
      <w:r>
        <w:rPr>
          <w:rFonts w:hint="eastAsia" w:asciiTheme="majorEastAsia" w:hAnsiTheme="majorEastAsia" w:eastAsiaTheme="majorEastAsia"/>
          <w:sz w:val="24"/>
        </w:rPr>
        <w:t>8.1 地点：江苏医药职业学院内。</w:t>
      </w:r>
    </w:p>
    <w:p>
      <w:pPr>
        <w:spacing w:line="420" w:lineRule="exact"/>
        <w:ind w:firstLine="480" w:firstLineChars="200"/>
        <w:rPr>
          <w:rFonts w:asciiTheme="majorEastAsia" w:hAnsiTheme="majorEastAsia" w:eastAsiaTheme="majorEastAsia"/>
          <w:sz w:val="24"/>
        </w:rPr>
      </w:pPr>
      <w:r>
        <w:rPr>
          <w:rFonts w:hint="eastAsia" w:asciiTheme="majorEastAsia" w:hAnsiTheme="majorEastAsia" w:eastAsiaTheme="majorEastAsia"/>
          <w:sz w:val="24"/>
        </w:rPr>
        <w:t>8.2 现场踏勘要求：投标人均应自行到工程实施现场进行踏勘，充分了解工地位置、情况、道路、储存空间、作业条件、基层状况及任何其它足以影响投标价的情况，并实际踏勘招标人需要建设的实际工地现场。联系人：周老师；联系电话：18205111528</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特别提醒：</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招标人会根据招标需要，可能会不定期在“江苏医药职业学院网站”发布该项目补充答疑等澄清修改文件，请各投标人自行网上查寻，未能及时查阅响应而影响投标的，结果由投标人负责。</w:t>
      </w:r>
    </w:p>
    <w:p>
      <w:pPr>
        <w:spacing w:line="420" w:lineRule="exact"/>
        <w:ind w:firstLine="482" w:firstLineChars="200"/>
        <w:rPr>
          <w:rFonts w:ascii="宋体" w:hAnsi="宋体"/>
          <w:color w:val="000000" w:themeColor="text1"/>
          <w:sz w:val="24"/>
          <w:szCs w:val="24"/>
        </w:rPr>
      </w:pPr>
      <w:r>
        <w:rPr>
          <w:rFonts w:ascii="宋体" w:hAnsi="宋体"/>
          <w:b/>
          <w:color w:val="000000" w:themeColor="text1"/>
          <w:sz w:val="24"/>
          <w:szCs w:val="24"/>
        </w:rPr>
        <w:t>二、磋商响应文件的编制</w:t>
      </w:r>
      <w:bookmarkEnd w:id="69"/>
      <w:bookmarkEnd w:id="70"/>
      <w:bookmarkEnd w:id="71"/>
      <w:bookmarkEnd w:id="72"/>
      <w:bookmarkStart w:id="73" w:name="_Toc513029223"/>
      <w:bookmarkStart w:id="74" w:name="_Toc14577361"/>
      <w:bookmarkStart w:id="75" w:name="_Toc61149561"/>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1、磋商响应文件份数和签署</w:t>
      </w:r>
      <w:bookmarkEnd w:id="73"/>
      <w:bookmarkEnd w:id="74"/>
      <w:bookmarkEnd w:id="75"/>
    </w:p>
    <w:p>
      <w:pPr>
        <w:spacing w:line="420" w:lineRule="exact"/>
        <w:ind w:firstLine="480" w:firstLineChars="200"/>
        <w:rPr>
          <w:rFonts w:ascii="宋体" w:hAnsi="宋体"/>
          <w:b/>
          <w:color w:val="000000" w:themeColor="text1"/>
          <w:sz w:val="24"/>
          <w:szCs w:val="24"/>
        </w:rPr>
      </w:pPr>
      <w:r>
        <w:rPr>
          <w:rFonts w:ascii="宋体" w:hAnsi="宋体"/>
          <w:color w:val="000000" w:themeColor="text1"/>
          <w:sz w:val="24"/>
          <w:szCs w:val="24"/>
        </w:rPr>
        <w:t>1.1磋商供应商应严格按照采购邀请要求准备磋商响应文件（以下简称响应文件），每份响应文件须清楚地标明“正本”或“副本”字样。</w:t>
      </w:r>
      <w:r>
        <w:rPr>
          <w:rFonts w:hint="eastAsia" w:ascii="宋体" w:hAnsi="宋体"/>
          <w:color w:val="000000" w:themeColor="text1"/>
          <w:sz w:val="24"/>
          <w:szCs w:val="24"/>
        </w:rPr>
        <w:t>正本份数：1份；副本份数：4份。</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响应文件的正本和所有的副本均需打印或复印。响应文件正本中，磋商文件要求提供原件的必须按照要求提供，文字材料需打印或用不褪色墨水书写，响应文件正本须经法定代表人或授权代表签字和加盖磋商供应商公章。本磋商文件所表述（指定）的公章是指刻有</w:t>
      </w:r>
      <w:r>
        <w:rPr>
          <w:rFonts w:hint="eastAsia" w:ascii="宋体" w:hAnsi="宋体"/>
          <w:color w:val="000000" w:themeColor="text1"/>
          <w:sz w:val="24"/>
          <w:szCs w:val="24"/>
        </w:rPr>
        <w:t>磋商</w:t>
      </w:r>
      <w:r>
        <w:rPr>
          <w:rFonts w:ascii="宋体" w:hAnsi="宋体"/>
          <w:color w:val="000000" w:themeColor="text1"/>
          <w:sz w:val="24"/>
          <w:szCs w:val="24"/>
        </w:rPr>
        <w:t>供应商法定名称的印章，不包括合同、财务、税务、发票等形式的业务专用章。</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1.2 除磋商供应商对错处做必要修改外，响应文件不得行间插字、涂改或增删。如有修改错漏处，必须由响应文件签署人签字或盖章。</w:t>
      </w:r>
      <w:bookmarkStart w:id="76" w:name="_Hlt26954834"/>
      <w:bookmarkEnd w:id="76"/>
      <w:bookmarkStart w:id="77" w:name="_Toc513029215"/>
      <w:bookmarkStart w:id="78" w:name="_Toc14577353"/>
      <w:bookmarkStart w:id="79" w:name="_Toc462564074"/>
      <w:bookmarkStart w:id="80" w:name="_Toc61149555"/>
      <w:bookmarkStart w:id="81" w:name="_Toc462564073"/>
      <w:bookmarkStart w:id="82" w:name="_Toc14577352"/>
      <w:bookmarkStart w:id="83" w:name="_Toc513029214"/>
      <w:bookmarkStart w:id="84" w:name="_Toc61149554"/>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2、响应文件</w:t>
      </w:r>
      <w:bookmarkEnd w:id="77"/>
      <w:bookmarkEnd w:id="78"/>
      <w:bookmarkEnd w:id="79"/>
      <w:bookmarkEnd w:id="80"/>
      <w:r>
        <w:rPr>
          <w:rFonts w:ascii="宋体" w:hAnsi="宋体"/>
          <w:color w:val="000000" w:themeColor="text1"/>
          <w:sz w:val="24"/>
          <w:szCs w:val="24"/>
        </w:rPr>
        <w:t>编制要求</w:t>
      </w:r>
      <w:bookmarkEnd w:id="81"/>
      <w:bookmarkEnd w:id="82"/>
      <w:bookmarkEnd w:id="83"/>
      <w:bookmarkEnd w:id="84"/>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2.1磋商供应商提交的响应文件以及磋商供应商与采购人就有关磋商的所有来往函电均应使用简体中文。磋商文件中既有中文也有外文的，以中文意义为准。</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2.2 除技术性能另有规定外，响应文件所使用的度量衡单位，均须采用国家法定计量单位。</w:t>
      </w:r>
      <w:bookmarkStart w:id="85" w:name="_Hlt26670357"/>
      <w:bookmarkEnd w:id="85"/>
      <w:bookmarkStart w:id="86" w:name="_Hlt26954836"/>
      <w:bookmarkEnd w:id="86"/>
      <w:bookmarkStart w:id="87" w:name="_Toc14577357"/>
      <w:bookmarkStart w:id="88" w:name="_Toc513029219"/>
      <w:bookmarkStart w:id="89" w:name="_Toc61149558"/>
      <w:bookmarkStart w:id="90" w:name="_Toc14577355"/>
      <w:bookmarkStart w:id="91" w:name="_Toc513029217"/>
      <w:bookmarkStart w:id="92" w:name="_Toc61149557"/>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3、参加磋商供应商资格的文件</w:t>
      </w:r>
      <w:bookmarkEnd w:id="87"/>
      <w:bookmarkEnd w:id="88"/>
      <w:bookmarkEnd w:id="89"/>
      <w:r>
        <w:rPr>
          <w:rFonts w:ascii="宋体" w:hAnsi="宋体"/>
          <w:color w:val="000000" w:themeColor="text1"/>
          <w:sz w:val="24"/>
          <w:szCs w:val="24"/>
        </w:rPr>
        <w:t>证明</w:t>
      </w:r>
    </w:p>
    <w:p>
      <w:pPr>
        <w:spacing w:line="420" w:lineRule="exact"/>
        <w:ind w:firstLine="480" w:firstLineChars="200"/>
        <w:rPr>
          <w:rFonts w:ascii="宋体" w:hAnsi="宋体"/>
          <w:color w:val="000000" w:themeColor="text1"/>
          <w:sz w:val="24"/>
          <w:szCs w:val="24"/>
        </w:rPr>
      </w:pPr>
      <w:bookmarkStart w:id="93" w:name="_Hlt26668999"/>
      <w:bookmarkEnd w:id="93"/>
      <w:r>
        <w:rPr>
          <w:rFonts w:ascii="宋体" w:hAnsi="宋体"/>
          <w:color w:val="000000" w:themeColor="text1"/>
          <w:sz w:val="24"/>
          <w:szCs w:val="24"/>
        </w:rPr>
        <w:t>3.1磋商供应商应提交证明其有资格参加磋商和成交后有能力独立履行合同的文件，并作为其响应文件的一部分。</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3.2磋商供应商除必须具有履行合同所需提供的服务能力外，还必须具备相应的财务、技术方面的能力。</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3.3磋商供应商应填写并提交磋商文件所附的“</w:t>
      </w:r>
      <w:r>
        <w:rPr>
          <w:rFonts w:ascii="宋体" w:hAnsi="宋体"/>
          <w:b/>
          <w:color w:val="000000" w:themeColor="text1"/>
          <w:sz w:val="24"/>
          <w:szCs w:val="24"/>
        </w:rPr>
        <w:t>资信证明文件</w:t>
      </w:r>
      <w:r>
        <w:rPr>
          <w:rFonts w:ascii="宋体" w:hAnsi="宋体"/>
          <w:color w:val="000000" w:themeColor="text1"/>
          <w:sz w:val="24"/>
          <w:szCs w:val="24"/>
        </w:rPr>
        <w:t>”。</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4、磋商响应报价</w:t>
      </w:r>
      <w:bookmarkEnd w:id="90"/>
      <w:bookmarkEnd w:id="91"/>
      <w:bookmarkStart w:id="94" w:name="_Hlt26670373"/>
      <w:bookmarkEnd w:id="94"/>
      <w:r>
        <w:rPr>
          <w:rFonts w:ascii="宋体" w:hAnsi="宋体"/>
          <w:color w:val="000000" w:themeColor="text1"/>
          <w:sz w:val="24"/>
          <w:szCs w:val="24"/>
        </w:rPr>
        <w:t>表</w:t>
      </w:r>
      <w:bookmarkEnd w:id="92"/>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4.1磋商供应商应按照磋商文件规定格式填报磋商响应报价表（含分项报价）。每项服务只允许有一个报价，任何有选择的报价将不予接受，磋商文件中另有规定的按规定执行。</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4.2标的物</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详见项目需求。</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4.3有关费用处理</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本次采购磋商供应商的总报价应包括磋商供应商为完成竞争性磋商文件所确定的招标范围内的全部服务工作内容所发生的一切费用。</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本次招标设一个包，不拆分细项。</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4.4其它费用处理</w:t>
      </w:r>
    </w:p>
    <w:p>
      <w:pPr>
        <w:spacing w:line="42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4.4.1</w:t>
      </w:r>
      <w:r>
        <w:rPr>
          <w:rFonts w:ascii="宋体" w:hAnsi="宋体"/>
          <w:color w:val="000000" w:themeColor="text1"/>
          <w:sz w:val="24"/>
          <w:szCs w:val="24"/>
        </w:rPr>
        <w:t>磋商文件未列明，而磋商供应商认为必须的费用也须列入报价。</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4.5报价采用的货币</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响应文件中的单价和总价，无特殊规定的采用人民币报价，以元为单位标注。磋商文件中另有规定的按规定执行。</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4.6 磋商响应报价表上的价格应按磋商文件规定填写。</w:t>
      </w:r>
      <w:bookmarkStart w:id="95" w:name="_Hlt26954842"/>
      <w:bookmarkEnd w:id="95"/>
      <w:bookmarkStart w:id="96" w:name="_Hlt26670403"/>
      <w:bookmarkEnd w:id="96"/>
      <w:bookmarkStart w:id="97" w:name="_Hlt26668983"/>
      <w:bookmarkEnd w:id="97"/>
      <w:bookmarkStart w:id="98" w:name="_Hlt26670482"/>
      <w:bookmarkEnd w:id="98"/>
      <w:bookmarkStart w:id="99" w:name="_Hlt26670425"/>
      <w:bookmarkEnd w:id="99"/>
      <w:bookmarkStart w:id="100" w:name="_Hlt26954848"/>
      <w:bookmarkEnd w:id="100"/>
      <w:bookmarkStart w:id="101" w:name="_Hlt26954731"/>
      <w:bookmarkEnd w:id="101"/>
      <w:bookmarkStart w:id="102" w:name="_Hlt26954846"/>
      <w:bookmarkEnd w:id="102"/>
      <w:bookmarkStart w:id="103" w:name="_Hlt26954844"/>
      <w:bookmarkEnd w:id="103"/>
      <w:bookmarkStart w:id="104" w:name="_Hlt26670486"/>
      <w:bookmarkEnd w:id="104"/>
      <w:bookmarkStart w:id="105" w:name="_Toc61149559"/>
      <w:bookmarkStart w:id="106" w:name="_Toc513029221"/>
      <w:bookmarkStart w:id="107" w:name="_Toc14577359"/>
    </w:p>
    <w:p>
      <w:pPr>
        <w:spacing w:line="420" w:lineRule="exact"/>
        <w:ind w:firstLine="480" w:firstLineChars="200"/>
        <w:rPr>
          <w:rFonts w:asciiTheme="majorEastAsia" w:hAnsiTheme="majorEastAsia" w:eastAsiaTheme="majorEastAsia"/>
          <w:sz w:val="24"/>
        </w:rPr>
      </w:pPr>
      <w:r>
        <w:rPr>
          <w:rFonts w:hint="eastAsia" w:asciiTheme="majorEastAsia" w:hAnsiTheme="majorEastAsia" w:eastAsiaTheme="majorEastAsia"/>
          <w:sz w:val="24"/>
        </w:rPr>
        <w:t>4.7 投标人应按投标人自行踏勘现场情况和招标人要求为准,任何有选择的报价将不予接受。投标人未填报单价或合价的工程项目，在实施后，招标人将不予支付，并视为该项费用已包括在其他有价款的单价或合价内。</w:t>
      </w:r>
    </w:p>
    <w:p>
      <w:pPr>
        <w:spacing w:line="420" w:lineRule="exact"/>
        <w:ind w:firstLine="480" w:firstLineChars="200"/>
        <w:rPr>
          <w:rFonts w:asciiTheme="majorEastAsia" w:hAnsiTheme="majorEastAsia" w:eastAsiaTheme="majorEastAsia"/>
          <w:sz w:val="24"/>
        </w:rPr>
      </w:pPr>
      <w:r>
        <w:rPr>
          <w:rFonts w:hint="eastAsia" w:asciiTheme="majorEastAsia" w:hAnsiTheme="majorEastAsia" w:eastAsiaTheme="majorEastAsia"/>
          <w:sz w:val="24"/>
        </w:rPr>
        <w:t>4.8投标人可先到工地现场踏勘以充分了解工地位置、情况、道路、储存空间、装卸限制以及任何其他足以影响投标价的情况，任何因忽视或误解工地情况而导致的索赔或工期延长申请将不被批准。</w:t>
      </w:r>
    </w:p>
    <w:p>
      <w:pPr>
        <w:spacing w:line="420" w:lineRule="exact"/>
        <w:ind w:firstLine="480" w:firstLineChars="200"/>
        <w:rPr>
          <w:rFonts w:asciiTheme="majorEastAsia" w:hAnsiTheme="majorEastAsia" w:eastAsiaTheme="majorEastAsia"/>
          <w:sz w:val="24"/>
        </w:rPr>
      </w:pPr>
      <w:r>
        <w:rPr>
          <w:rFonts w:hint="eastAsia" w:asciiTheme="majorEastAsia" w:hAnsiTheme="majorEastAsia" w:eastAsiaTheme="majorEastAsia"/>
          <w:sz w:val="24"/>
        </w:rPr>
        <w:t xml:space="preserve">4.9中标人中标后，中标综合单价不作调整。 </w:t>
      </w:r>
    </w:p>
    <w:p>
      <w:pPr>
        <w:spacing w:line="420" w:lineRule="exact"/>
        <w:ind w:firstLine="480" w:firstLineChars="200"/>
        <w:rPr>
          <w:rFonts w:asciiTheme="majorEastAsia" w:hAnsiTheme="majorEastAsia" w:eastAsiaTheme="majorEastAsia"/>
          <w:sz w:val="24"/>
        </w:rPr>
      </w:pPr>
      <w:r>
        <w:rPr>
          <w:rFonts w:hint="eastAsia" w:asciiTheme="majorEastAsia" w:hAnsiTheme="majorEastAsia" w:eastAsiaTheme="majorEastAsia"/>
          <w:sz w:val="24"/>
        </w:rPr>
        <w:t>4.10措施项目项费一次性报价，包干使用，工程实施过程中不予调整。</w:t>
      </w:r>
    </w:p>
    <w:p>
      <w:pPr>
        <w:spacing w:line="420" w:lineRule="exact"/>
        <w:ind w:firstLine="480" w:firstLineChars="200"/>
        <w:rPr>
          <w:rFonts w:asciiTheme="majorEastAsia" w:hAnsiTheme="majorEastAsia" w:eastAsiaTheme="majorEastAsia"/>
          <w:sz w:val="24"/>
        </w:rPr>
      </w:pPr>
      <w:r>
        <w:rPr>
          <w:rFonts w:hint="eastAsia" w:asciiTheme="majorEastAsia" w:hAnsiTheme="majorEastAsia" w:eastAsiaTheme="majorEastAsia"/>
          <w:sz w:val="24"/>
        </w:rPr>
        <w:t xml:space="preserve">4.11招标人提供的工程量清单仅为参考报价清单，各投标人根据招标人提供的施工图纸、招标工作任务要求及现场踏勘情况自拟报价清单（必须详细可指导现场施工，可以供甲方现场管理和结算依据用，否则投标人自行承担后果，工程量不予结算），因此招标人要求投标人认真阅读施工图纸和招标人的工作任务要求，认真进行现场踏勘，投标报价应为完成该项目施工图纸和工作任务要求范围内的全部内容总报价。 </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5、项目需求响应方案</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5.1提供为完成本项目的总体实施方案。</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5.2对磋商文件中项目需求的技术与商务条款要求逐项作出应答，并提供依据或说明</w:t>
      </w:r>
      <w:r>
        <w:rPr>
          <w:rFonts w:hint="eastAsia" w:ascii="宋体" w:hAnsi="宋体"/>
          <w:color w:val="000000" w:themeColor="text1"/>
          <w:sz w:val="24"/>
          <w:szCs w:val="24"/>
        </w:rPr>
        <w:t>。</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5.3磋商供应商认为需要的其他技术文件或说明。</w:t>
      </w:r>
    </w:p>
    <w:p>
      <w:pPr>
        <w:spacing w:line="420" w:lineRule="exact"/>
        <w:ind w:firstLine="480" w:firstLineChars="200"/>
        <w:rPr>
          <w:rFonts w:asciiTheme="majorEastAsia" w:hAnsiTheme="majorEastAsia" w:eastAsiaTheme="majorEastAsia"/>
          <w:b/>
          <w:bCs/>
          <w:sz w:val="24"/>
        </w:rPr>
      </w:pPr>
      <w:r>
        <w:rPr>
          <w:rFonts w:hint="eastAsia" w:asciiTheme="majorEastAsia" w:hAnsiTheme="majorEastAsia" w:eastAsiaTheme="majorEastAsia"/>
          <w:bCs/>
          <w:sz w:val="24"/>
        </w:rPr>
        <w:t>6、</w:t>
      </w:r>
      <w:r>
        <w:rPr>
          <w:rFonts w:hint="eastAsia" w:asciiTheme="majorEastAsia" w:hAnsiTheme="majorEastAsia" w:eastAsiaTheme="majorEastAsia"/>
          <w:b/>
          <w:bCs/>
          <w:sz w:val="24"/>
        </w:rPr>
        <w:t>投标文件构成</w:t>
      </w:r>
    </w:p>
    <w:p>
      <w:pPr>
        <w:spacing w:line="420" w:lineRule="exact"/>
        <w:ind w:firstLine="480" w:firstLineChars="200"/>
        <w:rPr>
          <w:rFonts w:asciiTheme="majorEastAsia" w:hAnsiTheme="majorEastAsia" w:eastAsiaTheme="majorEastAsia"/>
          <w:sz w:val="24"/>
        </w:rPr>
      </w:pPr>
      <w:r>
        <w:rPr>
          <w:rFonts w:hint="eastAsia" w:asciiTheme="majorEastAsia" w:hAnsiTheme="majorEastAsia" w:eastAsiaTheme="majorEastAsia"/>
          <w:bCs/>
          <w:sz w:val="24"/>
        </w:rPr>
        <w:t>6.1</w:t>
      </w:r>
      <w:r>
        <w:rPr>
          <w:rFonts w:hint="eastAsia" w:asciiTheme="majorEastAsia" w:hAnsiTheme="majorEastAsia" w:eastAsiaTheme="majorEastAsia"/>
          <w:sz w:val="24"/>
        </w:rPr>
        <w:t>投标人编写投标文件应按照招标文件要求及“投标文件的组成及格式”的要求制作投标文件。投标文件应（至少）包括（但不限于）：</w:t>
      </w:r>
    </w:p>
    <w:p>
      <w:pPr>
        <w:pStyle w:val="2"/>
        <w:spacing w:line="420" w:lineRule="exact"/>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（1）资信证明文件（见格式）；</w:t>
      </w:r>
    </w:p>
    <w:p>
      <w:pPr>
        <w:pStyle w:val="2"/>
        <w:spacing w:line="420" w:lineRule="exact"/>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（2）资格性审查响应对照表（见格式）；</w:t>
      </w:r>
    </w:p>
    <w:p>
      <w:pPr>
        <w:pStyle w:val="2"/>
        <w:spacing w:line="420" w:lineRule="exact"/>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（3）符合性检查响应对照表（见格式）；</w:t>
      </w:r>
    </w:p>
    <w:p>
      <w:pPr>
        <w:pStyle w:val="2"/>
        <w:spacing w:line="420" w:lineRule="exact"/>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（4）投标函（格式）；</w:t>
      </w:r>
    </w:p>
    <w:p>
      <w:pPr>
        <w:pStyle w:val="2"/>
        <w:spacing w:line="420" w:lineRule="exact"/>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（5）开标一览表（格式），投标人必须按表中规定格式完整、清晰、正确填写，装入投标文件；</w:t>
      </w:r>
    </w:p>
    <w:p>
      <w:pPr>
        <w:pStyle w:val="24"/>
        <w:spacing w:line="420" w:lineRule="exact"/>
        <w:ind w:firstLine="562"/>
        <w:rPr>
          <w:rFonts w:asciiTheme="majorEastAsia" w:hAnsiTheme="majorEastAsia" w:eastAsiaTheme="majorEastAsia"/>
          <w:sz w:val="24"/>
          <w:szCs w:val="24"/>
        </w:rPr>
      </w:pPr>
      <w:bookmarkStart w:id="108" w:name="_Hlt26668975"/>
      <w:bookmarkEnd w:id="108"/>
      <w:bookmarkStart w:id="109" w:name="_Hlt26670360"/>
      <w:bookmarkEnd w:id="109"/>
      <w:bookmarkStart w:id="110" w:name="_Hlt26954838"/>
      <w:bookmarkEnd w:id="110"/>
      <w:r>
        <w:rPr>
          <w:rFonts w:hint="eastAsia" w:asciiTheme="majorEastAsia" w:hAnsiTheme="majorEastAsia" w:eastAsiaTheme="majorEastAsia"/>
          <w:sz w:val="24"/>
          <w:szCs w:val="24"/>
        </w:rPr>
        <w:t>（6）详细的工程量清单报价表。投标人投标时提供的工程量清单应为完成项目施工图纸的全部内容的工程量清单</w:t>
      </w:r>
      <w:r>
        <w:rPr>
          <w:rFonts w:hint="eastAsia" w:asciiTheme="majorEastAsia" w:hAnsiTheme="majorEastAsia" w:eastAsiaTheme="majorEastAsia"/>
          <w:b/>
          <w:sz w:val="24"/>
          <w:szCs w:val="24"/>
        </w:rPr>
        <w:t>(招标人招标时的工程量清单仅为参考清单)</w:t>
      </w:r>
      <w:r>
        <w:rPr>
          <w:rFonts w:hint="eastAsia" w:asciiTheme="majorEastAsia" w:hAnsiTheme="majorEastAsia" w:eastAsiaTheme="majorEastAsia"/>
          <w:sz w:val="24"/>
          <w:szCs w:val="24"/>
        </w:rPr>
        <w:t>，必须详细到可指导现场施工，可以供甲方现场管理和结算依据用，否则投标人自行承担后果。</w:t>
      </w:r>
    </w:p>
    <w:p>
      <w:pPr>
        <w:pStyle w:val="24"/>
        <w:spacing w:line="420" w:lineRule="exact"/>
        <w:ind w:firstLine="562"/>
        <w:rPr>
          <w:rFonts w:asciiTheme="majorEastAsia" w:hAnsiTheme="majorEastAsia" w:eastAsiaTheme="majorEastAsia"/>
          <w:sz w:val="24"/>
          <w:szCs w:val="24"/>
        </w:rPr>
      </w:pPr>
      <w:r>
        <w:rPr>
          <w:rFonts w:hint="eastAsia" w:asciiTheme="majorEastAsia" w:hAnsiTheme="majorEastAsia" w:eastAsiaTheme="majorEastAsia"/>
          <w:sz w:val="24"/>
          <w:szCs w:val="24"/>
        </w:rPr>
        <w:t>（7）施工方案一般必须具备如下内容（但不限于）：</w:t>
      </w:r>
    </w:p>
    <w:p>
      <w:pPr>
        <w:pStyle w:val="24"/>
        <w:spacing w:line="420" w:lineRule="exact"/>
        <w:ind w:firstLine="562"/>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1、总体概述：施工组织总体设想、方案针对性及施工段划分；</w:t>
      </w:r>
    </w:p>
    <w:p>
      <w:pPr>
        <w:pStyle w:val="24"/>
        <w:spacing w:line="420" w:lineRule="exact"/>
        <w:ind w:firstLine="562"/>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2、各分部项工程的施工组织设计及质量保证措施；</w:t>
      </w:r>
    </w:p>
    <w:p>
      <w:pPr>
        <w:pStyle w:val="24"/>
        <w:spacing w:line="420" w:lineRule="exact"/>
        <w:ind w:firstLine="562"/>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3、安全、文明施工及环境保护措施；</w:t>
      </w:r>
    </w:p>
    <w:p>
      <w:pPr>
        <w:pStyle w:val="24"/>
        <w:spacing w:line="420" w:lineRule="exact"/>
        <w:ind w:firstLine="562"/>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4、项目管理的人员配备、素质及管理经验；</w:t>
      </w:r>
    </w:p>
    <w:p>
      <w:pPr>
        <w:pStyle w:val="24"/>
        <w:spacing w:line="420" w:lineRule="exact"/>
        <w:ind w:firstLine="562"/>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5、劳动力、机械设备和材料投入计划；</w:t>
      </w:r>
    </w:p>
    <w:p>
      <w:pPr>
        <w:pStyle w:val="24"/>
        <w:spacing w:line="420" w:lineRule="exact"/>
        <w:ind w:firstLine="562"/>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6、关键施工技术、工艺及工程项目实施的重点、难点和解决方案；</w:t>
      </w:r>
    </w:p>
    <w:p>
      <w:pPr>
        <w:pStyle w:val="24"/>
        <w:spacing w:line="420" w:lineRule="exact"/>
        <w:ind w:firstLine="562"/>
        <w:rPr>
          <w:rFonts w:asciiTheme="majorEastAsia" w:hAnsiTheme="majorEastAsia" w:eastAsiaTheme="majorEastAsia"/>
          <w:sz w:val="24"/>
          <w:szCs w:val="24"/>
        </w:rPr>
      </w:pPr>
      <w:r>
        <w:rPr>
          <w:rFonts w:hint="eastAsia" w:asciiTheme="majorEastAsia" w:hAnsiTheme="majorEastAsia" w:eastAsiaTheme="majorEastAsia"/>
          <w:sz w:val="24"/>
          <w:szCs w:val="24"/>
        </w:rPr>
        <w:t>（8）评标办法规定的其它资料。</w:t>
      </w:r>
    </w:p>
    <w:p>
      <w:pPr>
        <w:pStyle w:val="24"/>
        <w:spacing w:line="420" w:lineRule="exact"/>
        <w:ind w:firstLine="562"/>
        <w:rPr>
          <w:rFonts w:asciiTheme="majorEastAsia" w:hAnsiTheme="majorEastAsia" w:eastAsiaTheme="majorEastAsia"/>
          <w:b/>
          <w:bCs/>
          <w:sz w:val="24"/>
          <w:szCs w:val="24"/>
        </w:rPr>
      </w:pPr>
      <w:r>
        <w:rPr>
          <w:rFonts w:hint="eastAsia" w:asciiTheme="majorEastAsia" w:hAnsiTheme="majorEastAsia" w:eastAsiaTheme="majorEastAsia"/>
          <w:sz w:val="24"/>
          <w:szCs w:val="24"/>
        </w:rPr>
        <w:t>6.2投标人应将投标文件按顺序装订成册，</w:t>
      </w:r>
      <w:r>
        <w:rPr>
          <w:rFonts w:hint="eastAsia" w:asciiTheme="majorEastAsia" w:hAnsiTheme="majorEastAsia" w:eastAsiaTheme="majorEastAsia"/>
          <w:bCs/>
          <w:sz w:val="24"/>
          <w:szCs w:val="24"/>
        </w:rPr>
        <w:t>正本份数：1份；副本份数：4份。</w:t>
      </w:r>
      <w:r>
        <w:rPr>
          <w:rFonts w:hint="eastAsia" w:asciiTheme="majorEastAsia" w:hAnsiTheme="majorEastAsia" w:eastAsiaTheme="majorEastAsia"/>
          <w:sz w:val="24"/>
          <w:szCs w:val="24"/>
        </w:rPr>
        <w:t>并编制投标文件资料目录。</w:t>
      </w:r>
    </w:p>
    <w:bookmarkEnd w:id="105"/>
    <w:bookmarkEnd w:id="106"/>
    <w:bookmarkEnd w:id="107"/>
    <w:p>
      <w:pPr>
        <w:spacing w:line="420" w:lineRule="exact"/>
        <w:ind w:firstLine="482" w:firstLineChars="200"/>
        <w:rPr>
          <w:rFonts w:ascii="宋体" w:hAnsi="宋体"/>
          <w:color w:val="000000" w:themeColor="text1"/>
          <w:sz w:val="24"/>
          <w:szCs w:val="24"/>
        </w:rPr>
      </w:pPr>
      <w:bookmarkStart w:id="111" w:name="_Toc513029224"/>
      <w:bookmarkStart w:id="112" w:name="_Toc14577362"/>
      <w:bookmarkStart w:id="113" w:name="_Toc61149562"/>
      <w:r>
        <w:rPr>
          <w:rFonts w:ascii="宋体" w:hAnsi="宋体"/>
          <w:b/>
          <w:color w:val="000000" w:themeColor="text1"/>
          <w:sz w:val="24"/>
          <w:szCs w:val="24"/>
        </w:rPr>
        <w:t>三、响应文件的递交</w:t>
      </w:r>
      <w:bookmarkEnd w:id="111"/>
      <w:bookmarkEnd w:id="112"/>
      <w:bookmarkEnd w:id="113"/>
      <w:bookmarkStart w:id="114" w:name="_Hlt26954856"/>
      <w:bookmarkEnd w:id="114"/>
      <w:bookmarkStart w:id="115" w:name="_Toc61149563"/>
      <w:bookmarkStart w:id="116" w:name="_Toc462564084"/>
      <w:bookmarkStart w:id="117" w:name="_Toc14577363"/>
      <w:bookmarkStart w:id="118" w:name="_Toc513029225"/>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1、响应文件</w:t>
      </w:r>
      <w:bookmarkStart w:id="119" w:name="_Hlt26954743"/>
      <w:bookmarkEnd w:id="119"/>
      <w:r>
        <w:rPr>
          <w:rFonts w:ascii="宋体" w:hAnsi="宋体"/>
          <w:color w:val="000000" w:themeColor="text1"/>
          <w:sz w:val="24"/>
          <w:szCs w:val="24"/>
        </w:rPr>
        <w:t>的密封和标记</w:t>
      </w:r>
      <w:bookmarkEnd w:id="115"/>
      <w:bookmarkEnd w:id="116"/>
      <w:bookmarkEnd w:id="117"/>
      <w:bookmarkEnd w:id="118"/>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1.1磋商供应商应严格按照采购邀请要求的份数准备响应文件，每份响应文件须清楚地标明“正本”或“副本”字样。一旦正本和副本不符，以正本为准。磋商供应商应将响应文件正本和所有副本密封。</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1.2密封的响应文件应：</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（1）按采购邀请中注明的地址送达规定地点；</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（2）注明参加磋商项目名称、磋商文件编号及参加的分包号；</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（3）密封包装上应写明磋商供应商名称。</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1.3如果密封包装未按要求密封和加写标记，采购</w:t>
      </w:r>
      <w:r>
        <w:rPr>
          <w:rFonts w:hint="eastAsia" w:ascii="宋体" w:hAnsi="宋体"/>
          <w:color w:val="000000" w:themeColor="text1"/>
          <w:sz w:val="24"/>
          <w:szCs w:val="24"/>
        </w:rPr>
        <w:t>人</w:t>
      </w:r>
      <w:r>
        <w:rPr>
          <w:rFonts w:ascii="宋体" w:hAnsi="宋体"/>
          <w:color w:val="000000" w:themeColor="text1"/>
          <w:sz w:val="24"/>
          <w:szCs w:val="24"/>
        </w:rPr>
        <w:t>对误投或过早启封概不负责。对由此造成提前开封的响应文件，采购</w:t>
      </w:r>
      <w:r>
        <w:rPr>
          <w:rFonts w:hint="eastAsia" w:ascii="宋体" w:hAnsi="宋体"/>
          <w:color w:val="000000" w:themeColor="text1"/>
          <w:sz w:val="24"/>
          <w:szCs w:val="24"/>
        </w:rPr>
        <w:t>人</w:t>
      </w:r>
      <w:r>
        <w:rPr>
          <w:rFonts w:ascii="宋体" w:hAnsi="宋体"/>
          <w:color w:val="000000" w:themeColor="text1"/>
          <w:sz w:val="24"/>
          <w:szCs w:val="24"/>
        </w:rPr>
        <w:t>将予以拒绝。</w:t>
      </w:r>
      <w:bookmarkStart w:id="120" w:name="_Hlt26954752"/>
      <w:bookmarkEnd w:id="120"/>
      <w:bookmarkStart w:id="121" w:name="_Hlt26670496"/>
      <w:bookmarkEnd w:id="121"/>
      <w:bookmarkStart w:id="122" w:name="_Hlt26954858"/>
      <w:bookmarkEnd w:id="122"/>
      <w:bookmarkStart w:id="123" w:name="_Toc14577364"/>
      <w:bookmarkStart w:id="124" w:name="_Toc61149564"/>
      <w:bookmarkStart w:id="125" w:name="_Toc513029226"/>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2、</w:t>
      </w:r>
      <w:bookmarkEnd w:id="123"/>
      <w:bookmarkEnd w:id="124"/>
      <w:bookmarkEnd w:id="125"/>
      <w:r>
        <w:rPr>
          <w:rFonts w:ascii="宋体" w:hAnsi="宋体"/>
          <w:color w:val="000000" w:themeColor="text1"/>
          <w:sz w:val="24"/>
          <w:szCs w:val="24"/>
        </w:rPr>
        <w:t>响应文件开启时间</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2.1采购</w:t>
      </w:r>
      <w:r>
        <w:rPr>
          <w:rFonts w:hint="eastAsia" w:ascii="宋体" w:hAnsi="宋体"/>
          <w:color w:val="000000" w:themeColor="text1"/>
          <w:sz w:val="24"/>
          <w:szCs w:val="24"/>
        </w:rPr>
        <w:t>人</w:t>
      </w:r>
      <w:r>
        <w:rPr>
          <w:rFonts w:ascii="宋体" w:hAnsi="宋体"/>
          <w:color w:val="000000" w:themeColor="text1"/>
          <w:sz w:val="24"/>
          <w:szCs w:val="24"/>
        </w:rPr>
        <w:t>收到响应文件的时间不得迟于本磋商文件规定的响应文件接收截止时间</w:t>
      </w:r>
      <w:r>
        <w:rPr>
          <w:rFonts w:hint="eastAsia" w:ascii="宋体" w:hAnsi="宋体"/>
          <w:color w:val="000000" w:themeColor="text1"/>
          <w:sz w:val="24"/>
          <w:szCs w:val="24"/>
        </w:rPr>
        <w:t>。</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2.2采购</w:t>
      </w:r>
      <w:r>
        <w:rPr>
          <w:rFonts w:hint="eastAsia" w:ascii="宋体" w:hAnsi="宋体"/>
          <w:color w:val="000000" w:themeColor="text1"/>
          <w:sz w:val="24"/>
          <w:szCs w:val="24"/>
        </w:rPr>
        <w:t>人</w:t>
      </w:r>
      <w:r>
        <w:rPr>
          <w:rFonts w:ascii="宋体" w:hAnsi="宋体"/>
          <w:color w:val="000000" w:themeColor="text1"/>
          <w:sz w:val="24"/>
          <w:szCs w:val="24"/>
        </w:rPr>
        <w:t>有权通过修改磋商文件推迟响应文件接收截止时间，在此情况下，磋商供应商的所有权利和义务以及受制的响应文件接收截止时间均应以延长后新的响应文件接收截止时间为准。</w:t>
      </w:r>
      <w:bookmarkStart w:id="126" w:name="_Hlt26954860"/>
      <w:bookmarkEnd w:id="126"/>
      <w:bookmarkStart w:id="127" w:name="_Toc61149565"/>
      <w:bookmarkStart w:id="128" w:name="_Toc14577365"/>
      <w:bookmarkStart w:id="129" w:name="_Toc513029227"/>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3、迟交的响应文件</w:t>
      </w:r>
      <w:bookmarkEnd w:id="127"/>
      <w:bookmarkEnd w:id="128"/>
      <w:bookmarkEnd w:id="129"/>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3.1采购</w:t>
      </w:r>
      <w:r>
        <w:rPr>
          <w:rFonts w:hint="eastAsia" w:ascii="宋体" w:hAnsi="宋体"/>
          <w:color w:val="000000" w:themeColor="text1"/>
          <w:sz w:val="24"/>
          <w:szCs w:val="24"/>
        </w:rPr>
        <w:t>人</w:t>
      </w:r>
      <w:r>
        <w:rPr>
          <w:rFonts w:ascii="宋体" w:hAnsi="宋体"/>
          <w:color w:val="000000" w:themeColor="text1"/>
          <w:sz w:val="24"/>
          <w:szCs w:val="24"/>
        </w:rPr>
        <w:t>将拒绝在规定的响应文件接收截止时间后接收任何响应文件。</w:t>
      </w:r>
      <w:bookmarkStart w:id="130" w:name="_Hlt26954754"/>
      <w:bookmarkEnd w:id="130"/>
      <w:bookmarkStart w:id="131" w:name="_Hlt26954862"/>
      <w:bookmarkEnd w:id="131"/>
      <w:bookmarkStart w:id="132" w:name="_Toc14577366"/>
      <w:bookmarkStart w:id="133" w:name="_Toc513029228"/>
      <w:bookmarkStart w:id="134" w:name="_Toc61149566"/>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4、响应文件</w:t>
      </w:r>
      <w:bookmarkStart w:id="135" w:name="_Hlt26670588"/>
      <w:r>
        <w:rPr>
          <w:rFonts w:ascii="宋体" w:hAnsi="宋体"/>
          <w:color w:val="000000" w:themeColor="text1"/>
          <w:sz w:val="24"/>
          <w:szCs w:val="24"/>
        </w:rPr>
        <w:t>的修改</w:t>
      </w:r>
      <w:bookmarkEnd w:id="135"/>
      <w:r>
        <w:rPr>
          <w:rFonts w:ascii="宋体" w:hAnsi="宋体"/>
          <w:color w:val="000000" w:themeColor="text1"/>
          <w:sz w:val="24"/>
          <w:szCs w:val="24"/>
        </w:rPr>
        <w:t>和撤回</w:t>
      </w:r>
      <w:bookmarkEnd w:id="132"/>
      <w:bookmarkEnd w:id="133"/>
      <w:bookmarkEnd w:id="134"/>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4.1磋商供应商在递交响应文件后，可以修改或撤回其谈判响应文件，但这种修改和撤回，必须在规定的响应文件接收截止时间前，以书面形式送达指定地点。</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4.2磋商供应商的修改或撤回通知书，应按本文件规定进行编制、密封、标记和发送，并应在封套上加注“修改”和“撤回”字样。</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4.3 磋商供应商在提交最后报价之前，可以根据磋商情况退出磋商。</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5、磋商响应有效期</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5.1 磋商响应有效期为响应文件接收截止时间后</w:t>
      </w:r>
      <w:r>
        <w:rPr>
          <w:rFonts w:hint="eastAsia" w:ascii="宋体" w:hAnsi="宋体"/>
          <w:color w:val="000000" w:themeColor="text1"/>
          <w:sz w:val="24"/>
          <w:szCs w:val="24"/>
        </w:rPr>
        <w:t>三</w:t>
      </w:r>
      <w:r>
        <w:rPr>
          <w:rFonts w:ascii="宋体" w:hAnsi="宋体"/>
          <w:color w:val="000000" w:themeColor="text1"/>
          <w:sz w:val="24"/>
          <w:szCs w:val="24"/>
        </w:rPr>
        <w:t>十（</w:t>
      </w:r>
      <w:r>
        <w:rPr>
          <w:rFonts w:hint="eastAsia" w:ascii="宋体" w:hAnsi="宋体"/>
          <w:color w:val="000000" w:themeColor="text1"/>
          <w:sz w:val="24"/>
          <w:szCs w:val="24"/>
        </w:rPr>
        <w:t>3</w:t>
      </w:r>
      <w:r>
        <w:rPr>
          <w:rFonts w:ascii="宋体" w:hAnsi="宋体"/>
          <w:color w:val="000000" w:themeColor="text1"/>
          <w:sz w:val="24"/>
          <w:szCs w:val="24"/>
        </w:rPr>
        <w:t>0）天。磋商响应有效期比规定短的将被视为非实质性响应性而予以拒绝。</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5.2 在特殊情况下，采购</w:t>
      </w:r>
      <w:r>
        <w:rPr>
          <w:rFonts w:hint="eastAsia" w:ascii="宋体" w:hAnsi="宋体"/>
          <w:color w:val="000000" w:themeColor="text1"/>
          <w:sz w:val="24"/>
          <w:szCs w:val="24"/>
        </w:rPr>
        <w:t>人</w:t>
      </w:r>
      <w:r>
        <w:rPr>
          <w:rFonts w:ascii="宋体" w:hAnsi="宋体"/>
          <w:color w:val="000000" w:themeColor="text1"/>
          <w:sz w:val="24"/>
          <w:szCs w:val="24"/>
        </w:rPr>
        <w:t>于原磋商响应有效期满之前，可向磋商供应商提出延长磋商响应有效期的要求。这种要求与答复均应采用书面形式。磋商供应商可以拒绝采购</w:t>
      </w:r>
      <w:r>
        <w:rPr>
          <w:rFonts w:hint="eastAsia" w:ascii="宋体" w:hAnsi="宋体"/>
          <w:color w:val="000000" w:themeColor="text1"/>
          <w:sz w:val="24"/>
          <w:szCs w:val="24"/>
        </w:rPr>
        <w:t>人</w:t>
      </w:r>
      <w:r>
        <w:rPr>
          <w:rFonts w:ascii="宋体" w:hAnsi="宋体"/>
          <w:color w:val="000000" w:themeColor="text1"/>
          <w:sz w:val="24"/>
          <w:szCs w:val="24"/>
        </w:rPr>
        <w:t>的这一要求而放弃磋商响应。同意延长磋商响应有效期的磋商供应商既不能要求也不允许修改其响应文件</w:t>
      </w:r>
      <w:r>
        <w:rPr>
          <w:rFonts w:hint="eastAsia" w:ascii="宋体" w:hAnsi="宋体"/>
          <w:color w:val="000000" w:themeColor="text1"/>
          <w:sz w:val="24"/>
          <w:szCs w:val="24"/>
        </w:rPr>
        <w:t>，</w:t>
      </w:r>
      <w:r>
        <w:rPr>
          <w:rFonts w:ascii="宋体" w:hAnsi="宋体"/>
          <w:color w:val="000000" w:themeColor="text1"/>
          <w:sz w:val="24"/>
          <w:szCs w:val="24"/>
        </w:rPr>
        <w:t>同时受磋商响应有效期约束的所有权利与义务均延长至新的有效期。</w:t>
      </w:r>
      <w:bookmarkStart w:id="136" w:name="_Hlt26670523"/>
      <w:bookmarkEnd w:id="136"/>
      <w:bookmarkStart w:id="137" w:name="_Hlt26954864"/>
      <w:bookmarkEnd w:id="137"/>
    </w:p>
    <w:p>
      <w:pPr>
        <w:spacing w:line="420" w:lineRule="exact"/>
        <w:ind w:firstLine="482" w:firstLineChars="200"/>
        <w:rPr>
          <w:rFonts w:ascii="宋体" w:hAnsi="宋体"/>
          <w:color w:val="000000" w:themeColor="text1"/>
          <w:sz w:val="24"/>
          <w:szCs w:val="24"/>
        </w:rPr>
      </w:pPr>
      <w:r>
        <w:rPr>
          <w:rFonts w:ascii="宋体" w:hAnsi="宋体"/>
          <w:b/>
          <w:color w:val="000000" w:themeColor="text1"/>
          <w:sz w:val="24"/>
          <w:szCs w:val="24"/>
        </w:rPr>
        <w:t>四、磋商与评审</w:t>
      </w:r>
      <w:bookmarkStart w:id="138" w:name="_Toc16938546"/>
      <w:bookmarkStart w:id="139" w:name="_Toc513029230"/>
      <w:bookmarkStart w:id="140" w:name="_Toc20823302"/>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w:t>
      </w:r>
      <w:bookmarkEnd w:id="138"/>
      <w:bookmarkEnd w:id="139"/>
      <w:bookmarkEnd w:id="140"/>
      <w:r>
        <w:rPr>
          <w:rFonts w:ascii="宋体" w:hAnsi="宋体"/>
          <w:color w:val="000000" w:themeColor="text1"/>
          <w:sz w:val="24"/>
          <w:szCs w:val="24"/>
        </w:rPr>
        <w:t>磋商仪式</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1.1采购</w:t>
      </w:r>
      <w:r>
        <w:rPr>
          <w:rFonts w:hint="eastAsia" w:ascii="宋体" w:hAnsi="宋体"/>
          <w:color w:val="000000" w:themeColor="text1"/>
          <w:sz w:val="24"/>
          <w:szCs w:val="24"/>
        </w:rPr>
        <w:t>人</w:t>
      </w:r>
      <w:r>
        <w:rPr>
          <w:rFonts w:ascii="宋体" w:hAnsi="宋体"/>
          <w:color w:val="000000" w:themeColor="text1"/>
          <w:sz w:val="24"/>
          <w:szCs w:val="24"/>
        </w:rPr>
        <w:t>将在采购邀请中规定的时间和地点组织磋商开始仪式，仪式由采购</w:t>
      </w:r>
      <w:r>
        <w:rPr>
          <w:rFonts w:hint="eastAsia" w:ascii="宋体" w:hAnsi="宋体"/>
          <w:color w:val="000000" w:themeColor="text1"/>
          <w:sz w:val="24"/>
          <w:szCs w:val="24"/>
        </w:rPr>
        <w:t>人</w:t>
      </w:r>
      <w:r>
        <w:rPr>
          <w:rFonts w:ascii="宋体" w:hAnsi="宋体"/>
          <w:color w:val="000000" w:themeColor="text1"/>
          <w:sz w:val="24"/>
          <w:szCs w:val="24"/>
        </w:rPr>
        <w:t>主持，磋商供应商应委派携带有效证件的代表准时参加，参加仪式的代表需签名以证明其出席。</w:t>
      </w:r>
      <w:bookmarkStart w:id="141" w:name="_Toc16938547"/>
      <w:bookmarkStart w:id="142" w:name="_Toc20823303"/>
      <w:bookmarkStart w:id="143" w:name="_Toc513029231"/>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2、磋商小组</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2.1 磋商开始仪式结束后，采购</w:t>
      </w:r>
      <w:r>
        <w:rPr>
          <w:rFonts w:hint="eastAsia" w:ascii="宋体" w:hAnsi="宋体"/>
          <w:color w:val="000000" w:themeColor="text1"/>
          <w:sz w:val="24"/>
          <w:szCs w:val="24"/>
        </w:rPr>
        <w:t>人</w:t>
      </w:r>
      <w:r>
        <w:rPr>
          <w:rFonts w:ascii="宋体" w:hAnsi="宋体"/>
          <w:color w:val="000000" w:themeColor="text1"/>
          <w:sz w:val="24"/>
          <w:szCs w:val="24"/>
        </w:rPr>
        <w:t>将立即组织磋商小组进行评审。</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 xml:space="preserve">2.2 </w:t>
      </w:r>
      <w:r>
        <w:rPr>
          <w:rFonts w:hint="eastAsia" w:ascii="宋体" w:hAnsi="宋体"/>
          <w:color w:val="000000" w:themeColor="text1"/>
          <w:sz w:val="24"/>
          <w:szCs w:val="24"/>
        </w:rPr>
        <w:t>磋商小组由政府采购评审专家、采购人代表组成，人数为五人，其中技术、经济等方面的专家不得少于成员总数的三分之二。</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3、磋商评审过程的保密</w:t>
      </w:r>
      <w:bookmarkEnd w:id="141"/>
      <w:bookmarkEnd w:id="142"/>
      <w:bookmarkEnd w:id="143"/>
      <w:r>
        <w:rPr>
          <w:rFonts w:ascii="宋体" w:hAnsi="宋体"/>
          <w:color w:val="000000" w:themeColor="text1"/>
          <w:sz w:val="24"/>
          <w:szCs w:val="24"/>
        </w:rPr>
        <w:t>与公正</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3.1磋商小组、采购人和采购</w:t>
      </w:r>
      <w:r>
        <w:rPr>
          <w:rFonts w:hint="eastAsia" w:ascii="宋体" w:hAnsi="宋体"/>
          <w:color w:val="000000" w:themeColor="text1"/>
          <w:sz w:val="24"/>
          <w:szCs w:val="24"/>
        </w:rPr>
        <w:t>代理机构</w:t>
      </w:r>
      <w:r>
        <w:rPr>
          <w:rFonts w:ascii="宋体" w:hAnsi="宋体"/>
          <w:color w:val="000000" w:themeColor="text1"/>
          <w:sz w:val="24"/>
          <w:szCs w:val="24"/>
        </w:rPr>
        <w:t>工作人员、相关监督人员等与评审工作有关的人员，对评审情况以及在评审过程中获悉的国家秘密、商业秘密负有保密责任。</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3.2在磋商评审过程中，磋商供应商不得以任何行为影响磋商评审过程，否则其响应文件将被作为无效响应文件。</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3.3磋商小组成员应当按照客观、公正、审慎的原则，根据磋商文件规定的评审程序、评审方法和评审标准进行独立评审。未实质性响应磋商文件的响应文件按无效响应处理，磋商小组应当告知提交响应文件的</w:t>
      </w:r>
      <w:r>
        <w:rPr>
          <w:rFonts w:hint="eastAsia" w:ascii="宋体" w:hAnsi="宋体"/>
          <w:color w:val="000000" w:themeColor="text1"/>
          <w:sz w:val="24"/>
          <w:szCs w:val="24"/>
        </w:rPr>
        <w:t>磋商</w:t>
      </w:r>
      <w:r>
        <w:rPr>
          <w:rFonts w:ascii="宋体" w:hAnsi="宋体"/>
          <w:color w:val="000000" w:themeColor="text1"/>
          <w:sz w:val="24"/>
          <w:szCs w:val="24"/>
        </w:rPr>
        <w:t>供应商。</w:t>
      </w:r>
      <w:bookmarkStart w:id="144" w:name="_Toc16938548"/>
      <w:bookmarkStart w:id="145" w:name="_Toc513029232"/>
      <w:bookmarkStart w:id="146" w:name="_Toc20823304"/>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4、评审过程的澄清</w:t>
      </w:r>
      <w:bookmarkEnd w:id="144"/>
      <w:bookmarkEnd w:id="145"/>
      <w:bookmarkEnd w:id="146"/>
      <w:r>
        <w:rPr>
          <w:rFonts w:ascii="宋体" w:hAnsi="宋体"/>
          <w:color w:val="000000" w:themeColor="text1"/>
          <w:sz w:val="24"/>
          <w:szCs w:val="24"/>
        </w:rPr>
        <w:t>、说明和更正</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4.1磋商小组在对响应文件的有效性、完整性和响应程度进行审查时，可以要求</w:t>
      </w:r>
      <w:r>
        <w:rPr>
          <w:rFonts w:hint="eastAsia" w:ascii="宋体" w:hAnsi="宋体"/>
          <w:color w:val="000000" w:themeColor="text1"/>
          <w:sz w:val="24"/>
          <w:szCs w:val="24"/>
        </w:rPr>
        <w:t>磋商</w:t>
      </w:r>
      <w:r>
        <w:rPr>
          <w:rFonts w:ascii="宋体" w:hAnsi="宋体"/>
          <w:color w:val="000000" w:themeColor="text1"/>
          <w:sz w:val="24"/>
          <w:szCs w:val="24"/>
        </w:rPr>
        <w:t>供应商对响应文件中含义不明确、同类问题表述不一致或者有明显文字和计算错误的内容等作出必要的澄清、说明或者更正。</w:t>
      </w:r>
      <w:r>
        <w:rPr>
          <w:rFonts w:hint="eastAsia" w:ascii="宋体" w:hAnsi="宋体"/>
          <w:color w:val="000000" w:themeColor="text1"/>
          <w:sz w:val="24"/>
          <w:szCs w:val="24"/>
        </w:rPr>
        <w:t>磋商</w:t>
      </w:r>
      <w:r>
        <w:rPr>
          <w:rFonts w:ascii="宋体" w:hAnsi="宋体"/>
          <w:color w:val="000000" w:themeColor="text1"/>
          <w:sz w:val="24"/>
          <w:szCs w:val="24"/>
        </w:rPr>
        <w:t>供应商的澄清、说明或者更正不得超出响应文件的范围或者改变响应文件的实质性内容。</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4.2接到磋商小组要求的</w:t>
      </w:r>
      <w:r>
        <w:rPr>
          <w:rFonts w:hint="eastAsia" w:ascii="宋体" w:hAnsi="宋体"/>
          <w:color w:val="000000" w:themeColor="text1"/>
          <w:sz w:val="24"/>
          <w:szCs w:val="24"/>
        </w:rPr>
        <w:t>磋商</w:t>
      </w:r>
      <w:r>
        <w:rPr>
          <w:rFonts w:ascii="宋体" w:hAnsi="宋体"/>
          <w:color w:val="000000" w:themeColor="text1"/>
          <w:sz w:val="24"/>
          <w:szCs w:val="24"/>
        </w:rPr>
        <w:t>供应商应派人按磋商小组通知的时间和地点做出书面澄清、说明或更正。</w:t>
      </w:r>
      <w:r>
        <w:rPr>
          <w:rFonts w:hint="eastAsia" w:ascii="宋体" w:hAnsi="宋体"/>
          <w:color w:val="000000" w:themeColor="text1"/>
          <w:sz w:val="24"/>
          <w:szCs w:val="24"/>
        </w:rPr>
        <w:t>磋商</w:t>
      </w:r>
      <w:r>
        <w:rPr>
          <w:rFonts w:ascii="宋体" w:hAnsi="宋体"/>
          <w:color w:val="000000" w:themeColor="text1"/>
          <w:sz w:val="24"/>
          <w:szCs w:val="24"/>
        </w:rPr>
        <w:t>供应商的澄清、说明或者更正应当由法定代表人或授权代表签字或者加盖公章。由授权代表签字的，应当附法人授权书。</w:t>
      </w:r>
      <w:r>
        <w:rPr>
          <w:rFonts w:hint="eastAsia" w:ascii="宋体" w:hAnsi="宋体"/>
          <w:color w:val="000000" w:themeColor="text1"/>
          <w:sz w:val="24"/>
          <w:szCs w:val="24"/>
        </w:rPr>
        <w:t>磋商</w:t>
      </w:r>
      <w:r>
        <w:rPr>
          <w:rFonts w:ascii="宋体" w:hAnsi="宋体"/>
          <w:color w:val="000000" w:themeColor="text1"/>
          <w:sz w:val="24"/>
          <w:szCs w:val="24"/>
        </w:rPr>
        <w:t>供应商为自然人的，应当由本人签字并附身份证明。</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4.3 接到磋商小组澄清要求的</w:t>
      </w:r>
      <w:r>
        <w:rPr>
          <w:rFonts w:hint="eastAsia" w:ascii="宋体" w:hAnsi="宋体"/>
          <w:color w:val="000000" w:themeColor="text1"/>
          <w:sz w:val="24"/>
          <w:szCs w:val="24"/>
        </w:rPr>
        <w:t>磋商</w:t>
      </w:r>
      <w:r>
        <w:rPr>
          <w:rFonts w:ascii="宋体" w:hAnsi="宋体"/>
          <w:color w:val="000000" w:themeColor="text1"/>
          <w:sz w:val="24"/>
          <w:szCs w:val="24"/>
        </w:rPr>
        <w:t>供应商如未按规定做出澄清，其风险由</w:t>
      </w:r>
      <w:r>
        <w:rPr>
          <w:rFonts w:hint="eastAsia" w:ascii="宋体" w:hAnsi="宋体"/>
          <w:color w:val="000000" w:themeColor="text1"/>
          <w:sz w:val="24"/>
          <w:szCs w:val="24"/>
        </w:rPr>
        <w:t>磋商</w:t>
      </w:r>
      <w:r>
        <w:rPr>
          <w:rFonts w:ascii="宋体" w:hAnsi="宋体"/>
          <w:color w:val="000000" w:themeColor="text1"/>
          <w:sz w:val="24"/>
          <w:szCs w:val="24"/>
        </w:rPr>
        <w:t>供应商自行承担。</w:t>
      </w:r>
      <w:bookmarkStart w:id="147" w:name="_Toc16938549"/>
      <w:bookmarkStart w:id="148" w:name="_Toc20823305"/>
      <w:bookmarkStart w:id="149" w:name="_Toc513029233"/>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5、对响应文件的初审</w:t>
      </w:r>
      <w:bookmarkEnd w:id="147"/>
      <w:bookmarkEnd w:id="148"/>
      <w:bookmarkEnd w:id="149"/>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5.1响应文件初审分为资格性检查和符合性检查。</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资格性检查：依据法律法规和磋商文件的规定，对响应文件中的资格证明文件进行审查，以确定</w:t>
      </w:r>
      <w:r>
        <w:rPr>
          <w:rFonts w:hint="eastAsia" w:ascii="宋体" w:hAnsi="宋体"/>
          <w:color w:val="000000" w:themeColor="text1"/>
          <w:sz w:val="24"/>
          <w:szCs w:val="24"/>
        </w:rPr>
        <w:t>磋商</w:t>
      </w:r>
      <w:r>
        <w:rPr>
          <w:rFonts w:ascii="宋体" w:hAnsi="宋体"/>
          <w:color w:val="000000" w:themeColor="text1"/>
          <w:sz w:val="24"/>
          <w:szCs w:val="24"/>
        </w:rPr>
        <w:t>供应商是否具备参加磋商的资格。</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磋商小组在进行资格性审查的同时，将在“信用中国”网站（www.creditchina.gov.cn）对</w:t>
      </w:r>
      <w:r>
        <w:rPr>
          <w:rFonts w:hint="eastAsia" w:ascii="宋体" w:hAnsi="宋体"/>
          <w:color w:val="000000" w:themeColor="text1"/>
          <w:sz w:val="24"/>
          <w:szCs w:val="24"/>
        </w:rPr>
        <w:t>磋商</w:t>
      </w:r>
      <w:r>
        <w:rPr>
          <w:rFonts w:ascii="宋体" w:hAnsi="宋体"/>
          <w:color w:val="000000" w:themeColor="text1"/>
          <w:sz w:val="24"/>
          <w:szCs w:val="24"/>
        </w:rPr>
        <w:t>供应商是否被列入失信被执行人、重大税收违法案件当事人名单、政府采购严重失信行为记录名单情况进行查询，以确定</w:t>
      </w:r>
      <w:r>
        <w:rPr>
          <w:rFonts w:hint="eastAsia" w:ascii="宋体" w:hAnsi="宋体"/>
          <w:color w:val="000000" w:themeColor="text1"/>
          <w:sz w:val="24"/>
          <w:szCs w:val="24"/>
        </w:rPr>
        <w:t>磋商</w:t>
      </w:r>
      <w:r>
        <w:rPr>
          <w:rFonts w:ascii="宋体" w:hAnsi="宋体"/>
          <w:color w:val="000000" w:themeColor="text1"/>
          <w:sz w:val="24"/>
          <w:szCs w:val="24"/>
        </w:rPr>
        <w:t>供应商是否具备参加磋商的资格。查询结果将以网页打印的形式留存并归档。</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接受联合体的项目，两个以上的自然人、法人或者其他组织组成一个联合体，以一个</w:t>
      </w:r>
      <w:r>
        <w:rPr>
          <w:rFonts w:hint="eastAsia" w:ascii="宋体" w:hAnsi="宋体"/>
          <w:color w:val="000000" w:themeColor="text1"/>
          <w:sz w:val="24"/>
          <w:szCs w:val="24"/>
        </w:rPr>
        <w:t>磋商</w:t>
      </w:r>
      <w:r>
        <w:rPr>
          <w:rFonts w:ascii="宋体" w:hAnsi="宋体"/>
          <w:color w:val="000000" w:themeColor="text1"/>
          <w:sz w:val="24"/>
          <w:szCs w:val="24"/>
        </w:rPr>
        <w:t>供应商的身份共同参加政府采购活动的，联合体成员存在不良信用记录的，视同联合体存在不良应用记录。</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符合性检查：依据磋商文件的规定，从响应文件的有效性、完整性和对磋商文件的响应程度进行审查，以确定是否对磋商文件的实质性要求作出响应。</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5.2在正式磋商之前，磋商小组将首先审查每份响应文件是否实质性响应了磋商文件的要求。实质性响应的响应文件应该是与磋商文件要求的条款、条件和规格相符，没有重大偏离或保留。</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所谓重大偏离或保留是指与磋商文件规定的实质性要求存在负偏离，或者在实质上与磋商文件不一致，而且限制了合同中买方和见证方的权利或</w:t>
      </w:r>
      <w:r>
        <w:rPr>
          <w:rFonts w:hint="eastAsia" w:ascii="宋体" w:hAnsi="宋体"/>
          <w:color w:val="000000" w:themeColor="text1"/>
          <w:sz w:val="24"/>
          <w:szCs w:val="24"/>
        </w:rPr>
        <w:t>磋商</w:t>
      </w:r>
      <w:r>
        <w:rPr>
          <w:rFonts w:ascii="宋体" w:hAnsi="宋体"/>
          <w:color w:val="000000" w:themeColor="text1"/>
          <w:sz w:val="24"/>
          <w:szCs w:val="24"/>
        </w:rPr>
        <w:t>供应商的义务，纠正这些偏离或保留将会对其他实质性响应要求的</w:t>
      </w:r>
      <w:r>
        <w:rPr>
          <w:rFonts w:hint="eastAsia" w:ascii="宋体" w:hAnsi="宋体"/>
          <w:color w:val="000000" w:themeColor="text1"/>
          <w:sz w:val="24"/>
          <w:szCs w:val="24"/>
        </w:rPr>
        <w:t>磋商</w:t>
      </w:r>
      <w:r>
        <w:rPr>
          <w:rFonts w:ascii="宋体" w:hAnsi="宋体"/>
          <w:color w:val="000000" w:themeColor="text1"/>
          <w:sz w:val="24"/>
          <w:szCs w:val="24"/>
        </w:rPr>
        <w:t>供应商的竞争地位产生不公正的影响。是否属于重大偏离由谈判小组按照少数服从多数的原则作出结论。磋商小组决定响应文件的响应性只根据响应文件本身的内容，而不寻求外部的证据。</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5.3 被认定为未实质性响应磋商文件的响应文件的情形</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w:t>
      </w:r>
      <w:r>
        <w:rPr>
          <w:rFonts w:hint="eastAsia" w:ascii="宋体" w:hAnsi="宋体"/>
          <w:color w:val="000000" w:themeColor="text1"/>
          <w:sz w:val="24"/>
          <w:szCs w:val="24"/>
        </w:rPr>
        <w:t>1</w:t>
      </w:r>
      <w:r>
        <w:rPr>
          <w:rFonts w:ascii="宋体" w:hAnsi="宋体"/>
          <w:color w:val="000000" w:themeColor="text1"/>
          <w:sz w:val="24"/>
          <w:szCs w:val="24"/>
        </w:rPr>
        <w:t>）未按照磋商文件规定要求密封、签署、盖章的；</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w:t>
      </w:r>
      <w:r>
        <w:rPr>
          <w:rFonts w:hint="eastAsia" w:ascii="宋体" w:hAnsi="宋体"/>
          <w:color w:val="000000" w:themeColor="text1"/>
          <w:sz w:val="24"/>
          <w:szCs w:val="24"/>
        </w:rPr>
        <w:t>2</w:t>
      </w:r>
      <w:r>
        <w:rPr>
          <w:rFonts w:ascii="宋体" w:hAnsi="宋体"/>
          <w:color w:val="000000" w:themeColor="text1"/>
          <w:sz w:val="24"/>
          <w:szCs w:val="24"/>
        </w:rPr>
        <w:t>）</w:t>
      </w:r>
      <w:r>
        <w:rPr>
          <w:rFonts w:hint="eastAsia" w:ascii="宋体" w:hAnsi="宋体"/>
          <w:color w:val="000000" w:themeColor="text1"/>
          <w:sz w:val="24"/>
          <w:szCs w:val="24"/>
        </w:rPr>
        <w:t>磋商</w:t>
      </w:r>
      <w:r>
        <w:rPr>
          <w:rFonts w:ascii="宋体" w:hAnsi="宋体"/>
          <w:color w:val="000000" w:themeColor="text1"/>
          <w:sz w:val="24"/>
          <w:szCs w:val="24"/>
        </w:rPr>
        <w:t>供应商在报价时采用选择性报价；</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w:t>
      </w:r>
      <w:r>
        <w:rPr>
          <w:rFonts w:hint="eastAsia" w:ascii="宋体" w:hAnsi="宋体"/>
          <w:color w:val="000000" w:themeColor="text1"/>
          <w:sz w:val="24"/>
          <w:szCs w:val="24"/>
        </w:rPr>
        <w:t>3</w:t>
      </w:r>
      <w:r>
        <w:rPr>
          <w:rFonts w:ascii="宋体" w:hAnsi="宋体"/>
          <w:color w:val="000000" w:themeColor="text1"/>
          <w:sz w:val="24"/>
          <w:szCs w:val="24"/>
        </w:rPr>
        <w:t>）</w:t>
      </w:r>
      <w:r>
        <w:rPr>
          <w:rFonts w:hint="eastAsia" w:ascii="宋体" w:hAnsi="宋体"/>
          <w:color w:val="000000" w:themeColor="text1"/>
          <w:sz w:val="24"/>
          <w:szCs w:val="24"/>
        </w:rPr>
        <w:t>磋商</w:t>
      </w:r>
      <w:r>
        <w:rPr>
          <w:rFonts w:ascii="宋体" w:hAnsi="宋体"/>
          <w:color w:val="000000" w:themeColor="text1"/>
          <w:sz w:val="24"/>
          <w:szCs w:val="24"/>
        </w:rPr>
        <w:t>供应商不具备磋商文件中规定资格要求的；</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w:t>
      </w:r>
      <w:r>
        <w:rPr>
          <w:rFonts w:hint="eastAsia" w:ascii="宋体" w:hAnsi="宋体"/>
          <w:color w:val="000000" w:themeColor="text1"/>
          <w:sz w:val="24"/>
          <w:szCs w:val="24"/>
        </w:rPr>
        <w:t>4</w:t>
      </w:r>
      <w:r>
        <w:rPr>
          <w:rFonts w:ascii="宋体" w:hAnsi="宋体"/>
          <w:color w:val="000000" w:themeColor="text1"/>
          <w:sz w:val="24"/>
          <w:szCs w:val="24"/>
        </w:rPr>
        <w:t>）不符合法律、法规和磋商文件中规定的其他实质性要求和条件的；</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w:t>
      </w:r>
      <w:r>
        <w:rPr>
          <w:rFonts w:hint="eastAsia" w:ascii="宋体" w:hAnsi="宋体"/>
          <w:color w:val="000000" w:themeColor="text1"/>
          <w:sz w:val="24"/>
          <w:szCs w:val="24"/>
        </w:rPr>
        <w:t>5</w:t>
      </w:r>
      <w:r>
        <w:rPr>
          <w:rFonts w:ascii="宋体" w:hAnsi="宋体"/>
          <w:color w:val="000000" w:themeColor="text1"/>
          <w:sz w:val="24"/>
          <w:szCs w:val="24"/>
        </w:rPr>
        <w:t>）其他法律、法规及本磋商文件规定的属未实质性响应的响应文件的情形。</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5.4 未实质性响应磋商文件的响应文件按无效响应处理，磋商小组将予以拒绝，</w:t>
      </w:r>
      <w:r>
        <w:rPr>
          <w:rFonts w:hint="eastAsia" w:ascii="宋体" w:hAnsi="宋体"/>
          <w:color w:val="000000" w:themeColor="text1"/>
          <w:sz w:val="24"/>
          <w:szCs w:val="24"/>
        </w:rPr>
        <w:t>磋商</w:t>
      </w:r>
      <w:r>
        <w:rPr>
          <w:rFonts w:ascii="宋体" w:hAnsi="宋体"/>
          <w:color w:val="000000" w:themeColor="text1"/>
          <w:sz w:val="24"/>
          <w:szCs w:val="24"/>
        </w:rPr>
        <w:t>供应商不得通过修改或撤销不合要求的偏离或保留而使其响应文件成为实质性响应的文件。</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5.5同一项目（项目未分包）或同一分包（项目有不同分包），如出现同一品牌同一型号的产品有多个</w:t>
      </w:r>
      <w:r>
        <w:rPr>
          <w:rFonts w:hint="eastAsia" w:ascii="宋体" w:hAnsi="宋体"/>
          <w:color w:val="000000" w:themeColor="text1"/>
          <w:sz w:val="24"/>
          <w:szCs w:val="24"/>
        </w:rPr>
        <w:t>磋商</w:t>
      </w:r>
      <w:r>
        <w:rPr>
          <w:rFonts w:ascii="宋体" w:hAnsi="宋体"/>
          <w:color w:val="000000" w:themeColor="text1"/>
          <w:sz w:val="24"/>
          <w:szCs w:val="24"/>
        </w:rPr>
        <w:t>供应商参加磋商时，磋商中在其他条件合格的前提下，选取首次报价最低的</w:t>
      </w:r>
      <w:r>
        <w:rPr>
          <w:rFonts w:hint="eastAsia" w:ascii="宋体" w:hAnsi="宋体"/>
          <w:color w:val="000000" w:themeColor="text1"/>
          <w:sz w:val="24"/>
          <w:szCs w:val="24"/>
        </w:rPr>
        <w:t>磋商</w:t>
      </w:r>
      <w:r>
        <w:rPr>
          <w:rFonts w:ascii="宋体" w:hAnsi="宋体"/>
          <w:color w:val="000000" w:themeColor="text1"/>
          <w:sz w:val="24"/>
          <w:szCs w:val="24"/>
        </w:rPr>
        <w:t>供应商参加磋商最后报价，其他</w:t>
      </w:r>
      <w:r>
        <w:rPr>
          <w:rFonts w:hint="eastAsia" w:ascii="宋体" w:hAnsi="宋体"/>
          <w:color w:val="000000" w:themeColor="text1"/>
          <w:sz w:val="24"/>
          <w:szCs w:val="24"/>
        </w:rPr>
        <w:t>磋商</w:t>
      </w:r>
      <w:r>
        <w:rPr>
          <w:rFonts w:ascii="宋体" w:hAnsi="宋体"/>
          <w:color w:val="000000" w:themeColor="text1"/>
          <w:sz w:val="24"/>
          <w:szCs w:val="24"/>
        </w:rPr>
        <w:t>供应商作为无效响应处理。</w:t>
      </w:r>
      <w:bookmarkStart w:id="150" w:name="_Toc513029234"/>
      <w:bookmarkStart w:id="151" w:name="_Toc16938550"/>
      <w:bookmarkStart w:id="152" w:name="_Toc20823306"/>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6、</w:t>
      </w:r>
      <w:bookmarkEnd w:id="150"/>
      <w:bookmarkEnd w:id="151"/>
      <w:bookmarkEnd w:id="152"/>
      <w:r>
        <w:rPr>
          <w:rFonts w:ascii="宋体" w:hAnsi="宋体"/>
          <w:color w:val="000000" w:themeColor="text1"/>
          <w:sz w:val="24"/>
          <w:szCs w:val="24"/>
        </w:rPr>
        <w:t>磋商程序及评审方法和标准</w:t>
      </w:r>
      <w:bookmarkStart w:id="153" w:name="_Toc16938551"/>
      <w:bookmarkStart w:id="154" w:name="_Toc20823307"/>
      <w:bookmarkStart w:id="155" w:name="_Toc513029235"/>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6.1磋商程序</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6.1.1 对于通过资格性和符合性审查的</w:t>
      </w:r>
      <w:r>
        <w:rPr>
          <w:rFonts w:hint="eastAsia" w:ascii="宋体" w:hAnsi="宋体"/>
          <w:color w:val="000000" w:themeColor="text1"/>
          <w:sz w:val="24"/>
          <w:szCs w:val="24"/>
        </w:rPr>
        <w:t>磋商</w:t>
      </w:r>
      <w:r>
        <w:rPr>
          <w:rFonts w:ascii="宋体" w:hAnsi="宋体"/>
          <w:color w:val="000000" w:themeColor="text1"/>
          <w:sz w:val="24"/>
          <w:szCs w:val="24"/>
        </w:rPr>
        <w:t>供应商，磋商小组所有成员将集中与单一</w:t>
      </w:r>
      <w:r>
        <w:rPr>
          <w:rFonts w:hint="eastAsia" w:ascii="宋体" w:hAnsi="宋体"/>
          <w:color w:val="000000" w:themeColor="text1"/>
          <w:sz w:val="24"/>
          <w:szCs w:val="24"/>
        </w:rPr>
        <w:t>磋商</w:t>
      </w:r>
      <w:r>
        <w:rPr>
          <w:rFonts w:ascii="宋体" w:hAnsi="宋体"/>
          <w:color w:val="000000" w:themeColor="text1"/>
          <w:sz w:val="24"/>
          <w:szCs w:val="24"/>
        </w:rPr>
        <w:t>供应商分别进行磋商。</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在磋商过程中，磋商小组可能根据磋商文件和磋商情况实质性变动的内容有：采购需求中的技术、服务要求以及合同草案条款。对磋商文件作出的实质性变动是磋商文件的有效组成部分，磋商小组将以书面形式同时通知所有参加磋商的</w:t>
      </w:r>
      <w:r>
        <w:rPr>
          <w:rFonts w:hint="eastAsia" w:ascii="宋体" w:hAnsi="宋体"/>
          <w:color w:val="000000" w:themeColor="text1"/>
          <w:sz w:val="24"/>
          <w:szCs w:val="24"/>
        </w:rPr>
        <w:t>磋商</w:t>
      </w:r>
      <w:r>
        <w:rPr>
          <w:rFonts w:ascii="宋体" w:hAnsi="宋体"/>
          <w:color w:val="000000" w:themeColor="text1"/>
          <w:sz w:val="24"/>
          <w:szCs w:val="24"/>
        </w:rPr>
        <w:t>供应商。</w:t>
      </w:r>
      <w:r>
        <w:rPr>
          <w:rFonts w:hint="eastAsia" w:ascii="宋体" w:hAnsi="宋体"/>
          <w:color w:val="000000" w:themeColor="text1"/>
          <w:sz w:val="24"/>
          <w:szCs w:val="24"/>
        </w:rPr>
        <w:t>磋商</w:t>
      </w:r>
      <w:r>
        <w:rPr>
          <w:rFonts w:ascii="宋体" w:hAnsi="宋体"/>
          <w:color w:val="000000" w:themeColor="text1"/>
          <w:sz w:val="24"/>
          <w:szCs w:val="24"/>
        </w:rPr>
        <w:t>供应商应当按照磋商文件的变动情况和磋商小组的要求重新提交响应文件，并由其法定代表人或授权代表签字或者加盖公章。</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 xml:space="preserve"> 6.1.2 磋商文件</w:t>
      </w:r>
      <w:r>
        <w:rPr>
          <w:rFonts w:hint="eastAsia" w:ascii="宋体" w:hAnsi="宋体"/>
          <w:color w:val="000000" w:themeColor="text1"/>
          <w:sz w:val="24"/>
          <w:szCs w:val="24"/>
        </w:rPr>
        <w:t>如</w:t>
      </w:r>
      <w:r>
        <w:rPr>
          <w:rFonts w:ascii="宋体" w:hAnsi="宋体"/>
          <w:color w:val="000000" w:themeColor="text1"/>
          <w:sz w:val="24"/>
          <w:szCs w:val="24"/>
        </w:rPr>
        <w:t>能够详细列明采购标的的技术、服务要求的，磋商结束后，磋商小组将要求所有实质性响应的</w:t>
      </w:r>
      <w:r>
        <w:rPr>
          <w:rFonts w:hint="eastAsia" w:ascii="宋体" w:hAnsi="宋体"/>
          <w:color w:val="000000" w:themeColor="text1"/>
          <w:sz w:val="24"/>
          <w:szCs w:val="24"/>
        </w:rPr>
        <w:t>磋商</w:t>
      </w:r>
      <w:r>
        <w:rPr>
          <w:rFonts w:ascii="宋体" w:hAnsi="宋体"/>
          <w:color w:val="000000" w:themeColor="text1"/>
          <w:sz w:val="24"/>
          <w:szCs w:val="24"/>
        </w:rPr>
        <w:t>供应商在规定时间内提交最后报价。</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最后报价是</w:t>
      </w:r>
      <w:r>
        <w:rPr>
          <w:rFonts w:hint="eastAsia" w:ascii="宋体" w:hAnsi="宋体"/>
          <w:color w:val="000000" w:themeColor="text1"/>
          <w:sz w:val="24"/>
          <w:szCs w:val="24"/>
        </w:rPr>
        <w:t>磋商</w:t>
      </w:r>
      <w:r>
        <w:rPr>
          <w:rFonts w:ascii="宋体" w:hAnsi="宋体"/>
          <w:color w:val="000000" w:themeColor="text1"/>
          <w:sz w:val="24"/>
          <w:szCs w:val="24"/>
        </w:rPr>
        <w:t>供应商响应文件的有效组成部分。符合《政府采购竞争性磋商采购方式</w:t>
      </w:r>
      <w:r>
        <w:rPr>
          <w:rFonts w:hint="eastAsia" w:ascii="宋体" w:hAnsi="宋体" w:cs="宋体"/>
          <w:color w:val="000000" w:themeColor="text1"/>
          <w:sz w:val="24"/>
          <w:szCs w:val="24"/>
        </w:rPr>
        <w:t>管理暂行办法》第三条第四项及《财政部关于竞争性磋商采购方式管理暂行办法有关问题的补充通知》（财库[2015]124号）规定情形</w:t>
      </w:r>
      <w:r>
        <w:rPr>
          <w:rFonts w:ascii="宋体" w:hAnsi="宋体"/>
          <w:color w:val="000000" w:themeColor="text1"/>
          <w:sz w:val="24"/>
          <w:szCs w:val="24"/>
        </w:rPr>
        <w:t>的，提交最后报价的</w:t>
      </w:r>
      <w:r>
        <w:rPr>
          <w:rFonts w:hint="eastAsia" w:ascii="宋体" w:hAnsi="宋体"/>
          <w:color w:val="000000" w:themeColor="text1"/>
          <w:sz w:val="24"/>
          <w:szCs w:val="24"/>
        </w:rPr>
        <w:t>磋商</w:t>
      </w:r>
      <w:r>
        <w:rPr>
          <w:rFonts w:ascii="宋体" w:hAnsi="宋体"/>
          <w:color w:val="000000" w:themeColor="text1"/>
          <w:sz w:val="24"/>
          <w:szCs w:val="24"/>
        </w:rPr>
        <w:t>供应商可以为2家</w:t>
      </w:r>
      <w:r>
        <w:rPr>
          <w:rFonts w:hint="eastAsia" w:ascii="宋体" w:hAnsi="宋体"/>
          <w:color w:val="000000" w:themeColor="text1"/>
          <w:sz w:val="24"/>
          <w:szCs w:val="24"/>
        </w:rPr>
        <w:t>。</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磋商供应商未在磋商小组规定的时间内完成最后报价的视为放弃磋商，其磋商响应按无效响应处理。最后报价须由磋商供应商法定代表人或授权代表签字或者加盖公章。已提交响应文件的</w:t>
      </w:r>
      <w:r>
        <w:rPr>
          <w:rFonts w:hint="eastAsia" w:ascii="宋体" w:hAnsi="宋体"/>
          <w:color w:val="000000" w:themeColor="text1"/>
          <w:sz w:val="24"/>
          <w:szCs w:val="24"/>
        </w:rPr>
        <w:t>磋商</w:t>
      </w:r>
      <w:r>
        <w:rPr>
          <w:rFonts w:ascii="宋体" w:hAnsi="宋体"/>
          <w:color w:val="000000" w:themeColor="text1"/>
          <w:sz w:val="24"/>
          <w:szCs w:val="24"/>
        </w:rPr>
        <w:t>供应商，在提交最后报价之前，可以根据磋商情况退出磋商。</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6.1.4 各</w:t>
      </w:r>
      <w:r>
        <w:rPr>
          <w:rFonts w:hint="eastAsia" w:ascii="宋体" w:hAnsi="宋体"/>
          <w:color w:val="000000" w:themeColor="text1"/>
          <w:sz w:val="24"/>
          <w:szCs w:val="24"/>
        </w:rPr>
        <w:t>磋商</w:t>
      </w:r>
      <w:r>
        <w:rPr>
          <w:rFonts w:ascii="宋体" w:hAnsi="宋体"/>
          <w:color w:val="000000" w:themeColor="text1"/>
          <w:sz w:val="24"/>
          <w:szCs w:val="24"/>
        </w:rPr>
        <w:t>供应商最后报价结束后,如磋商小组认为最后最低的</w:t>
      </w:r>
      <w:r>
        <w:rPr>
          <w:rFonts w:hint="eastAsia" w:ascii="宋体" w:hAnsi="宋体"/>
          <w:color w:val="000000" w:themeColor="text1"/>
          <w:sz w:val="24"/>
          <w:szCs w:val="24"/>
        </w:rPr>
        <w:t>磋商</w:t>
      </w:r>
      <w:r>
        <w:rPr>
          <w:rFonts w:ascii="宋体" w:hAnsi="宋体"/>
          <w:color w:val="000000" w:themeColor="text1"/>
          <w:sz w:val="24"/>
          <w:szCs w:val="24"/>
        </w:rPr>
        <w:t>供应商的报价明显低于其自身成本，涉嫌恶意竞争，有可能影响商品质量和不能诚信履约的，则有权要求其在规定的期限内提供书面文件予以说明理由，并提交相关证明材料。若该</w:t>
      </w:r>
      <w:r>
        <w:rPr>
          <w:rFonts w:hint="eastAsia" w:ascii="宋体" w:hAnsi="宋体"/>
          <w:color w:val="000000" w:themeColor="text1"/>
          <w:sz w:val="24"/>
          <w:szCs w:val="24"/>
        </w:rPr>
        <w:t>磋商</w:t>
      </w:r>
      <w:r>
        <w:rPr>
          <w:rFonts w:ascii="宋体" w:hAnsi="宋体"/>
          <w:color w:val="000000" w:themeColor="text1"/>
          <w:sz w:val="24"/>
          <w:szCs w:val="24"/>
        </w:rPr>
        <w:t>供应商拒绝说明或未在规定期限内提供书面说明，或虽有书面说明但仍无法证明其报价合理性的，则磋商小组有权取消其成交资格。</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6.2 评审方法和标准</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6.2.1评审方法。</w:t>
      </w:r>
      <w:r>
        <w:rPr>
          <w:rFonts w:hint="eastAsia" w:ascii="宋体" w:hAnsi="宋体"/>
          <w:color w:val="000000" w:themeColor="text1"/>
          <w:sz w:val="24"/>
          <w:szCs w:val="24"/>
        </w:rPr>
        <w:t>经磋商确定最终采购需求后，由磋商小组采用综合评分法对提交最终解决方案和最后报价的磋商供应商的响应文件进行综合评分。</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综合评分法，是指响应文件满足磋商文件全部实质性要求且按评审因素的量化指标评审得分最高的</w:t>
      </w:r>
      <w:r>
        <w:rPr>
          <w:rFonts w:hint="eastAsia" w:ascii="宋体" w:hAnsi="宋体"/>
          <w:color w:val="000000" w:themeColor="text1"/>
          <w:sz w:val="24"/>
          <w:szCs w:val="24"/>
        </w:rPr>
        <w:t>磋商</w:t>
      </w:r>
      <w:r>
        <w:rPr>
          <w:rFonts w:ascii="宋体" w:hAnsi="宋体"/>
          <w:color w:val="000000" w:themeColor="text1"/>
          <w:sz w:val="24"/>
          <w:szCs w:val="24"/>
        </w:rPr>
        <w:t>供应商为成交候选</w:t>
      </w:r>
      <w:r>
        <w:rPr>
          <w:rFonts w:hint="eastAsia" w:ascii="宋体" w:hAnsi="宋体"/>
          <w:color w:val="000000" w:themeColor="text1"/>
          <w:sz w:val="24"/>
          <w:szCs w:val="24"/>
        </w:rPr>
        <w:t>磋商</w:t>
      </w:r>
      <w:r>
        <w:rPr>
          <w:rFonts w:ascii="宋体" w:hAnsi="宋体"/>
          <w:color w:val="000000" w:themeColor="text1"/>
          <w:sz w:val="24"/>
          <w:szCs w:val="24"/>
        </w:rPr>
        <w:t>供应商的评审方法。评审时，磋商小组各成员独立对每个有效响应的文件进行评价、打分，然后汇总每个</w:t>
      </w:r>
      <w:r>
        <w:rPr>
          <w:rFonts w:hint="eastAsia" w:ascii="宋体" w:hAnsi="宋体"/>
          <w:color w:val="000000" w:themeColor="text1"/>
          <w:sz w:val="24"/>
          <w:szCs w:val="24"/>
        </w:rPr>
        <w:t>磋商</w:t>
      </w:r>
      <w:r>
        <w:rPr>
          <w:rFonts w:ascii="宋体" w:hAnsi="宋体"/>
          <w:color w:val="000000" w:themeColor="text1"/>
          <w:sz w:val="24"/>
          <w:szCs w:val="24"/>
        </w:rPr>
        <w:t>供应商每项评分因素的得分</w:t>
      </w:r>
      <w:r>
        <w:rPr>
          <w:rFonts w:hint="eastAsia" w:ascii="宋体" w:hAnsi="宋体"/>
          <w:color w:val="000000" w:themeColor="text1"/>
          <w:sz w:val="24"/>
          <w:szCs w:val="24"/>
        </w:rPr>
        <w:t>。</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6.2.2评审标准</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见本磋商文件第五章规定。</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6.3采购活动终止的情况</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出现下列情形之一的，本次竞争性磋商采购活动将被终止：</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（1）因情况变化，不再符合规定的竞争性磋商采购方式适用情形的；</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（2）出现影响采购公正的违法、违规行为的；</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（3）除本磋商文件第6.1.2条第三款规定的情形外，在采购过程中符合要求的</w:t>
      </w:r>
      <w:r>
        <w:rPr>
          <w:rFonts w:hint="eastAsia" w:ascii="宋体" w:hAnsi="宋体"/>
          <w:color w:val="000000" w:themeColor="text1"/>
          <w:sz w:val="24"/>
          <w:szCs w:val="24"/>
        </w:rPr>
        <w:t>磋商</w:t>
      </w:r>
      <w:r>
        <w:rPr>
          <w:rFonts w:ascii="宋体" w:hAnsi="宋体"/>
          <w:color w:val="000000" w:themeColor="text1"/>
          <w:sz w:val="24"/>
          <w:szCs w:val="24"/>
        </w:rPr>
        <w:t>供应商或者报价未超过采购预算的</w:t>
      </w:r>
      <w:r>
        <w:rPr>
          <w:rFonts w:hint="eastAsia" w:ascii="宋体" w:hAnsi="宋体"/>
          <w:color w:val="000000" w:themeColor="text1"/>
          <w:sz w:val="24"/>
          <w:szCs w:val="24"/>
        </w:rPr>
        <w:t>磋商</w:t>
      </w:r>
      <w:r>
        <w:rPr>
          <w:rFonts w:ascii="宋体" w:hAnsi="宋体"/>
          <w:color w:val="000000" w:themeColor="text1"/>
          <w:sz w:val="24"/>
          <w:szCs w:val="24"/>
        </w:rPr>
        <w:t>供应商不足3家的。</w:t>
      </w:r>
      <w:bookmarkEnd w:id="153"/>
      <w:bookmarkEnd w:id="154"/>
      <w:bookmarkEnd w:id="155"/>
    </w:p>
    <w:p>
      <w:pPr>
        <w:spacing w:line="420" w:lineRule="exact"/>
        <w:ind w:firstLine="482" w:firstLineChars="200"/>
        <w:rPr>
          <w:rFonts w:ascii="宋体" w:hAnsi="宋体"/>
          <w:color w:val="000000" w:themeColor="text1"/>
          <w:sz w:val="24"/>
          <w:szCs w:val="24"/>
          <w:u w:val="single"/>
        </w:rPr>
      </w:pPr>
      <w:r>
        <w:rPr>
          <w:rFonts w:ascii="宋体" w:hAnsi="宋体"/>
          <w:b/>
          <w:color w:val="000000" w:themeColor="text1"/>
          <w:sz w:val="24"/>
          <w:szCs w:val="24"/>
        </w:rPr>
        <w:t>五、成交</w:t>
      </w:r>
      <w:bookmarkStart w:id="156" w:name="_Toc513029238"/>
      <w:bookmarkStart w:id="157" w:name="_Toc20823310"/>
      <w:bookmarkStart w:id="158" w:name="_Toc16938554"/>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1、</w:t>
      </w:r>
      <w:bookmarkEnd w:id="156"/>
      <w:r>
        <w:rPr>
          <w:rFonts w:ascii="宋体" w:hAnsi="宋体"/>
          <w:color w:val="000000" w:themeColor="text1"/>
          <w:sz w:val="24"/>
          <w:szCs w:val="24"/>
        </w:rPr>
        <w:t>确定</w:t>
      </w:r>
      <w:bookmarkEnd w:id="157"/>
      <w:bookmarkEnd w:id="158"/>
      <w:r>
        <w:rPr>
          <w:rFonts w:ascii="宋体" w:hAnsi="宋体"/>
          <w:color w:val="000000" w:themeColor="text1"/>
          <w:sz w:val="24"/>
          <w:szCs w:val="24"/>
        </w:rPr>
        <w:t>成交单位</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1.1 磋商小组根据综合评分情况，按照评审得分由高到低顺序推荐3名以上成交候选</w:t>
      </w:r>
      <w:r>
        <w:rPr>
          <w:rFonts w:hint="eastAsia" w:ascii="宋体" w:hAnsi="宋体"/>
          <w:color w:val="000000" w:themeColor="text1"/>
          <w:sz w:val="24"/>
          <w:szCs w:val="24"/>
        </w:rPr>
        <w:t>磋商</w:t>
      </w:r>
      <w:r>
        <w:rPr>
          <w:rFonts w:ascii="宋体" w:hAnsi="宋体"/>
          <w:color w:val="000000" w:themeColor="text1"/>
          <w:sz w:val="24"/>
          <w:szCs w:val="24"/>
        </w:rPr>
        <w:t>供应商，并编写评审报告。符合本文件第6.1.2条</w:t>
      </w:r>
      <w:r>
        <w:rPr>
          <w:rFonts w:hint="eastAsia" w:ascii="宋体" w:hAnsi="宋体"/>
          <w:color w:val="000000" w:themeColor="text1"/>
          <w:sz w:val="24"/>
          <w:szCs w:val="24"/>
        </w:rPr>
        <w:t>第三款</w:t>
      </w:r>
      <w:r>
        <w:rPr>
          <w:rFonts w:ascii="宋体" w:hAnsi="宋体"/>
          <w:color w:val="000000" w:themeColor="text1"/>
          <w:sz w:val="24"/>
          <w:szCs w:val="24"/>
        </w:rPr>
        <w:t>情形的，可以推荐2家成交候选</w:t>
      </w:r>
      <w:r>
        <w:rPr>
          <w:rFonts w:hint="eastAsia" w:ascii="宋体" w:hAnsi="宋体"/>
          <w:color w:val="000000" w:themeColor="text1"/>
          <w:sz w:val="24"/>
          <w:szCs w:val="24"/>
        </w:rPr>
        <w:t>磋商</w:t>
      </w:r>
      <w:r>
        <w:rPr>
          <w:rFonts w:ascii="宋体" w:hAnsi="宋体"/>
          <w:color w:val="000000" w:themeColor="text1"/>
          <w:sz w:val="24"/>
          <w:szCs w:val="24"/>
        </w:rPr>
        <w:t>供应商。评审得分相同的，按照最后报价由低到高的顺序推荐。评审得分且最后报价相同的，按照技术指标优劣顺序推荐。</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1.2采购人根据磋商小组推荐的成交候选人确定成交</w:t>
      </w:r>
      <w:r>
        <w:rPr>
          <w:rFonts w:hint="eastAsia" w:ascii="宋体" w:hAnsi="宋体"/>
          <w:color w:val="000000" w:themeColor="text1"/>
          <w:sz w:val="24"/>
          <w:szCs w:val="24"/>
        </w:rPr>
        <w:t>磋商</w:t>
      </w:r>
      <w:r>
        <w:rPr>
          <w:rFonts w:ascii="宋体" w:hAnsi="宋体"/>
          <w:color w:val="000000" w:themeColor="text1"/>
          <w:sz w:val="24"/>
          <w:szCs w:val="24"/>
        </w:rPr>
        <w:t>供应商。采购人确定成交</w:t>
      </w:r>
      <w:r>
        <w:rPr>
          <w:rFonts w:hint="eastAsia" w:ascii="宋体" w:hAnsi="宋体"/>
          <w:color w:val="000000" w:themeColor="text1"/>
          <w:sz w:val="24"/>
          <w:szCs w:val="24"/>
        </w:rPr>
        <w:t>磋商</w:t>
      </w:r>
      <w:r>
        <w:rPr>
          <w:rFonts w:ascii="宋体" w:hAnsi="宋体"/>
          <w:color w:val="000000" w:themeColor="text1"/>
          <w:sz w:val="24"/>
          <w:szCs w:val="24"/>
        </w:rPr>
        <w:t>供应商后，</w:t>
      </w:r>
      <w:r>
        <w:rPr>
          <w:rFonts w:hint="eastAsia" w:ascii="宋体" w:hAnsi="宋体"/>
          <w:color w:val="000000" w:themeColor="text1"/>
          <w:sz w:val="24"/>
          <w:szCs w:val="24"/>
        </w:rPr>
        <w:t>采购人</w:t>
      </w:r>
      <w:r>
        <w:rPr>
          <w:rFonts w:ascii="宋体" w:hAnsi="宋体"/>
          <w:color w:val="000000" w:themeColor="text1"/>
          <w:sz w:val="24"/>
          <w:szCs w:val="24"/>
        </w:rPr>
        <w:t>将在“</w:t>
      </w:r>
      <w:r>
        <w:rPr>
          <w:rFonts w:hint="eastAsia" w:ascii="宋体" w:hAnsi="宋体"/>
          <w:color w:val="000000" w:themeColor="text1"/>
          <w:sz w:val="24"/>
          <w:szCs w:val="24"/>
        </w:rPr>
        <w:t>江苏医药职业学院网</w:t>
      </w:r>
      <w:r>
        <w:rPr>
          <w:rFonts w:ascii="宋体" w:hAnsi="宋体"/>
          <w:color w:val="000000" w:themeColor="text1"/>
          <w:sz w:val="24"/>
          <w:szCs w:val="24"/>
        </w:rPr>
        <w:t>”发布成交结果公告，公告期限为一个工作日</w:t>
      </w:r>
      <w:r>
        <w:rPr>
          <w:rFonts w:hint="eastAsia" w:ascii="宋体" w:hAnsi="宋体"/>
          <w:color w:val="000000" w:themeColor="text1"/>
          <w:sz w:val="24"/>
          <w:szCs w:val="24"/>
        </w:rPr>
        <w:t>。</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1.3若有充分证据证明，成交</w:t>
      </w:r>
      <w:r>
        <w:rPr>
          <w:rFonts w:hint="eastAsia" w:ascii="宋体" w:hAnsi="宋体"/>
          <w:color w:val="000000" w:themeColor="text1"/>
          <w:sz w:val="24"/>
          <w:szCs w:val="24"/>
        </w:rPr>
        <w:t>磋商</w:t>
      </w:r>
      <w:r>
        <w:rPr>
          <w:rFonts w:ascii="宋体" w:hAnsi="宋体"/>
          <w:color w:val="000000" w:themeColor="text1"/>
          <w:sz w:val="24"/>
          <w:szCs w:val="24"/>
        </w:rPr>
        <w:t>供应商出现下列情况之一的，一经查实，将被取消成交资格：</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（1）提供虚假材料谋取成交的；</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（2）与评审专家、采购人、其他</w:t>
      </w:r>
      <w:r>
        <w:rPr>
          <w:rFonts w:hint="eastAsia" w:ascii="宋体" w:hAnsi="宋体"/>
          <w:color w:val="000000" w:themeColor="text1"/>
          <w:sz w:val="24"/>
          <w:szCs w:val="24"/>
        </w:rPr>
        <w:t>磋商</w:t>
      </w:r>
      <w:r>
        <w:rPr>
          <w:rFonts w:ascii="宋体" w:hAnsi="宋体"/>
          <w:color w:val="000000" w:themeColor="text1"/>
          <w:sz w:val="24"/>
          <w:szCs w:val="24"/>
        </w:rPr>
        <w:t>供应商或者采购</w:t>
      </w:r>
      <w:r>
        <w:rPr>
          <w:rFonts w:hint="eastAsia" w:ascii="宋体" w:hAnsi="宋体"/>
          <w:color w:val="000000" w:themeColor="text1"/>
          <w:sz w:val="24"/>
          <w:szCs w:val="24"/>
        </w:rPr>
        <w:t>代理机构</w:t>
      </w:r>
      <w:r>
        <w:rPr>
          <w:rFonts w:ascii="宋体" w:hAnsi="宋体"/>
          <w:color w:val="000000" w:themeColor="text1"/>
          <w:sz w:val="24"/>
          <w:szCs w:val="24"/>
        </w:rPr>
        <w:t>工作人员恶意串通的；</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（3）向评审专家、采购人或采购</w:t>
      </w:r>
      <w:r>
        <w:rPr>
          <w:rFonts w:hint="eastAsia" w:ascii="宋体" w:hAnsi="宋体"/>
          <w:color w:val="000000" w:themeColor="text1"/>
          <w:sz w:val="24"/>
          <w:szCs w:val="24"/>
        </w:rPr>
        <w:t>代理机构</w:t>
      </w:r>
      <w:r>
        <w:rPr>
          <w:rFonts w:ascii="宋体" w:hAnsi="宋体"/>
          <w:color w:val="000000" w:themeColor="text1"/>
          <w:sz w:val="24"/>
          <w:szCs w:val="24"/>
        </w:rPr>
        <w:t>工作人员行贿或者提供其他不正当利益的；</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（4）恶意竞争，最终总报价明显低于其自身合理成本且又无法提供证明的；</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（5）不满足本磋商文件规定的实质性要求，但在评审过程中又未被磋商小组发现的</w:t>
      </w:r>
      <w:r>
        <w:rPr>
          <w:rFonts w:hint="eastAsia" w:ascii="宋体" w:hAnsi="宋体"/>
          <w:color w:val="000000" w:themeColor="text1"/>
          <w:sz w:val="24"/>
          <w:szCs w:val="24"/>
        </w:rPr>
        <w:t>；</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（6）成交后无正当理由拒不与采购人签订政府采购合同或者未按照磋商文件确定的事项签订政府采购合同；</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（7）将政府采购合同转包；</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（8）法律、法规、规章规定的属于成交无效的其他情形。</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2、质疑处理</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2.1磋商供应商认为磋商文件、采购过程和采购结果使自己的权益受到损害的，可以在知道或应知其权益受到损害之日起七个工作日内，以书面形式向采购</w:t>
      </w:r>
      <w:r>
        <w:rPr>
          <w:rFonts w:hint="eastAsia" w:ascii="宋体" w:hAnsi="宋体"/>
          <w:color w:val="000000" w:themeColor="text1"/>
          <w:sz w:val="24"/>
          <w:szCs w:val="24"/>
        </w:rPr>
        <w:t>代理机构</w:t>
      </w:r>
      <w:r>
        <w:rPr>
          <w:rFonts w:ascii="宋体" w:hAnsi="宋体"/>
          <w:color w:val="000000" w:themeColor="text1"/>
          <w:sz w:val="24"/>
          <w:szCs w:val="24"/>
        </w:rPr>
        <w:t>或采购人提出质疑。上述应知其权益受到损害之日，是指：</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（1）对可以质疑的磋商文件提出质疑的，为收到磋商文件之日或者磋商文件公告期限届满之日；</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（2）对采购过程提出质疑的，为各采购程序环节结束之日；</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（3）对成交结果提出质疑的，为成交结果公告期限届满之日。</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2.2质疑必须按《政府采购法》、《政府采购法实施条例》及《江苏省政府采购供应商监督管理暂行办法》的相关规定提交，未按上述要求提交的质疑函（含传真、电子邮件等）采购</w:t>
      </w:r>
      <w:r>
        <w:rPr>
          <w:rFonts w:hint="eastAsia" w:ascii="宋体" w:hAnsi="宋体"/>
          <w:color w:val="000000" w:themeColor="text1"/>
          <w:sz w:val="24"/>
          <w:szCs w:val="24"/>
        </w:rPr>
        <w:t>人</w:t>
      </w:r>
      <w:r>
        <w:rPr>
          <w:rFonts w:ascii="宋体" w:hAnsi="宋体"/>
          <w:color w:val="000000" w:themeColor="text1"/>
          <w:sz w:val="24"/>
          <w:szCs w:val="24"/>
        </w:rPr>
        <w:t>有权不予受理。</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2.3未参加磋商采购活动的</w:t>
      </w:r>
      <w:r>
        <w:rPr>
          <w:rFonts w:hint="eastAsia" w:ascii="宋体" w:hAnsi="宋体"/>
          <w:color w:val="000000" w:themeColor="text1"/>
          <w:sz w:val="24"/>
          <w:szCs w:val="24"/>
        </w:rPr>
        <w:t>磋商</w:t>
      </w:r>
      <w:r>
        <w:rPr>
          <w:rFonts w:ascii="宋体" w:hAnsi="宋体"/>
          <w:color w:val="000000" w:themeColor="text1"/>
          <w:sz w:val="24"/>
          <w:szCs w:val="24"/>
        </w:rPr>
        <w:t>供应商或在磋商采购活动中自身权益未受到损害的</w:t>
      </w:r>
      <w:r>
        <w:rPr>
          <w:rFonts w:hint="eastAsia" w:ascii="宋体" w:hAnsi="宋体"/>
          <w:color w:val="000000" w:themeColor="text1"/>
          <w:sz w:val="24"/>
          <w:szCs w:val="24"/>
        </w:rPr>
        <w:t>磋商</w:t>
      </w:r>
      <w:r>
        <w:rPr>
          <w:rFonts w:ascii="宋体" w:hAnsi="宋体"/>
          <w:color w:val="000000" w:themeColor="text1"/>
          <w:sz w:val="24"/>
          <w:szCs w:val="24"/>
        </w:rPr>
        <w:t>供应商所提出的质疑不予受理。</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2.4质疑函应当包括下列内容：</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2.4.1质疑</w:t>
      </w:r>
      <w:r>
        <w:rPr>
          <w:rFonts w:hint="eastAsia" w:ascii="宋体" w:hAnsi="宋体"/>
          <w:color w:val="000000" w:themeColor="text1"/>
          <w:sz w:val="24"/>
          <w:szCs w:val="24"/>
        </w:rPr>
        <w:t>磋商</w:t>
      </w:r>
      <w:r>
        <w:rPr>
          <w:rFonts w:ascii="宋体" w:hAnsi="宋体"/>
          <w:color w:val="000000" w:themeColor="text1"/>
          <w:sz w:val="24"/>
          <w:szCs w:val="24"/>
        </w:rPr>
        <w:t>供应商的名称、地址、邮编、联系人、联系电话；</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2.4.2具体的质疑事项及明确的请求；</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2.4.3认为自己合法权益受到损害或可能受到损害的相关证据材料；</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2.4.4提起质疑的日期；</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2.4.5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采购</w:t>
      </w:r>
      <w:r>
        <w:rPr>
          <w:rFonts w:hint="eastAsia" w:ascii="宋体" w:hAnsi="宋体"/>
          <w:color w:val="000000" w:themeColor="text1"/>
          <w:sz w:val="24"/>
          <w:szCs w:val="24"/>
        </w:rPr>
        <w:t>人</w:t>
      </w:r>
      <w:r>
        <w:rPr>
          <w:rFonts w:ascii="宋体" w:hAnsi="宋体"/>
          <w:color w:val="000000" w:themeColor="text1"/>
          <w:sz w:val="24"/>
          <w:szCs w:val="24"/>
        </w:rPr>
        <w:t>将不予受理。质疑人委托代理质疑的，应当向采购</w:t>
      </w:r>
      <w:r>
        <w:rPr>
          <w:rFonts w:hint="eastAsia" w:ascii="宋体" w:hAnsi="宋体"/>
          <w:color w:val="000000" w:themeColor="text1"/>
          <w:sz w:val="24"/>
          <w:szCs w:val="24"/>
        </w:rPr>
        <w:t>人</w:t>
      </w:r>
      <w:r>
        <w:rPr>
          <w:rFonts w:ascii="宋体" w:hAnsi="宋体"/>
          <w:color w:val="000000" w:themeColor="text1"/>
          <w:sz w:val="24"/>
          <w:szCs w:val="24"/>
        </w:rPr>
        <w:t>提交授权委托书，并载明委托代理的具体权限和事项。</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2.5采购</w:t>
      </w:r>
      <w:r>
        <w:rPr>
          <w:rFonts w:hint="eastAsia" w:ascii="宋体" w:hAnsi="宋体"/>
          <w:color w:val="000000" w:themeColor="text1"/>
          <w:sz w:val="24"/>
          <w:szCs w:val="24"/>
        </w:rPr>
        <w:t>人</w:t>
      </w:r>
      <w:r>
        <w:rPr>
          <w:rFonts w:ascii="宋体" w:hAnsi="宋体"/>
          <w:color w:val="000000" w:themeColor="text1"/>
          <w:sz w:val="24"/>
          <w:szCs w:val="24"/>
        </w:rPr>
        <w:t>收到质疑函后，将对质疑的形式和内容进行审查，如质疑函内容、格式不符合规定，采购</w:t>
      </w:r>
      <w:r>
        <w:rPr>
          <w:rFonts w:hint="eastAsia" w:ascii="宋体" w:hAnsi="宋体"/>
          <w:color w:val="000000" w:themeColor="text1"/>
          <w:sz w:val="24"/>
          <w:szCs w:val="24"/>
        </w:rPr>
        <w:t>人</w:t>
      </w:r>
      <w:r>
        <w:rPr>
          <w:rFonts w:ascii="宋体" w:hAnsi="宋体"/>
          <w:color w:val="000000" w:themeColor="text1"/>
          <w:sz w:val="24"/>
          <w:szCs w:val="24"/>
        </w:rPr>
        <w:t>将告知质疑人进行补正。</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2.6质疑人应当在法定质疑期限内进行补正并重新提交质疑函，拒不补正或者在法定期限内未重新提交质疑函的，为无效质疑，采购</w:t>
      </w:r>
      <w:r>
        <w:rPr>
          <w:rFonts w:hint="eastAsia" w:ascii="宋体" w:hAnsi="宋体"/>
          <w:color w:val="000000" w:themeColor="text1"/>
          <w:sz w:val="24"/>
          <w:szCs w:val="24"/>
        </w:rPr>
        <w:t>人</w:t>
      </w:r>
      <w:r>
        <w:rPr>
          <w:rFonts w:ascii="宋体" w:hAnsi="宋体"/>
          <w:color w:val="000000" w:themeColor="text1"/>
          <w:sz w:val="24"/>
          <w:szCs w:val="24"/>
        </w:rPr>
        <w:t>有权不予受理。</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2.7对于内容、格式符合规定的质疑函，采购</w:t>
      </w:r>
      <w:r>
        <w:rPr>
          <w:rFonts w:hint="eastAsia" w:ascii="宋体" w:hAnsi="宋体"/>
          <w:color w:val="000000" w:themeColor="text1"/>
          <w:sz w:val="24"/>
          <w:szCs w:val="24"/>
        </w:rPr>
        <w:t>人</w:t>
      </w:r>
      <w:r>
        <w:rPr>
          <w:rFonts w:ascii="宋体" w:hAnsi="宋体"/>
          <w:color w:val="000000" w:themeColor="text1"/>
          <w:sz w:val="24"/>
          <w:szCs w:val="24"/>
        </w:rPr>
        <w:t>将在收到参加谈判</w:t>
      </w:r>
      <w:r>
        <w:rPr>
          <w:rFonts w:hint="eastAsia" w:ascii="宋体" w:hAnsi="宋体"/>
          <w:color w:val="000000" w:themeColor="text1"/>
          <w:sz w:val="24"/>
          <w:szCs w:val="24"/>
        </w:rPr>
        <w:t>磋商</w:t>
      </w:r>
      <w:r>
        <w:rPr>
          <w:rFonts w:ascii="宋体" w:hAnsi="宋体"/>
          <w:color w:val="000000" w:themeColor="text1"/>
          <w:sz w:val="24"/>
          <w:szCs w:val="24"/>
        </w:rPr>
        <w:t>供应商的书面质疑后七个工作日内作出答复，并以书面形式通知质疑</w:t>
      </w:r>
      <w:r>
        <w:rPr>
          <w:rFonts w:hint="eastAsia" w:ascii="宋体" w:hAnsi="宋体"/>
          <w:color w:val="000000" w:themeColor="text1"/>
          <w:sz w:val="24"/>
          <w:szCs w:val="24"/>
        </w:rPr>
        <w:t>磋商</w:t>
      </w:r>
      <w:r>
        <w:rPr>
          <w:rFonts w:ascii="宋体" w:hAnsi="宋体"/>
          <w:color w:val="000000" w:themeColor="text1"/>
          <w:sz w:val="24"/>
          <w:szCs w:val="24"/>
        </w:rPr>
        <w:t>供应商和其他相关</w:t>
      </w:r>
      <w:r>
        <w:rPr>
          <w:rFonts w:hint="eastAsia" w:ascii="宋体" w:hAnsi="宋体"/>
          <w:color w:val="000000" w:themeColor="text1"/>
          <w:sz w:val="24"/>
          <w:szCs w:val="24"/>
        </w:rPr>
        <w:t>磋商</w:t>
      </w:r>
      <w:r>
        <w:rPr>
          <w:rFonts w:ascii="宋体" w:hAnsi="宋体"/>
          <w:color w:val="000000" w:themeColor="text1"/>
          <w:sz w:val="24"/>
          <w:szCs w:val="24"/>
        </w:rPr>
        <w:t>供应商，答复的内容不涉及商业秘密。</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2.8</w:t>
      </w:r>
      <w:r>
        <w:rPr>
          <w:rFonts w:hint="eastAsia" w:ascii="宋体" w:hAnsi="宋体"/>
          <w:color w:val="000000" w:themeColor="text1"/>
          <w:sz w:val="24"/>
          <w:szCs w:val="24"/>
        </w:rPr>
        <w:t>磋商</w:t>
      </w:r>
      <w:r>
        <w:rPr>
          <w:rFonts w:ascii="宋体" w:hAnsi="宋体"/>
          <w:color w:val="000000" w:themeColor="text1"/>
          <w:sz w:val="24"/>
          <w:szCs w:val="24"/>
        </w:rPr>
        <w:t>供应商提出书面质疑必须有理、有据，不得恶意质疑或提交虚假质疑。否则，一经查实，采购</w:t>
      </w:r>
      <w:r>
        <w:rPr>
          <w:rFonts w:hint="eastAsia" w:ascii="宋体" w:hAnsi="宋体"/>
          <w:color w:val="000000" w:themeColor="text1"/>
          <w:sz w:val="24"/>
          <w:szCs w:val="24"/>
        </w:rPr>
        <w:t>人</w:t>
      </w:r>
      <w:r>
        <w:rPr>
          <w:rFonts w:ascii="宋体" w:hAnsi="宋体"/>
          <w:color w:val="000000" w:themeColor="text1"/>
          <w:sz w:val="24"/>
          <w:szCs w:val="24"/>
        </w:rPr>
        <w:t>有权依据政府采购的有关规定，报请政府采购监管部门对该</w:t>
      </w:r>
      <w:r>
        <w:rPr>
          <w:rFonts w:hint="eastAsia" w:ascii="宋体" w:hAnsi="宋体"/>
          <w:color w:val="000000" w:themeColor="text1"/>
          <w:sz w:val="24"/>
          <w:szCs w:val="24"/>
        </w:rPr>
        <w:t>磋商</w:t>
      </w:r>
      <w:r>
        <w:rPr>
          <w:rFonts w:ascii="宋体" w:hAnsi="宋体"/>
          <w:color w:val="000000" w:themeColor="text1"/>
          <w:sz w:val="24"/>
          <w:szCs w:val="24"/>
        </w:rPr>
        <w:t>供应商进行相应的行政处罚。</w:t>
      </w:r>
      <w:bookmarkStart w:id="159" w:name="_Toc20823309"/>
      <w:bookmarkStart w:id="160" w:name="_Toc16938553"/>
      <w:bookmarkStart w:id="161" w:name="_Toc513029237"/>
    </w:p>
    <w:p>
      <w:pPr>
        <w:spacing w:line="420" w:lineRule="exact"/>
        <w:ind w:firstLine="482" w:firstLineChars="200"/>
        <w:rPr>
          <w:rFonts w:ascii="宋体" w:hAnsi="宋体"/>
          <w:color w:val="000000" w:themeColor="text1"/>
          <w:sz w:val="24"/>
          <w:szCs w:val="24"/>
          <w:u w:val="single"/>
        </w:rPr>
      </w:pPr>
      <w:r>
        <w:rPr>
          <w:rFonts w:ascii="宋体" w:hAnsi="宋体"/>
          <w:b/>
          <w:color w:val="000000" w:themeColor="text1"/>
          <w:sz w:val="24"/>
          <w:szCs w:val="24"/>
        </w:rPr>
        <w:t>六、合同签订相关事项</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1、签订合同</w:t>
      </w:r>
    </w:p>
    <w:p>
      <w:pPr>
        <w:spacing w:line="420" w:lineRule="exact"/>
        <w:ind w:firstLine="480" w:firstLineChars="200"/>
        <w:rPr>
          <w:rFonts w:ascii="宋体" w:hAnsi="宋体"/>
          <w:color w:val="000000" w:themeColor="text1"/>
          <w:sz w:val="24"/>
          <w:szCs w:val="24"/>
          <w:u w:val="single"/>
        </w:rPr>
      </w:pPr>
      <w:r>
        <w:rPr>
          <w:rFonts w:ascii="宋体" w:hAnsi="宋体"/>
          <w:color w:val="000000" w:themeColor="text1"/>
          <w:sz w:val="24"/>
          <w:szCs w:val="24"/>
        </w:rPr>
        <w:t>1.l成交</w:t>
      </w:r>
      <w:r>
        <w:rPr>
          <w:rFonts w:hint="eastAsia" w:ascii="宋体" w:hAnsi="宋体"/>
          <w:color w:val="000000" w:themeColor="text1"/>
          <w:sz w:val="24"/>
          <w:szCs w:val="24"/>
        </w:rPr>
        <w:t>磋商</w:t>
      </w:r>
      <w:r>
        <w:rPr>
          <w:rFonts w:ascii="宋体" w:hAnsi="宋体"/>
          <w:color w:val="000000" w:themeColor="text1"/>
          <w:sz w:val="24"/>
          <w:szCs w:val="24"/>
        </w:rPr>
        <w:t>供应商确定后，采购</w:t>
      </w:r>
      <w:r>
        <w:rPr>
          <w:rFonts w:hint="eastAsia" w:ascii="宋体" w:hAnsi="宋体"/>
          <w:color w:val="000000" w:themeColor="text1"/>
          <w:sz w:val="24"/>
          <w:szCs w:val="24"/>
        </w:rPr>
        <w:t>人</w:t>
      </w:r>
      <w:r>
        <w:rPr>
          <w:rFonts w:ascii="宋体" w:hAnsi="宋体"/>
          <w:color w:val="000000" w:themeColor="text1"/>
          <w:sz w:val="24"/>
          <w:szCs w:val="24"/>
        </w:rPr>
        <w:t>将向成交</w:t>
      </w:r>
      <w:r>
        <w:rPr>
          <w:rFonts w:hint="eastAsia" w:ascii="宋体" w:hAnsi="宋体"/>
          <w:color w:val="000000" w:themeColor="text1"/>
          <w:sz w:val="24"/>
          <w:szCs w:val="24"/>
        </w:rPr>
        <w:t>磋商</w:t>
      </w:r>
      <w:r>
        <w:rPr>
          <w:rFonts w:ascii="宋体" w:hAnsi="宋体"/>
          <w:color w:val="000000" w:themeColor="text1"/>
          <w:sz w:val="24"/>
          <w:szCs w:val="24"/>
        </w:rPr>
        <w:t>供应商发出中标通知书。成交</w:t>
      </w:r>
      <w:r>
        <w:rPr>
          <w:rFonts w:hint="eastAsia" w:ascii="宋体" w:hAnsi="宋体"/>
          <w:color w:val="000000" w:themeColor="text1"/>
          <w:sz w:val="24"/>
          <w:szCs w:val="24"/>
        </w:rPr>
        <w:t>磋商</w:t>
      </w:r>
      <w:r>
        <w:rPr>
          <w:rFonts w:ascii="宋体" w:hAnsi="宋体"/>
          <w:color w:val="000000" w:themeColor="text1"/>
          <w:sz w:val="24"/>
          <w:szCs w:val="24"/>
        </w:rPr>
        <w:t>供应商应按成交通知书规定的时间、地点</w:t>
      </w:r>
      <w:r>
        <w:rPr>
          <w:rFonts w:hint="eastAsia" w:ascii="宋体" w:hAnsi="宋体"/>
          <w:color w:val="000000" w:themeColor="text1"/>
          <w:sz w:val="24"/>
          <w:szCs w:val="24"/>
        </w:rPr>
        <w:t>。</w:t>
      </w:r>
      <w:r>
        <w:rPr>
          <w:rFonts w:ascii="宋体" w:hAnsi="宋体"/>
          <w:color w:val="000000" w:themeColor="text1"/>
          <w:sz w:val="24"/>
          <w:szCs w:val="24"/>
        </w:rPr>
        <w:t>按照磋商文件确定的事项与采购人签订政府采购合同，且不得迟于成交通知书发出之日起三十日内，否则由此给采购人造成损失的，成交</w:t>
      </w:r>
      <w:r>
        <w:rPr>
          <w:rFonts w:hint="eastAsia" w:ascii="宋体" w:hAnsi="宋体"/>
          <w:color w:val="000000" w:themeColor="text1"/>
          <w:sz w:val="24"/>
          <w:szCs w:val="24"/>
        </w:rPr>
        <w:t>磋商</w:t>
      </w:r>
      <w:r>
        <w:rPr>
          <w:rFonts w:ascii="宋体" w:hAnsi="宋体"/>
          <w:color w:val="000000" w:themeColor="text1"/>
          <w:sz w:val="24"/>
          <w:szCs w:val="24"/>
        </w:rPr>
        <w:t>供应商还应承担赔偿责任。</w:t>
      </w:r>
    </w:p>
    <w:p>
      <w:pPr>
        <w:spacing w:line="420" w:lineRule="exact"/>
        <w:ind w:firstLine="480" w:firstLineChars="200"/>
        <w:rPr>
          <w:rFonts w:ascii="宋体" w:hAnsi="宋体"/>
          <w:color w:val="000000" w:themeColor="text1"/>
          <w:sz w:val="24"/>
          <w:szCs w:val="24"/>
        </w:rPr>
      </w:pPr>
      <w:r>
        <w:rPr>
          <w:rFonts w:ascii="宋体" w:hAnsi="宋体"/>
          <w:color w:val="000000" w:themeColor="text1"/>
          <w:sz w:val="24"/>
          <w:szCs w:val="24"/>
        </w:rPr>
        <w:t>1.2 磋商文件、成交</w:t>
      </w:r>
      <w:r>
        <w:rPr>
          <w:rFonts w:hint="eastAsia" w:ascii="宋体" w:hAnsi="宋体"/>
          <w:color w:val="000000" w:themeColor="text1"/>
          <w:sz w:val="24"/>
          <w:szCs w:val="24"/>
        </w:rPr>
        <w:t>磋商</w:t>
      </w:r>
      <w:r>
        <w:rPr>
          <w:rFonts w:ascii="宋体" w:hAnsi="宋体"/>
          <w:color w:val="000000" w:themeColor="text1"/>
          <w:sz w:val="24"/>
          <w:szCs w:val="24"/>
        </w:rPr>
        <w:t>供应商的响应文件及磋商采购过程中有关澄清、承诺文件均应作为合同附件。</w:t>
      </w:r>
    </w:p>
    <w:p>
      <w:pPr>
        <w:tabs>
          <w:tab w:val="left" w:pos="900"/>
        </w:tabs>
        <w:spacing w:after="145" w:afterLines="50" w:line="420" w:lineRule="exact"/>
        <w:ind w:firstLine="477" w:firstLineChars="199"/>
        <w:rPr>
          <w:rFonts w:ascii="宋体" w:hAnsi="宋体"/>
          <w:color w:val="000000" w:themeColor="text1"/>
          <w:sz w:val="24"/>
        </w:rPr>
      </w:pPr>
      <w:r>
        <w:rPr>
          <w:rFonts w:hint="eastAsia" w:ascii="宋体" w:hAnsi="宋体"/>
          <w:color w:val="000000" w:themeColor="text1"/>
          <w:sz w:val="24"/>
        </w:rPr>
        <w:t>1.3 签订合同后，成交供应商不得将成交产品或服务进行转包。未经采购人同意，成交供应商也不得采用分包的形式履行合同，否则采购人有权终止合同，成交供应商的履约保证金将不予退还。转包或分包造成采购人损失的，成交供应商应承担相应赔偿责任。</w:t>
      </w:r>
    </w:p>
    <w:bookmarkEnd w:id="159"/>
    <w:bookmarkEnd w:id="160"/>
    <w:bookmarkEnd w:id="161"/>
    <w:p>
      <w:pPr>
        <w:pStyle w:val="24"/>
        <w:spacing w:line="420" w:lineRule="exact"/>
        <w:ind w:firstLine="241" w:firstLineChars="100"/>
        <w:rPr>
          <w:rFonts w:asciiTheme="majorEastAsia" w:hAnsiTheme="majorEastAsia" w:eastAsiaTheme="majorEastAsia"/>
          <w:b/>
          <w:color w:val="000000" w:themeColor="text1"/>
          <w:sz w:val="24"/>
          <w:szCs w:val="24"/>
        </w:rPr>
      </w:pPr>
      <w:r>
        <w:rPr>
          <w:rFonts w:hint="eastAsia" w:asciiTheme="majorEastAsia" w:hAnsiTheme="majorEastAsia" w:eastAsiaTheme="majorEastAsia"/>
          <w:b/>
          <w:color w:val="000000" w:themeColor="text1"/>
          <w:sz w:val="24"/>
          <w:szCs w:val="24"/>
        </w:rPr>
        <w:t>七、履约保证金</w:t>
      </w:r>
    </w:p>
    <w:p>
      <w:pPr>
        <w:spacing w:line="42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1.1在签订合同前，中标人需向招标人交纳履约保证金（请将履约保证金汇款凭证发送至QQ邮箱：532223373@qq.com），具体金额为中标价的5%。拟中标人应当按照招标人的要求及时、足额缴纳履约保证金，履约保证金待项目验收结束后无质量问题</w:t>
      </w:r>
      <w:r>
        <w:rPr>
          <w:rFonts w:asciiTheme="majorEastAsia" w:hAnsiTheme="majorEastAsia" w:eastAsiaTheme="majorEastAsia"/>
          <w:bCs/>
          <w:color w:val="000000" w:themeColor="text1"/>
          <w:sz w:val="24"/>
        </w:rPr>
        <w:t>一次性无息退还</w:t>
      </w:r>
      <w:r>
        <w:rPr>
          <w:rFonts w:hint="eastAsia" w:asciiTheme="majorEastAsia" w:hAnsiTheme="majorEastAsia" w:eastAsiaTheme="majorEastAsia"/>
          <w:bCs/>
          <w:color w:val="000000" w:themeColor="text1"/>
          <w:sz w:val="24"/>
        </w:rPr>
        <w:t>。</w:t>
      </w:r>
    </w:p>
    <w:p>
      <w:pPr>
        <w:spacing w:line="42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1.2履约保证金专户帐户信息。</w:t>
      </w:r>
    </w:p>
    <w:p>
      <w:pPr>
        <w:spacing w:line="42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单位名称：江苏医药职业学院</w:t>
      </w:r>
    </w:p>
    <w:p>
      <w:pPr>
        <w:spacing w:line="42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开户行名称：建行盐城市城南支行</w:t>
      </w:r>
    </w:p>
    <w:p>
      <w:pPr>
        <w:spacing w:line="42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银行帐号：32001735038052500575</w:t>
      </w:r>
    </w:p>
    <w:p>
      <w:pPr>
        <w:spacing w:line="42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地址：江苏省盐城市解放南路283号</w:t>
      </w:r>
    </w:p>
    <w:p>
      <w:pPr>
        <w:spacing w:line="42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电话：0515-88550311</w:t>
      </w:r>
    </w:p>
    <w:p>
      <w:pPr>
        <w:pStyle w:val="24"/>
        <w:spacing w:line="420" w:lineRule="exact"/>
        <w:ind w:firstLine="360" w:firstLineChars="15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1</w:t>
      </w:r>
      <w:r>
        <w:rPr>
          <w:rFonts w:asciiTheme="majorEastAsia" w:hAnsiTheme="majorEastAsia" w:eastAsiaTheme="majorEastAsia"/>
          <w:bCs/>
          <w:color w:val="000000" w:themeColor="text1"/>
          <w:sz w:val="24"/>
        </w:rPr>
        <w:t>.</w:t>
      </w:r>
      <w:r>
        <w:rPr>
          <w:rFonts w:hint="eastAsia" w:asciiTheme="majorEastAsia" w:hAnsiTheme="majorEastAsia" w:eastAsiaTheme="majorEastAsia"/>
          <w:bCs/>
          <w:color w:val="000000" w:themeColor="text1"/>
          <w:sz w:val="24"/>
        </w:rPr>
        <w:t>3如果拟中标人没有在规定的时间内交纳履约保证金，或对招标项目的质疑（投诉）成立，或拒绝遵守招标文件规定、响应承诺，或拒绝签订合同，或虽签署合同但不予履行等，则取消（拟）中标人资格，已经缴纳的履约保证金作为违约金不予退还。</w:t>
      </w:r>
    </w:p>
    <w:p>
      <w:pPr>
        <w:pStyle w:val="24"/>
        <w:spacing w:line="420" w:lineRule="exact"/>
        <w:ind w:firstLine="360" w:firstLineChars="15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1</w:t>
      </w:r>
      <w:r>
        <w:rPr>
          <w:rFonts w:asciiTheme="majorEastAsia" w:hAnsiTheme="majorEastAsia" w:eastAsiaTheme="majorEastAsia"/>
          <w:bCs/>
          <w:color w:val="000000" w:themeColor="text1"/>
          <w:sz w:val="24"/>
        </w:rPr>
        <w:t>.</w:t>
      </w:r>
      <w:r>
        <w:rPr>
          <w:rFonts w:hint="eastAsia" w:asciiTheme="majorEastAsia" w:hAnsiTheme="majorEastAsia" w:eastAsiaTheme="majorEastAsia"/>
          <w:bCs/>
          <w:color w:val="000000" w:themeColor="text1"/>
          <w:sz w:val="24"/>
        </w:rPr>
        <w:t>4履约保证金退还：中标人缴纳的履约保证金待项目验收结束后无质量问题</w:t>
      </w:r>
      <w:r>
        <w:rPr>
          <w:rFonts w:asciiTheme="majorEastAsia" w:hAnsiTheme="majorEastAsia" w:eastAsiaTheme="majorEastAsia"/>
          <w:bCs/>
          <w:color w:val="000000" w:themeColor="text1"/>
          <w:sz w:val="24"/>
        </w:rPr>
        <w:t>一次性无息退还</w:t>
      </w:r>
      <w:r>
        <w:rPr>
          <w:rFonts w:hint="eastAsia" w:asciiTheme="majorEastAsia" w:hAnsiTheme="majorEastAsia" w:eastAsiaTheme="majorEastAsia"/>
          <w:bCs/>
          <w:color w:val="000000" w:themeColor="text1"/>
          <w:sz w:val="24"/>
        </w:rPr>
        <w:t>，（凭“保证金请退函”到学校国资处办理退款手续）。如果中标人不履行合同约定的义务，未能完全履行合同规定的义务或其履行不符合合同的约定，招标人有权扣除履约保证金取得补偿。</w:t>
      </w:r>
    </w:p>
    <w:p>
      <w:pPr>
        <w:pStyle w:val="24"/>
        <w:spacing w:line="480" w:lineRule="exact"/>
        <w:ind w:firstLine="236" w:firstLineChars="98"/>
        <w:rPr>
          <w:rFonts w:asciiTheme="majorEastAsia" w:hAnsiTheme="majorEastAsia" w:eastAsiaTheme="majorEastAsia"/>
          <w:b/>
          <w:color w:val="000000" w:themeColor="text1"/>
          <w:sz w:val="24"/>
          <w:szCs w:val="24"/>
        </w:rPr>
      </w:pPr>
      <w:r>
        <w:rPr>
          <w:rFonts w:hint="eastAsia" w:asciiTheme="majorEastAsia" w:hAnsiTheme="majorEastAsia" w:eastAsiaTheme="majorEastAsia"/>
          <w:b/>
          <w:color w:val="000000" w:themeColor="text1"/>
          <w:sz w:val="24"/>
          <w:szCs w:val="24"/>
        </w:rPr>
        <w:t>八、投标保证金</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1.1投标保证金的交纳形式为有效银行本票（同城）或银行汇票（异地）。不接受电汇、转账、现金、现金交款单、支票或其他形式的保证金，投标时提供原件。</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1.2 投标保证金专户帐户信息</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 xml:space="preserve">开户名：江苏医药职业学院     </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开户行：建行盐城市城南支行</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帐  号：32001735038052500575</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1.3本次采购投标保证金金额为：￥8000元人民币，在递交投标文件截止时间前用以上2条约定形式缴纳且投标保证金缴纳单位名称和投标单位名称一致否则其投标文件作无效标书处理，未中标人的投标保证金以有效银行本票（同城）或银行汇票（异地）的形式在评审结束后当场退还，中标单位的保证金直接转为履约保证金的一部分。</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1.4发生下列情况之一，经相关部门批准同意后，招标人有权取消其中标资格，并没收其投标投标保证金：</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(1)投标人在投标有效期间，投标人撤回或撤销投标。</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(2)中标人未能在招标文件规定的期限内提交履约担保（差额部分款项的）。</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(3)中标人无正当理由拒绝签订合同。</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(4)投标人在投标过程中弄虚作假，干扰正常招、投标秩序。</w:t>
      </w:r>
    </w:p>
    <w:p>
      <w:pPr>
        <w:pStyle w:val="24"/>
        <w:spacing w:line="480" w:lineRule="exact"/>
        <w:ind w:firstLine="480" w:firstLineChars="200"/>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(5)中标人不按规定支付招标代理组织服务费。</w:t>
      </w:r>
    </w:p>
    <w:p>
      <w:pPr>
        <w:pStyle w:val="24"/>
        <w:spacing w:line="420" w:lineRule="exact"/>
        <w:ind w:firstLine="360" w:firstLineChars="150"/>
        <w:rPr>
          <w:rFonts w:asciiTheme="majorEastAsia" w:hAnsiTheme="majorEastAsia" w:eastAsiaTheme="majorEastAsia"/>
          <w:bCs/>
          <w:color w:val="000000" w:themeColor="text1"/>
          <w:sz w:val="24"/>
        </w:rPr>
      </w:pPr>
    </w:p>
    <w:p>
      <w:pPr>
        <w:pStyle w:val="24"/>
        <w:spacing w:line="420" w:lineRule="exact"/>
        <w:rPr>
          <w:rFonts w:asciiTheme="majorEastAsia" w:hAnsiTheme="majorEastAsia" w:eastAsiaTheme="majorEastAsia"/>
          <w:b/>
          <w:color w:val="000000" w:themeColor="text1"/>
          <w:sz w:val="24"/>
          <w:szCs w:val="24"/>
        </w:rPr>
      </w:pPr>
      <w:r>
        <w:rPr>
          <w:rFonts w:hint="eastAsia" w:asciiTheme="majorEastAsia" w:hAnsiTheme="majorEastAsia" w:eastAsiaTheme="majorEastAsia"/>
          <w:b/>
          <w:color w:val="000000" w:themeColor="text1"/>
          <w:sz w:val="24"/>
          <w:szCs w:val="24"/>
        </w:rPr>
        <w:t>九、招标代理服务费</w:t>
      </w:r>
    </w:p>
    <w:p>
      <w:pPr>
        <w:spacing w:line="420" w:lineRule="exact"/>
        <w:ind w:firstLine="480" w:firstLineChars="200"/>
        <w:rPr>
          <w:rFonts w:cs="宋体" w:asciiTheme="majorEastAsia" w:hAnsiTheme="majorEastAsia" w:eastAsiaTheme="majorEastAsia"/>
          <w:color w:val="000000" w:themeColor="text1"/>
          <w:sz w:val="24"/>
          <w:szCs w:val="24"/>
        </w:rPr>
      </w:pPr>
      <w:r>
        <w:rPr>
          <w:rFonts w:hint="eastAsia" w:cs="宋体" w:asciiTheme="majorEastAsia" w:hAnsiTheme="majorEastAsia" w:eastAsiaTheme="majorEastAsia"/>
          <w:color w:val="000000" w:themeColor="text1"/>
          <w:sz w:val="24"/>
          <w:szCs w:val="24"/>
        </w:rPr>
        <w:t>1.1 招标代理服务组织费：中标人须按发改价格[2011]534号文件中“工程类”招标收费标准32%的金额向盐城市天平建设监理有限公司支付招标代理服务费，不足2000元按2000元收取，并一次性付清，此项费用含在投标报价中不得单列，招标人不再另行支付。</w:t>
      </w:r>
    </w:p>
    <w:p>
      <w:pPr>
        <w:spacing w:line="420" w:lineRule="exact"/>
        <w:ind w:firstLine="480" w:firstLineChars="200"/>
        <w:rPr>
          <w:rFonts w:cs="宋体" w:asciiTheme="majorEastAsia" w:hAnsiTheme="majorEastAsia" w:eastAsiaTheme="majorEastAsia"/>
          <w:color w:val="000000" w:themeColor="text1"/>
          <w:sz w:val="24"/>
          <w:szCs w:val="24"/>
        </w:rPr>
      </w:pPr>
      <w:r>
        <w:rPr>
          <w:rFonts w:hint="eastAsia" w:cs="宋体" w:asciiTheme="majorEastAsia" w:hAnsiTheme="majorEastAsia" w:eastAsiaTheme="majorEastAsia"/>
          <w:color w:val="000000" w:themeColor="text1"/>
          <w:sz w:val="24"/>
          <w:szCs w:val="24"/>
        </w:rPr>
        <w:t>1.2</w:t>
      </w:r>
      <w:r>
        <w:rPr>
          <w:rFonts w:cs="宋体" w:asciiTheme="majorEastAsia" w:hAnsiTheme="majorEastAsia" w:eastAsiaTheme="majorEastAsia"/>
          <w:color w:val="000000" w:themeColor="text1"/>
          <w:sz w:val="24"/>
          <w:szCs w:val="24"/>
        </w:rPr>
        <w:t>招标代理服务收费按差额定率累进法计算</w:t>
      </w:r>
      <w:r>
        <w:rPr>
          <w:rFonts w:hint="eastAsia" w:cs="宋体" w:asciiTheme="majorEastAsia" w:hAnsiTheme="majorEastAsia" w:eastAsiaTheme="majorEastAsia"/>
          <w:color w:val="000000" w:themeColor="text1"/>
          <w:sz w:val="24"/>
          <w:szCs w:val="24"/>
        </w:rPr>
        <w:t>。以中标通知书中确定的中标金额作为收费的计算依据执行收取。中标金额的各部分费率如下表：</w:t>
      </w:r>
    </w:p>
    <w:tbl>
      <w:tblPr>
        <w:tblStyle w:val="45"/>
        <w:tblpPr w:leftFromText="180" w:rightFromText="180" w:vertAnchor="page" w:horzAnchor="margin" w:tblpXSpec="center" w:tblpY="6151"/>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9"/>
        <w:gridCol w:w="2410"/>
        <w:gridCol w:w="1985"/>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Merge w:val="restart"/>
            <w:vAlign w:val="center"/>
          </w:tcPr>
          <w:p>
            <w:pPr>
              <w:spacing w:line="480" w:lineRule="exact"/>
              <w:ind w:firstLine="316" w:firstLineChars="150"/>
              <w:jc w:val="center"/>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中标金额(万元)</w:t>
            </w:r>
          </w:p>
        </w:tc>
        <w:tc>
          <w:tcPr>
            <w:tcW w:w="6913" w:type="dxa"/>
            <w:gridSpan w:val="3"/>
            <w:vAlign w:val="center"/>
          </w:tcPr>
          <w:p>
            <w:pPr>
              <w:spacing w:line="480" w:lineRule="exact"/>
              <w:jc w:val="center"/>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服务类型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Merge w:val="continue"/>
            <w:vAlign w:val="center"/>
          </w:tcPr>
          <w:p>
            <w:pPr>
              <w:tabs>
                <w:tab w:val="right" w:pos="1914"/>
              </w:tabs>
              <w:spacing w:line="480" w:lineRule="exact"/>
              <w:ind w:firstLine="316" w:firstLineChars="150"/>
              <w:jc w:val="center"/>
              <w:rPr>
                <w:rFonts w:asciiTheme="majorEastAsia" w:hAnsiTheme="majorEastAsia" w:eastAsiaTheme="majorEastAsia"/>
                <w:b/>
                <w:color w:val="000000" w:themeColor="text1"/>
              </w:rPr>
            </w:pPr>
          </w:p>
        </w:tc>
        <w:tc>
          <w:tcPr>
            <w:tcW w:w="2410" w:type="dxa"/>
            <w:vAlign w:val="center"/>
          </w:tcPr>
          <w:p>
            <w:pPr>
              <w:spacing w:line="480" w:lineRule="exact"/>
              <w:jc w:val="center"/>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货物招标</w:t>
            </w:r>
          </w:p>
        </w:tc>
        <w:tc>
          <w:tcPr>
            <w:tcW w:w="1985" w:type="dxa"/>
            <w:vAlign w:val="center"/>
          </w:tcPr>
          <w:p>
            <w:pPr>
              <w:spacing w:line="480" w:lineRule="exact"/>
              <w:jc w:val="center"/>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服务招标</w:t>
            </w:r>
          </w:p>
        </w:tc>
        <w:tc>
          <w:tcPr>
            <w:tcW w:w="2518" w:type="dxa"/>
            <w:vAlign w:val="center"/>
          </w:tcPr>
          <w:p>
            <w:pPr>
              <w:spacing w:line="480" w:lineRule="exact"/>
              <w:jc w:val="center"/>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Align w:val="center"/>
          </w:tcPr>
          <w:p>
            <w:pPr>
              <w:spacing w:line="48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100以下</w:t>
            </w:r>
          </w:p>
        </w:tc>
        <w:tc>
          <w:tcPr>
            <w:tcW w:w="2410" w:type="dxa"/>
            <w:vAlign w:val="center"/>
          </w:tcPr>
          <w:p>
            <w:pPr>
              <w:spacing w:line="48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1.5%</w:t>
            </w:r>
          </w:p>
        </w:tc>
        <w:tc>
          <w:tcPr>
            <w:tcW w:w="1985" w:type="dxa"/>
            <w:vAlign w:val="center"/>
          </w:tcPr>
          <w:p>
            <w:pPr>
              <w:spacing w:line="48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1.5%</w:t>
            </w:r>
          </w:p>
        </w:tc>
        <w:tc>
          <w:tcPr>
            <w:tcW w:w="2518" w:type="dxa"/>
            <w:vAlign w:val="center"/>
          </w:tcPr>
          <w:p>
            <w:pPr>
              <w:spacing w:line="48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Align w:val="center"/>
          </w:tcPr>
          <w:p>
            <w:pPr>
              <w:spacing w:line="48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100-500</w:t>
            </w:r>
          </w:p>
        </w:tc>
        <w:tc>
          <w:tcPr>
            <w:tcW w:w="2410" w:type="dxa"/>
            <w:vAlign w:val="center"/>
          </w:tcPr>
          <w:p>
            <w:pPr>
              <w:spacing w:line="48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w:t>
            </w:r>
          </w:p>
        </w:tc>
        <w:tc>
          <w:tcPr>
            <w:tcW w:w="1985" w:type="dxa"/>
            <w:vAlign w:val="center"/>
          </w:tcPr>
          <w:p>
            <w:pPr>
              <w:spacing w:line="48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0.8%</w:t>
            </w:r>
          </w:p>
        </w:tc>
        <w:tc>
          <w:tcPr>
            <w:tcW w:w="2518" w:type="dxa"/>
            <w:vAlign w:val="center"/>
          </w:tcPr>
          <w:p>
            <w:pPr>
              <w:spacing w:line="48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0.7%</w:t>
            </w:r>
          </w:p>
        </w:tc>
      </w:tr>
    </w:tbl>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5"/>
        <w:rPr>
          <w:rFonts w:asciiTheme="majorEastAsia" w:hAnsiTheme="majorEastAsia" w:eastAsiaTheme="majorEastAsia"/>
          <w:b/>
          <w:sz w:val="44"/>
          <w:szCs w:val="44"/>
        </w:rPr>
      </w:pPr>
      <w:r>
        <w:rPr>
          <w:rFonts w:hint="eastAsia" w:asciiTheme="majorEastAsia" w:hAnsiTheme="majorEastAsia" w:eastAsiaTheme="majorEastAsia"/>
          <w:b/>
          <w:sz w:val="44"/>
          <w:szCs w:val="44"/>
        </w:rPr>
        <w:t>第三章  主要合同条款</w:t>
      </w:r>
      <w:bookmarkEnd w:id="23"/>
      <w:bookmarkEnd w:id="24"/>
      <w:bookmarkEnd w:id="25"/>
      <w:bookmarkEnd w:id="26"/>
      <w:bookmarkEnd w:id="27"/>
    </w:p>
    <w:p>
      <w:pPr>
        <w:pStyle w:val="2"/>
        <w:rPr>
          <w:rFonts w:asciiTheme="majorEastAsia" w:hAnsiTheme="majorEastAsia" w:eastAsiaTheme="majorEastAsia"/>
        </w:rPr>
      </w:pPr>
    </w:p>
    <w:p>
      <w:pPr>
        <w:spacing w:line="480" w:lineRule="exact"/>
        <w:ind w:firstLine="480" w:firstLineChars="200"/>
        <w:rPr>
          <w:rFonts w:asciiTheme="majorEastAsia" w:hAnsiTheme="majorEastAsia" w:eastAsiaTheme="majorEastAsia"/>
          <w:bCs/>
          <w:sz w:val="24"/>
        </w:rPr>
      </w:pPr>
      <w:bookmarkStart w:id="162" w:name="_Toc26554093"/>
      <w:bookmarkStart w:id="163" w:name="_Toc120614281"/>
      <w:bookmarkStart w:id="164" w:name="_Toc49090575"/>
      <w:bookmarkStart w:id="165" w:name="_Toc462564139"/>
      <w:bookmarkStart w:id="166" w:name="_Toc479757211"/>
      <w:r>
        <w:rPr>
          <w:rFonts w:hint="eastAsia" w:asciiTheme="majorEastAsia" w:hAnsiTheme="majorEastAsia" w:eastAsiaTheme="majorEastAsia"/>
          <w:bCs/>
          <w:sz w:val="24"/>
        </w:rPr>
        <w:t>1、投标承诺的项目负责人及项目组成员必须全部到场，投标中标的项目负责人必须到现场组织指挥施工，否则，按违约处理。</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2、质量要求：符合现行国家施工及验收规范标准要求，符合国家“合格”标准。</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3、工期：30日历天。</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4、安全施工： 此工程必须确保安全，若因中标人原因发生的不安全问题，由中标人自行负责处理并承担一切责任。</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5、履约保证金</w:t>
      </w:r>
    </w:p>
    <w:p>
      <w:pPr>
        <w:spacing w:line="460" w:lineRule="exact"/>
        <w:ind w:firstLine="720" w:firstLineChars="300"/>
        <w:rPr>
          <w:rFonts w:cs="宋体" w:asciiTheme="majorEastAsia" w:hAnsiTheme="majorEastAsia" w:eastAsiaTheme="majorEastAsia"/>
          <w:sz w:val="24"/>
          <w:szCs w:val="24"/>
        </w:rPr>
      </w:pPr>
      <w:r>
        <w:rPr>
          <w:rFonts w:hint="eastAsia" w:cs="宋体" w:asciiTheme="majorEastAsia" w:hAnsiTheme="majorEastAsia" w:eastAsiaTheme="majorEastAsia"/>
          <w:sz w:val="24"/>
          <w:szCs w:val="24"/>
        </w:rPr>
        <w:t>履约保证金退还：中标人缴纳的履约保证金</w:t>
      </w:r>
      <w:r>
        <w:rPr>
          <w:rFonts w:hint="eastAsia" w:cs="宋体" w:asciiTheme="majorEastAsia" w:hAnsiTheme="majorEastAsia" w:eastAsiaTheme="majorEastAsia"/>
          <w:bCs/>
          <w:sz w:val="24"/>
          <w:szCs w:val="24"/>
        </w:rPr>
        <w:t>待项目验收结束后</w:t>
      </w:r>
      <w:r>
        <w:rPr>
          <w:rFonts w:hint="eastAsia" w:cs="宋体" w:asciiTheme="majorEastAsia" w:hAnsiTheme="majorEastAsia" w:eastAsiaTheme="majorEastAsia"/>
          <w:sz w:val="24"/>
          <w:szCs w:val="24"/>
        </w:rPr>
        <w:t>无质量问题</w:t>
      </w:r>
      <w:r>
        <w:rPr>
          <w:rFonts w:cs="宋体" w:asciiTheme="majorEastAsia" w:hAnsiTheme="majorEastAsia" w:eastAsiaTheme="majorEastAsia"/>
          <w:sz w:val="24"/>
          <w:szCs w:val="24"/>
        </w:rPr>
        <w:t>一次性无息退还</w:t>
      </w:r>
      <w:r>
        <w:rPr>
          <w:rFonts w:hint="eastAsia" w:cs="宋体" w:asciiTheme="majorEastAsia" w:hAnsiTheme="majorEastAsia" w:eastAsiaTheme="majorEastAsia"/>
          <w:sz w:val="24"/>
          <w:szCs w:val="24"/>
        </w:rPr>
        <w:t>，（凭“保证金请退函”到学校国资处办理退款手续）。如果中标人不履行合同约定的义务，未能完全履行合同规定的义务或其履行不符合合同的约定，招标人有权扣除履约保证金取得补偿。</w:t>
      </w:r>
    </w:p>
    <w:p>
      <w:pPr>
        <w:spacing w:line="46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6、付款：本项目按形象进度付款，具体付款进度如下：</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项目验收合格后无质量问题支付合同价的70%款项；审计合格后付至审计价的90%，余款待验收合格</w:t>
      </w:r>
      <w:r>
        <w:rPr>
          <w:rFonts w:cs="宋体" w:asciiTheme="majorEastAsia" w:hAnsiTheme="majorEastAsia" w:eastAsiaTheme="majorEastAsia"/>
          <w:sz w:val="24"/>
          <w:szCs w:val="24"/>
          <w:u w:val="single"/>
        </w:rPr>
        <w:t>_</w:t>
      </w:r>
      <w:r>
        <w:rPr>
          <w:rFonts w:hint="eastAsia" w:cs="宋体" w:asciiTheme="majorEastAsia" w:hAnsiTheme="majorEastAsia" w:eastAsiaTheme="majorEastAsia"/>
          <w:sz w:val="24"/>
          <w:szCs w:val="24"/>
          <w:u w:val="single"/>
        </w:rPr>
        <w:t>2</w:t>
      </w:r>
      <w:r>
        <w:rPr>
          <w:rFonts w:hint="eastAsia" w:cs="宋体" w:asciiTheme="majorEastAsia" w:hAnsiTheme="majorEastAsia" w:eastAsiaTheme="majorEastAsia"/>
          <w:sz w:val="24"/>
          <w:szCs w:val="24"/>
        </w:rPr>
        <w:t>年</w:t>
      </w:r>
      <w:r>
        <w:rPr>
          <w:rFonts w:hint="eastAsia" w:asciiTheme="majorEastAsia" w:hAnsiTheme="majorEastAsia" w:eastAsiaTheme="majorEastAsia"/>
          <w:bCs/>
          <w:sz w:val="24"/>
        </w:rPr>
        <w:t>后无质量问题一次性无息付清。</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以上付款均以人民币通过银行支付，付款前需提供我校财务处认可的增值税发票（仪器设备须开增值税专用发票）。</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7、工程结算：</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7.1 本工程采用限定总价审计结算方法，按合同以中标单价和实际工作量计算总价，经审计后确认合同审计总价，但合同审计总价不得高于中标总价（不包含签证变更部分）。</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7.2 结算总价=合同审计总价+签证变更的审计总价。</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7.3 工程竣工验收合格后乙方应提交工程结算资料，要求资料齐全，计算准确，要求与最终审计差距不得超出10%，若乙方的结算与最终审计超出10%，本工程审计费用全部由乙方承担。</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8、保修：本工程质保期2年。质量保修期从工程竣工验收合格之日起计算，具体保修范围、保修期限、保修责任、保修金的支付、返还应按《建设工程质量管理条例》和《房屋建筑工程质量保修办法》及双方约定执行。</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9、分包：招标人不允许中标人将工程转包和违法分包给任何第三方，如发现转包或违法分包行为，限令改正，否则招标人有权立即中止合同，扣除履约担保，中标人负违约责任。</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10、违约责任：按《中华人民共和国民法典》执行。</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11、特别说明</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1）该工程施工过程中项目负责人和投标时确认的项目部人员必须常驻现场实施施工管理，并参与建设单位的日常考勤。中途项目负责人和项目部人员需离岗必须履行书面请假手续并经招标人同意。若未经招标人同意而擅自离岗的，将处以每人每天 500 元的违约金，在支付工程款时从应付的工程款中扣除。若擅自离岗连续达7 天以上的，经招标人提出仍未改正的，招标人有权终止合同，因此给招标人造成损失的，招标人将依法追偿。</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2）中标人在选择材料、设备时，应在满足本项目设计标准、质量和使用要求的前提下，选用同档次的优质优价的产品。</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3）中标人已对现场进行了充分勘察，并将临时施工便道考虑在投标报价中，费用包干，中标人提出与此有关费用的索赔招标人不予支付。</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4）中标人已进行现场勘察，并将从招标人指定的水、电接口接至施工现场的电缆、水管等材料及施工费用考虑在投标报价中，费用包干；施工过程中所用水、电向建设单位协调，费用交建设单位。水电费损耗按所用水、电量占总用水、电量比率分摊。</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5）中标人在投标时已充分考虑在施工期间必须设置醒目的交通安全标志、标牌及警示灯，同时保证道路正常通行。</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6）中标人必须到现场进行勘察向招标人了解施工现状，充分考虑本工程施工中可预见或不可预见的情况，各项事宜必须服从招标人安排和管理。</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7）工程价款一律通过银行非现金结算。</w:t>
      </w:r>
    </w:p>
    <w:p>
      <w:pPr>
        <w:pStyle w:val="5"/>
        <w:spacing w:line="360" w:lineRule="auto"/>
        <w:rPr>
          <w:rFonts w:asciiTheme="majorEastAsia" w:hAnsiTheme="majorEastAsia" w:eastAsiaTheme="majorEastAsia"/>
        </w:rPr>
        <w:sectPr>
          <w:footerReference r:id="rId8" w:type="first"/>
          <w:footerReference r:id="rId7" w:type="default"/>
          <w:pgSz w:w="11906" w:h="16838"/>
          <w:pgMar w:top="1134" w:right="1134" w:bottom="1134" w:left="1134" w:header="851" w:footer="680" w:gutter="0"/>
          <w:pgNumType w:fmt="numberInDash"/>
          <w:cols w:space="720" w:num="1"/>
          <w:docGrid w:type="lines" w:linePitch="290" w:charSpace="0"/>
        </w:sectPr>
      </w:pPr>
    </w:p>
    <w:p>
      <w:pPr>
        <w:jc w:val="center"/>
        <w:rPr>
          <w:rFonts w:asciiTheme="majorEastAsia" w:hAnsiTheme="majorEastAsia" w:eastAsiaTheme="majorEastAsia"/>
          <w:b/>
          <w:bCs/>
          <w:sz w:val="36"/>
          <w:szCs w:val="44"/>
        </w:rPr>
      </w:pPr>
    </w:p>
    <w:p>
      <w:pPr>
        <w:pStyle w:val="5"/>
        <w:rPr>
          <w:rFonts w:asciiTheme="majorEastAsia" w:hAnsiTheme="majorEastAsia" w:eastAsiaTheme="majorEastAsia"/>
          <w:b/>
          <w:sz w:val="44"/>
          <w:szCs w:val="44"/>
        </w:rPr>
      </w:pPr>
      <w:r>
        <w:rPr>
          <w:rFonts w:hint="eastAsia" w:asciiTheme="majorEastAsia" w:hAnsiTheme="majorEastAsia" w:eastAsiaTheme="majorEastAsia"/>
          <w:b/>
          <w:sz w:val="44"/>
          <w:szCs w:val="44"/>
        </w:rPr>
        <w:t>第四章</w:t>
      </w:r>
      <w:bookmarkStart w:id="167" w:name="_Toc525301070"/>
      <w:bookmarkStart w:id="168" w:name="_Toc511843225"/>
      <w:r>
        <w:rPr>
          <w:rFonts w:hint="eastAsia" w:asciiTheme="majorEastAsia" w:hAnsiTheme="majorEastAsia" w:eastAsiaTheme="majorEastAsia"/>
          <w:b/>
          <w:sz w:val="44"/>
          <w:szCs w:val="44"/>
        </w:rPr>
        <w:t xml:space="preserve"> 招标需求</w:t>
      </w:r>
    </w:p>
    <w:p>
      <w:pPr>
        <w:snapToGrid w:val="0"/>
        <w:spacing w:line="312" w:lineRule="auto"/>
        <w:rPr>
          <w:b/>
          <w:sz w:val="32"/>
          <w:szCs w:val="28"/>
        </w:rPr>
      </w:pPr>
    </w:p>
    <w:p>
      <w:pPr>
        <w:spacing w:line="480" w:lineRule="exact"/>
        <w:ind w:firstLine="640" w:firstLineChars="200"/>
        <w:jc w:val="center"/>
        <w:rPr>
          <w:rFonts w:asciiTheme="majorEastAsia" w:hAnsiTheme="majorEastAsia" w:eastAsiaTheme="majorEastAsia"/>
          <w:bCs/>
          <w:sz w:val="32"/>
          <w:szCs w:val="32"/>
        </w:rPr>
      </w:pPr>
      <w:r>
        <w:rPr>
          <w:rFonts w:hint="eastAsia" w:asciiTheme="majorEastAsia" w:hAnsiTheme="majorEastAsia" w:eastAsiaTheme="majorEastAsia"/>
          <w:bCs/>
          <w:sz w:val="32"/>
          <w:szCs w:val="32"/>
        </w:rPr>
        <w:t>解放校区教学楼C区公共区域改造项目</w:t>
      </w:r>
    </w:p>
    <w:p>
      <w:pPr>
        <w:pStyle w:val="2"/>
      </w:pP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一、项目概况</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本次改造项目为江苏医药职业学院解放校区教学楼C区公共区域改造，具体部位为5楼走道及4、5、6楼卫生间洗手区及4楼部分房间。</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二、改造方案</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1</w:t>
      </w:r>
      <w:r>
        <w:rPr>
          <w:rFonts w:asciiTheme="majorEastAsia" w:hAnsiTheme="majorEastAsia" w:eastAsiaTheme="majorEastAsia"/>
          <w:bCs/>
          <w:sz w:val="24"/>
        </w:rPr>
        <w:t>.</w:t>
      </w:r>
      <w:r>
        <w:rPr>
          <w:rFonts w:hint="eastAsia" w:asciiTheme="majorEastAsia" w:hAnsiTheme="majorEastAsia" w:eastAsiaTheme="majorEastAsia"/>
          <w:bCs/>
          <w:sz w:val="24"/>
        </w:rPr>
        <w:t xml:space="preserve"> 拆除图纸所示位置吊顶及拆除并恢复公共区域广告牌、展板等附属物；</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2</w:t>
      </w:r>
      <w:r>
        <w:rPr>
          <w:rFonts w:asciiTheme="majorEastAsia" w:hAnsiTheme="majorEastAsia" w:eastAsiaTheme="majorEastAsia"/>
          <w:bCs/>
          <w:sz w:val="24"/>
        </w:rPr>
        <w:t>.</w:t>
      </w:r>
      <w:r>
        <w:rPr>
          <w:rFonts w:hint="eastAsia" w:asciiTheme="majorEastAsia" w:hAnsiTheme="majorEastAsia" w:eastAsiaTheme="majorEastAsia"/>
          <w:bCs/>
          <w:sz w:val="24"/>
        </w:rPr>
        <w:t xml:space="preserve"> 依据图纸所示位置5楼进行二次装修，靠外侧幕墙地面制作不锈钢挡水槛（地面PVC材质为同质透心）；</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3</w:t>
      </w:r>
      <w:r>
        <w:rPr>
          <w:rFonts w:asciiTheme="majorEastAsia" w:hAnsiTheme="majorEastAsia" w:eastAsiaTheme="majorEastAsia"/>
          <w:bCs/>
          <w:sz w:val="24"/>
        </w:rPr>
        <w:t>.</w:t>
      </w:r>
      <w:r>
        <w:rPr>
          <w:rFonts w:hint="eastAsia" w:asciiTheme="majorEastAsia" w:hAnsiTheme="majorEastAsia" w:eastAsiaTheme="majorEastAsia"/>
          <w:bCs/>
          <w:sz w:val="24"/>
        </w:rPr>
        <w:t xml:space="preserve"> 依据图纸所示位置6楼拆除并重新制作玻璃门（含门禁系统及门牌制作）；</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4</w:t>
      </w:r>
      <w:r>
        <w:rPr>
          <w:rFonts w:asciiTheme="majorEastAsia" w:hAnsiTheme="majorEastAsia" w:eastAsiaTheme="majorEastAsia"/>
          <w:bCs/>
          <w:sz w:val="24"/>
        </w:rPr>
        <w:t>.</w:t>
      </w:r>
      <w:r>
        <w:rPr>
          <w:rFonts w:hint="eastAsia" w:asciiTheme="majorEastAsia" w:hAnsiTheme="majorEastAsia" w:eastAsiaTheme="majorEastAsia"/>
          <w:bCs/>
          <w:sz w:val="24"/>
        </w:rPr>
        <w:t xml:space="preserve"> 依据图纸所示位置对4楼部分房间内灯具进行更换及吊顶油漆出新；</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5</w:t>
      </w:r>
      <w:r>
        <w:rPr>
          <w:rFonts w:asciiTheme="majorEastAsia" w:hAnsiTheme="majorEastAsia" w:eastAsiaTheme="majorEastAsia"/>
          <w:bCs/>
          <w:sz w:val="24"/>
        </w:rPr>
        <w:t>.</w:t>
      </w:r>
      <w:r>
        <w:rPr>
          <w:rFonts w:hint="eastAsia" w:asciiTheme="majorEastAsia" w:hAnsiTheme="majorEastAsia" w:eastAsiaTheme="majorEastAsia"/>
          <w:bCs/>
          <w:sz w:val="24"/>
        </w:rPr>
        <w:t xml:space="preserve"> 依据图纸所示对4、5、6楼公共卫生间洗手区进行改造，墙面贴瓷砖，另墙面与走道阳角处采用L型护角收口条（304不锈钢）；</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6</w:t>
      </w:r>
      <w:r>
        <w:rPr>
          <w:rFonts w:asciiTheme="majorEastAsia" w:hAnsiTheme="majorEastAsia" w:eastAsiaTheme="majorEastAsia"/>
          <w:bCs/>
          <w:sz w:val="24"/>
        </w:rPr>
        <w:t>.</w:t>
      </w:r>
      <w:r>
        <w:rPr>
          <w:rFonts w:hint="eastAsia" w:asciiTheme="majorEastAsia" w:hAnsiTheme="majorEastAsia" w:eastAsiaTheme="majorEastAsia"/>
          <w:bCs/>
          <w:sz w:val="24"/>
        </w:rPr>
        <w:t xml:space="preserve"> 4楼西北角公共卫生间（图纸左上角），目前为仓库，增加更换两个灯（LED平板灯，同博士工作室）。另顶面脱落乳胶漆拆除并重新制作；</w:t>
      </w:r>
    </w:p>
    <w:p>
      <w:pPr>
        <w:spacing w:line="480" w:lineRule="exact"/>
        <w:ind w:firstLine="480" w:firstLineChars="200"/>
        <w:rPr>
          <w:rFonts w:asciiTheme="majorEastAsia" w:hAnsiTheme="majorEastAsia" w:eastAsiaTheme="majorEastAsia"/>
          <w:bCs/>
          <w:sz w:val="24"/>
        </w:rPr>
      </w:pPr>
      <w:r>
        <w:rPr>
          <w:rFonts w:hint="eastAsia" w:asciiTheme="majorEastAsia" w:hAnsiTheme="majorEastAsia" w:eastAsiaTheme="majorEastAsia"/>
          <w:bCs/>
          <w:sz w:val="24"/>
        </w:rPr>
        <w:t>7</w:t>
      </w:r>
      <w:r>
        <w:rPr>
          <w:rFonts w:asciiTheme="majorEastAsia" w:hAnsiTheme="majorEastAsia" w:eastAsiaTheme="majorEastAsia"/>
          <w:bCs/>
          <w:sz w:val="24"/>
        </w:rPr>
        <w:t>.</w:t>
      </w:r>
      <w:r>
        <w:rPr>
          <w:rFonts w:hint="eastAsia" w:asciiTheme="majorEastAsia" w:hAnsiTheme="majorEastAsia" w:eastAsiaTheme="majorEastAsia"/>
          <w:bCs/>
          <w:sz w:val="24"/>
        </w:rPr>
        <w:t xml:space="preserve"> 公共区域墙面整体乳胶漆出新,待项目完成后整体保洁.</w:t>
      </w:r>
    </w:p>
    <w:p>
      <w:pPr>
        <w:spacing w:line="480" w:lineRule="exact"/>
        <w:ind w:firstLine="480" w:firstLineChars="200"/>
        <w:rPr>
          <w:rFonts w:asciiTheme="majorEastAsia" w:hAnsiTheme="majorEastAsia" w:eastAsiaTheme="majorEastAsia"/>
          <w:bCs/>
          <w:sz w:val="24"/>
        </w:rPr>
      </w:pPr>
    </w:p>
    <w:p>
      <w:pPr>
        <w:jc w:val="center"/>
        <w:rPr>
          <w:b/>
          <w:sz w:val="32"/>
          <w:szCs w:val="32"/>
        </w:rPr>
      </w:pPr>
    </w:p>
    <w:p>
      <w:pPr>
        <w:jc w:val="center"/>
        <w:rPr>
          <w:b/>
          <w:sz w:val="32"/>
          <w:szCs w:val="32"/>
        </w:rPr>
      </w:pPr>
    </w:p>
    <w:p>
      <w:pPr>
        <w:pStyle w:val="2"/>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p>
      <w:pPr>
        <w:jc w:val="center"/>
        <w:rPr>
          <w:b/>
          <w:sz w:val="32"/>
          <w:szCs w:val="32"/>
        </w:rPr>
      </w:pPr>
    </w:p>
    <w:bookmarkEnd w:id="167"/>
    <w:bookmarkEnd w:id="168"/>
    <w:p>
      <w:pPr>
        <w:jc w:val="center"/>
        <w:rPr>
          <w:b/>
          <w:sz w:val="32"/>
          <w:szCs w:val="32"/>
        </w:rPr>
      </w:pPr>
      <w:r>
        <w:rPr>
          <w:rFonts w:hint="eastAsia"/>
          <w:b/>
          <w:sz w:val="32"/>
          <w:szCs w:val="32"/>
        </w:rPr>
        <w:t>主要设备材料招标人推荐品牌一览表</w:t>
      </w:r>
    </w:p>
    <w:tbl>
      <w:tblPr>
        <w:tblStyle w:val="45"/>
        <w:tblpPr w:leftFromText="180" w:rightFromText="180" w:vertAnchor="page" w:horzAnchor="margin" w:tblpXSpec="center" w:tblpY="2317"/>
        <w:tblW w:w="105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1956"/>
        <w:gridCol w:w="2693"/>
        <w:gridCol w:w="3119"/>
        <w:gridCol w:w="20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4" w:hRule="atLeast"/>
        </w:trPr>
        <w:tc>
          <w:tcPr>
            <w:tcW w:w="709" w:type="dxa"/>
            <w:tcBorders>
              <w:top w:val="single" w:color="000000" w:sz="4" w:space="0"/>
              <w:left w:val="single" w:color="000000" w:sz="4" w:space="0"/>
              <w:bottom w:val="single" w:color="auto" w:sz="4" w:space="0"/>
              <w:right w:val="single" w:color="auto" w:sz="4" w:space="0"/>
            </w:tcBorders>
            <w:vAlign w:val="center"/>
          </w:tcPr>
          <w:p>
            <w:pPr>
              <w:jc w:val="center"/>
              <w:rPr>
                <w:rFonts w:cs="宋体"/>
                <w:b/>
                <w:bCs/>
              </w:rPr>
            </w:pPr>
            <w:r>
              <w:rPr>
                <w:rFonts w:hint="eastAsia" w:cs="宋体"/>
                <w:b/>
                <w:bCs/>
              </w:rPr>
              <w:t>序号</w:t>
            </w:r>
          </w:p>
        </w:tc>
        <w:tc>
          <w:tcPr>
            <w:tcW w:w="1956" w:type="dxa"/>
            <w:tcBorders>
              <w:top w:val="single" w:color="000000" w:sz="4" w:space="0"/>
              <w:left w:val="single" w:color="auto" w:sz="4" w:space="0"/>
              <w:bottom w:val="single" w:color="auto" w:sz="4" w:space="0"/>
              <w:right w:val="single" w:color="000000" w:sz="4" w:space="0"/>
            </w:tcBorders>
            <w:vAlign w:val="center"/>
          </w:tcPr>
          <w:p>
            <w:pPr>
              <w:jc w:val="center"/>
              <w:rPr>
                <w:rFonts w:cs="宋体"/>
                <w:b/>
                <w:bCs/>
              </w:rPr>
            </w:pPr>
            <w:r>
              <w:rPr>
                <w:rFonts w:hint="eastAsia" w:cs="宋体"/>
                <w:b/>
                <w:bCs/>
              </w:rPr>
              <w:t>材料设备名称</w:t>
            </w:r>
          </w:p>
        </w:tc>
        <w:tc>
          <w:tcPr>
            <w:tcW w:w="2693" w:type="dxa"/>
            <w:tcBorders>
              <w:top w:val="single" w:color="000000" w:sz="4" w:space="0"/>
              <w:left w:val="single" w:color="000000" w:sz="4" w:space="0"/>
              <w:bottom w:val="single" w:color="auto" w:sz="4" w:space="0"/>
              <w:right w:val="single" w:color="000000" w:sz="4" w:space="0"/>
            </w:tcBorders>
            <w:vAlign w:val="center"/>
          </w:tcPr>
          <w:p>
            <w:pPr>
              <w:jc w:val="center"/>
              <w:rPr>
                <w:rFonts w:cs="宋体"/>
                <w:b/>
                <w:bCs/>
              </w:rPr>
            </w:pPr>
            <w:r>
              <w:rPr>
                <w:rFonts w:hint="eastAsia" w:cs="宋体"/>
                <w:b/>
                <w:bCs/>
              </w:rPr>
              <w:t>材料主要性能要求</w:t>
            </w:r>
          </w:p>
        </w:tc>
        <w:tc>
          <w:tcPr>
            <w:tcW w:w="3119" w:type="dxa"/>
            <w:tcBorders>
              <w:top w:val="single" w:color="000000" w:sz="4" w:space="0"/>
              <w:left w:val="single" w:color="000000" w:sz="4" w:space="0"/>
              <w:bottom w:val="single" w:color="auto" w:sz="4" w:space="0"/>
              <w:right w:val="single" w:color="000000" w:sz="4" w:space="0"/>
            </w:tcBorders>
            <w:vAlign w:val="center"/>
          </w:tcPr>
          <w:p>
            <w:pPr>
              <w:jc w:val="center"/>
              <w:rPr>
                <w:rFonts w:cs="宋体"/>
                <w:b/>
                <w:bCs/>
              </w:rPr>
            </w:pPr>
            <w:r>
              <w:rPr>
                <w:rFonts w:hint="eastAsia" w:cs="宋体"/>
                <w:b/>
                <w:bCs/>
              </w:rPr>
              <w:t>招标人推荐品牌</w:t>
            </w:r>
          </w:p>
        </w:tc>
        <w:tc>
          <w:tcPr>
            <w:tcW w:w="2093" w:type="dxa"/>
            <w:tcBorders>
              <w:top w:val="single" w:color="000000" w:sz="4" w:space="0"/>
              <w:left w:val="single" w:color="000000" w:sz="4" w:space="0"/>
              <w:bottom w:val="single" w:color="auto" w:sz="4" w:space="0"/>
              <w:right w:val="single" w:color="000000" w:sz="4" w:space="0"/>
            </w:tcBorders>
            <w:vAlign w:val="center"/>
          </w:tcPr>
          <w:p>
            <w:pPr>
              <w:jc w:val="center"/>
              <w:rPr>
                <w:rFonts w:cs="宋体"/>
                <w:b/>
                <w:bCs/>
              </w:rPr>
            </w:pPr>
            <w:r>
              <w:rPr>
                <w:rFonts w:hint="eastAsia" w:cs="宋体"/>
                <w:b/>
                <w:bCs/>
              </w:rPr>
              <w:t>投标人选用品牌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5" w:hRule="atLeast"/>
        </w:trPr>
        <w:tc>
          <w:tcPr>
            <w:tcW w:w="709" w:type="dxa"/>
            <w:tcBorders>
              <w:top w:val="single" w:color="auto" w:sz="4" w:space="0"/>
              <w:left w:val="single" w:color="000000" w:sz="4" w:space="0"/>
              <w:bottom w:val="single" w:color="000000" w:sz="4" w:space="0"/>
              <w:right w:val="single" w:color="auto" w:sz="4" w:space="0"/>
            </w:tcBorders>
            <w:vAlign w:val="center"/>
          </w:tcPr>
          <w:p>
            <w:pPr>
              <w:jc w:val="center"/>
              <w:rPr>
                <w:rFonts w:cs="宋体"/>
              </w:rPr>
            </w:pPr>
            <w:r>
              <w:rPr>
                <w:rFonts w:hint="eastAsia" w:cs="宋体"/>
              </w:rPr>
              <w:t>1</w:t>
            </w:r>
          </w:p>
        </w:tc>
        <w:tc>
          <w:tcPr>
            <w:tcW w:w="1956" w:type="dxa"/>
            <w:tcBorders>
              <w:top w:val="single" w:color="auto" w:sz="4" w:space="0"/>
              <w:left w:val="single" w:color="auto" w:sz="4" w:space="0"/>
              <w:bottom w:val="single" w:color="000000" w:sz="4" w:space="0"/>
              <w:right w:val="single" w:color="000000" w:sz="4" w:space="0"/>
            </w:tcBorders>
            <w:vAlign w:val="center"/>
          </w:tcPr>
          <w:p>
            <w:pPr>
              <w:jc w:val="center"/>
              <w:rPr>
                <w:rFonts w:cs="宋体"/>
              </w:rPr>
            </w:pPr>
            <w:r>
              <w:rPr>
                <w:rFonts w:hint="eastAsia" w:cs="宋体"/>
              </w:rPr>
              <w:t>电线电缆</w:t>
            </w:r>
          </w:p>
        </w:tc>
        <w:tc>
          <w:tcPr>
            <w:tcW w:w="2693" w:type="dxa"/>
            <w:tcBorders>
              <w:top w:val="single" w:color="auto"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合格品及其以上等级</w:t>
            </w:r>
          </w:p>
        </w:tc>
        <w:tc>
          <w:tcPr>
            <w:tcW w:w="3119" w:type="dxa"/>
            <w:tcBorders>
              <w:top w:val="single" w:color="auto"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远东、江南、上上、东强</w:t>
            </w:r>
          </w:p>
        </w:tc>
        <w:tc>
          <w:tcPr>
            <w:tcW w:w="2093" w:type="dxa"/>
            <w:tcBorders>
              <w:top w:val="single" w:color="auto" w:sz="4" w:space="0"/>
              <w:left w:val="single" w:color="000000" w:sz="4" w:space="0"/>
              <w:bottom w:val="single" w:color="000000" w:sz="4" w:space="0"/>
              <w:right w:val="single" w:color="000000" w:sz="4" w:space="0"/>
            </w:tcBorders>
          </w:tcPr>
          <w:p>
            <w:pPr>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trPr>
        <w:tc>
          <w:tcPr>
            <w:tcW w:w="709" w:type="dxa"/>
            <w:tcBorders>
              <w:top w:val="single" w:color="000000" w:sz="4" w:space="0"/>
              <w:left w:val="single" w:color="000000" w:sz="4" w:space="0"/>
              <w:bottom w:val="single" w:color="000000" w:sz="4" w:space="0"/>
              <w:right w:val="single" w:color="auto" w:sz="4" w:space="0"/>
            </w:tcBorders>
            <w:vAlign w:val="center"/>
          </w:tcPr>
          <w:p>
            <w:pPr>
              <w:jc w:val="center"/>
              <w:rPr>
                <w:rFonts w:cs="宋体"/>
              </w:rPr>
            </w:pPr>
            <w:r>
              <w:rPr>
                <w:rFonts w:hint="eastAsia" w:cs="宋体"/>
              </w:rPr>
              <w:t>2</w:t>
            </w:r>
          </w:p>
        </w:tc>
        <w:tc>
          <w:tcPr>
            <w:tcW w:w="1956" w:type="dxa"/>
            <w:tcBorders>
              <w:top w:val="single" w:color="000000" w:sz="4" w:space="0"/>
              <w:left w:val="single" w:color="auto" w:sz="4" w:space="0"/>
              <w:bottom w:val="single" w:color="000000" w:sz="4" w:space="0"/>
              <w:right w:val="single" w:color="000000" w:sz="4" w:space="0"/>
            </w:tcBorders>
            <w:vAlign w:val="center"/>
          </w:tcPr>
          <w:p>
            <w:pPr>
              <w:jc w:val="center"/>
              <w:rPr>
                <w:rFonts w:cs="宋体"/>
              </w:rPr>
            </w:pPr>
            <w:r>
              <w:rPr>
                <w:rFonts w:hint="eastAsia" w:cs="宋体"/>
              </w:rPr>
              <w:t>开关、插座</w:t>
            </w:r>
          </w:p>
        </w:tc>
        <w:tc>
          <w:tcPr>
            <w:tcW w:w="2693"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合格品及其以上等级</w:t>
            </w:r>
          </w:p>
        </w:tc>
        <w:tc>
          <w:tcPr>
            <w:tcW w:w="3119"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ABB、施耐德、西门子、松下、西蒙</w:t>
            </w:r>
          </w:p>
        </w:tc>
        <w:tc>
          <w:tcPr>
            <w:tcW w:w="2093" w:type="dxa"/>
            <w:tcBorders>
              <w:top w:val="single" w:color="000000" w:sz="4" w:space="0"/>
              <w:left w:val="single" w:color="000000" w:sz="4" w:space="0"/>
              <w:bottom w:val="single" w:color="000000" w:sz="4" w:space="0"/>
              <w:right w:val="single" w:color="000000" w:sz="4" w:space="0"/>
            </w:tcBorders>
          </w:tcPr>
          <w:p>
            <w:pPr>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 w:hRule="atLeast"/>
        </w:trPr>
        <w:tc>
          <w:tcPr>
            <w:tcW w:w="709" w:type="dxa"/>
            <w:tcBorders>
              <w:top w:val="single" w:color="000000" w:sz="4" w:space="0"/>
              <w:left w:val="single" w:color="000000" w:sz="4" w:space="0"/>
              <w:bottom w:val="single" w:color="000000" w:sz="4" w:space="0"/>
              <w:right w:val="single" w:color="auto" w:sz="4" w:space="0"/>
            </w:tcBorders>
            <w:vAlign w:val="center"/>
          </w:tcPr>
          <w:p>
            <w:pPr>
              <w:jc w:val="center"/>
              <w:rPr>
                <w:rFonts w:cs="宋体"/>
              </w:rPr>
            </w:pPr>
            <w:r>
              <w:rPr>
                <w:rFonts w:cs="宋体"/>
              </w:rPr>
              <w:t>3</w:t>
            </w:r>
          </w:p>
        </w:tc>
        <w:tc>
          <w:tcPr>
            <w:tcW w:w="1956" w:type="dxa"/>
            <w:tcBorders>
              <w:top w:val="single" w:color="000000" w:sz="4" w:space="0"/>
              <w:left w:val="single" w:color="auto" w:sz="4" w:space="0"/>
              <w:bottom w:val="single" w:color="000000" w:sz="4" w:space="0"/>
              <w:right w:val="single" w:color="000000" w:sz="4" w:space="0"/>
            </w:tcBorders>
            <w:vAlign w:val="center"/>
          </w:tcPr>
          <w:p>
            <w:pPr>
              <w:jc w:val="center"/>
              <w:rPr>
                <w:rFonts w:cs="宋体"/>
              </w:rPr>
            </w:pPr>
            <w:r>
              <w:rPr>
                <w:rFonts w:hint="eastAsia" w:cs="宋体"/>
              </w:rPr>
              <w:t>灯具</w:t>
            </w:r>
          </w:p>
        </w:tc>
        <w:tc>
          <w:tcPr>
            <w:tcW w:w="2693"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合格品及其以上等级</w:t>
            </w:r>
          </w:p>
        </w:tc>
        <w:tc>
          <w:tcPr>
            <w:tcW w:w="3119"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雷士、欧普、飞利浦、松下</w:t>
            </w:r>
          </w:p>
        </w:tc>
        <w:tc>
          <w:tcPr>
            <w:tcW w:w="2093" w:type="dxa"/>
            <w:tcBorders>
              <w:top w:val="single" w:color="000000" w:sz="4" w:space="0"/>
              <w:left w:val="single" w:color="000000" w:sz="4" w:space="0"/>
              <w:bottom w:val="single" w:color="000000" w:sz="4" w:space="0"/>
              <w:right w:val="single" w:color="000000" w:sz="4" w:space="0"/>
            </w:tcBorders>
          </w:tcPr>
          <w:p>
            <w:pPr>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1" w:hRule="atLeast"/>
        </w:trPr>
        <w:tc>
          <w:tcPr>
            <w:tcW w:w="709" w:type="dxa"/>
            <w:tcBorders>
              <w:top w:val="single" w:color="000000" w:sz="4" w:space="0"/>
              <w:left w:val="single" w:color="000000" w:sz="4" w:space="0"/>
              <w:bottom w:val="single" w:color="000000" w:sz="4" w:space="0"/>
              <w:right w:val="single" w:color="auto" w:sz="4" w:space="0"/>
            </w:tcBorders>
            <w:vAlign w:val="center"/>
          </w:tcPr>
          <w:p>
            <w:pPr>
              <w:jc w:val="center"/>
              <w:rPr>
                <w:rFonts w:cs="宋体"/>
              </w:rPr>
            </w:pPr>
            <w:r>
              <w:rPr>
                <w:rFonts w:cs="宋体"/>
              </w:rPr>
              <w:t>4</w:t>
            </w:r>
          </w:p>
        </w:tc>
        <w:tc>
          <w:tcPr>
            <w:tcW w:w="1956" w:type="dxa"/>
            <w:tcBorders>
              <w:top w:val="single" w:color="000000" w:sz="4" w:space="0"/>
              <w:left w:val="single" w:color="auto" w:sz="4" w:space="0"/>
              <w:bottom w:val="single" w:color="000000" w:sz="4" w:space="0"/>
              <w:right w:val="single" w:color="000000" w:sz="4" w:space="0"/>
            </w:tcBorders>
            <w:vAlign w:val="center"/>
          </w:tcPr>
          <w:p>
            <w:pPr>
              <w:jc w:val="center"/>
              <w:rPr>
                <w:rFonts w:cs="宋体"/>
              </w:rPr>
            </w:pPr>
            <w:r>
              <w:rPr>
                <w:rFonts w:hint="eastAsia" w:cs="宋体"/>
              </w:rPr>
              <w:t>电线管</w:t>
            </w:r>
          </w:p>
        </w:tc>
        <w:tc>
          <w:tcPr>
            <w:tcW w:w="2693"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合格品及其以上等级</w:t>
            </w:r>
          </w:p>
        </w:tc>
        <w:tc>
          <w:tcPr>
            <w:tcW w:w="3119"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公元、中财、上塑</w:t>
            </w:r>
          </w:p>
        </w:tc>
        <w:tc>
          <w:tcPr>
            <w:tcW w:w="2093" w:type="dxa"/>
            <w:tcBorders>
              <w:top w:val="single" w:color="000000" w:sz="4" w:space="0"/>
              <w:left w:val="single" w:color="000000" w:sz="4" w:space="0"/>
              <w:bottom w:val="single" w:color="000000" w:sz="4" w:space="0"/>
              <w:right w:val="single" w:color="000000" w:sz="4" w:space="0"/>
            </w:tcBorders>
          </w:tcPr>
          <w:p>
            <w:pPr>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trPr>
        <w:tc>
          <w:tcPr>
            <w:tcW w:w="709" w:type="dxa"/>
            <w:tcBorders>
              <w:top w:val="single" w:color="000000" w:sz="4" w:space="0"/>
              <w:left w:val="single" w:color="000000" w:sz="4" w:space="0"/>
              <w:bottom w:val="single" w:color="000000" w:sz="4" w:space="0"/>
              <w:right w:val="single" w:color="auto" w:sz="4" w:space="0"/>
            </w:tcBorders>
            <w:vAlign w:val="center"/>
          </w:tcPr>
          <w:p>
            <w:pPr>
              <w:jc w:val="center"/>
              <w:rPr>
                <w:rFonts w:cs="宋体"/>
              </w:rPr>
            </w:pPr>
            <w:r>
              <w:rPr>
                <w:rFonts w:cs="宋体"/>
              </w:rPr>
              <w:t>5</w:t>
            </w:r>
          </w:p>
        </w:tc>
        <w:tc>
          <w:tcPr>
            <w:tcW w:w="1956"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cs="宋体"/>
                <w:kern w:val="0"/>
              </w:rPr>
            </w:pPr>
            <w:r>
              <w:rPr>
                <w:rFonts w:hint="eastAsia" w:cs="宋体"/>
                <w:kern w:val="0"/>
              </w:rPr>
              <w:t>乳胶漆</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cs="宋体"/>
              </w:rPr>
            </w:pPr>
            <w:r>
              <w:rPr>
                <w:rFonts w:hint="eastAsia" w:cs="宋体"/>
              </w:rPr>
              <w:t>合格品及其以上等级，环保等级达E1级</w:t>
            </w:r>
          </w:p>
        </w:tc>
        <w:tc>
          <w:tcPr>
            <w:tcW w:w="3119"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cs="宋体"/>
              </w:rPr>
            </w:pPr>
            <w:r>
              <w:rPr>
                <w:rFonts w:hint="eastAsia" w:cs="宋体"/>
              </w:rPr>
              <w:t>立邦、多乐士、华润、三棵树</w:t>
            </w:r>
          </w:p>
        </w:tc>
        <w:tc>
          <w:tcPr>
            <w:tcW w:w="2093" w:type="dxa"/>
            <w:tcBorders>
              <w:top w:val="single" w:color="000000" w:sz="4" w:space="0"/>
              <w:left w:val="single" w:color="000000" w:sz="4" w:space="0"/>
              <w:bottom w:val="single" w:color="000000" w:sz="4" w:space="0"/>
              <w:right w:val="single" w:color="000000" w:sz="4" w:space="0"/>
            </w:tcBorders>
          </w:tcPr>
          <w:p>
            <w:pPr>
              <w:widowControl/>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9" w:hRule="atLeast"/>
        </w:trPr>
        <w:tc>
          <w:tcPr>
            <w:tcW w:w="709" w:type="dxa"/>
            <w:tcBorders>
              <w:top w:val="single" w:color="000000" w:sz="4" w:space="0"/>
              <w:left w:val="single" w:color="000000" w:sz="4" w:space="0"/>
              <w:bottom w:val="single" w:color="000000" w:sz="4" w:space="0"/>
              <w:right w:val="single" w:color="auto" w:sz="4" w:space="0"/>
            </w:tcBorders>
            <w:vAlign w:val="center"/>
          </w:tcPr>
          <w:p>
            <w:pPr>
              <w:jc w:val="center"/>
              <w:rPr>
                <w:rFonts w:cs="宋体"/>
              </w:rPr>
            </w:pPr>
            <w:r>
              <w:rPr>
                <w:rFonts w:cs="宋体"/>
              </w:rPr>
              <w:t>6</w:t>
            </w:r>
          </w:p>
        </w:tc>
        <w:tc>
          <w:tcPr>
            <w:tcW w:w="1956"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cs="宋体"/>
                <w:kern w:val="0"/>
              </w:rPr>
            </w:pPr>
            <w:r>
              <w:rPr>
                <w:rFonts w:cs="宋体"/>
                <w:kern w:val="0"/>
              </w:rPr>
              <w:t>3mm厚PVC地胶板</w:t>
            </w:r>
          </w:p>
        </w:tc>
        <w:tc>
          <w:tcPr>
            <w:tcW w:w="2693"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合格品及其以上等级</w:t>
            </w:r>
          </w:p>
        </w:tc>
        <w:tc>
          <w:tcPr>
            <w:tcW w:w="3119"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阿姆斯壮、洁福、得嘉、嘉宝、</w:t>
            </w:r>
            <w:r>
              <w:rPr>
                <w:rFonts w:cs="宋体"/>
              </w:rPr>
              <w:t>LG</w:t>
            </w:r>
          </w:p>
        </w:tc>
        <w:tc>
          <w:tcPr>
            <w:tcW w:w="2093" w:type="dxa"/>
            <w:tcBorders>
              <w:top w:val="single" w:color="000000" w:sz="4" w:space="0"/>
              <w:left w:val="single" w:color="000000" w:sz="4" w:space="0"/>
              <w:bottom w:val="single" w:color="000000" w:sz="4" w:space="0"/>
              <w:right w:val="single" w:color="000000" w:sz="4" w:space="0"/>
            </w:tcBorders>
          </w:tcPr>
          <w:p>
            <w:pPr>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cs="宋体"/>
              </w:rPr>
              <w:t>7</w:t>
            </w:r>
          </w:p>
        </w:tc>
        <w:tc>
          <w:tcPr>
            <w:tcW w:w="1956" w:type="dxa"/>
            <w:tcBorders>
              <w:top w:val="single" w:color="000000" w:sz="4" w:space="0"/>
              <w:left w:val="single" w:color="000000" w:sz="4" w:space="0"/>
              <w:bottom w:val="single" w:color="000000" w:sz="4" w:space="0"/>
              <w:right w:val="single" w:color="000000" w:sz="4" w:space="0"/>
            </w:tcBorders>
            <w:vAlign w:val="center"/>
          </w:tcPr>
          <w:p>
            <w:pPr>
              <w:spacing w:line="560" w:lineRule="exact"/>
              <w:jc w:val="center"/>
              <w:rPr>
                <w:rFonts w:cs="新宋体"/>
                <w:kern w:val="0"/>
              </w:rPr>
            </w:pPr>
            <w:r>
              <w:rPr>
                <w:rFonts w:hint="eastAsia"/>
                <w:color w:val="000000"/>
              </w:rPr>
              <w:t>墙砖、地砖</w:t>
            </w:r>
          </w:p>
        </w:tc>
        <w:tc>
          <w:tcPr>
            <w:tcW w:w="2693"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合格品及其以上等级</w:t>
            </w:r>
          </w:p>
        </w:tc>
        <w:tc>
          <w:tcPr>
            <w:tcW w:w="3119"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诺贝尔、冠军、马可波罗、东鹏、斯米克、特地</w:t>
            </w:r>
          </w:p>
        </w:tc>
        <w:tc>
          <w:tcPr>
            <w:tcW w:w="2093" w:type="dxa"/>
            <w:tcBorders>
              <w:top w:val="single" w:color="000000" w:sz="4" w:space="0"/>
              <w:left w:val="single" w:color="000000" w:sz="4" w:space="0"/>
              <w:bottom w:val="single" w:color="000000" w:sz="4" w:space="0"/>
              <w:right w:val="single" w:color="000000" w:sz="4" w:space="0"/>
            </w:tcBorders>
          </w:tcPr>
          <w:p>
            <w:pPr>
              <w:jc w:val="center"/>
              <w:rPr>
                <w:rFonts w:cs="宋体"/>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8"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cs="宋体"/>
              </w:rPr>
              <w:t>8</w:t>
            </w:r>
          </w:p>
        </w:tc>
        <w:tc>
          <w:tcPr>
            <w:tcW w:w="1956"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铝型材</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center"/>
            </w:pPr>
            <w:r>
              <w:rPr>
                <w:rFonts w:hint="eastAsia" w:cs="宋体"/>
              </w:rPr>
              <w:t>合格品及其以上等级</w:t>
            </w:r>
          </w:p>
        </w:tc>
        <w:tc>
          <w:tcPr>
            <w:tcW w:w="3119" w:type="dxa"/>
            <w:tcBorders>
              <w:top w:val="single" w:color="000000" w:sz="4" w:space="0"/>
              <w:left w:val="single" w:color="000000" w:sz="4" w:space="0"/>
              <w:bottom w:val="single" w:color="000000" w:sz="4" w:space="0"/>
              <w:right w:val="single" w:color="000000" w:sz="4" w:space="0"/>
            </w:tcBorders>
            <w:vAlign w:val="center"/>
          </w:tcPr>
          <w:p>
            <w:pPr>
              <w:widowControl/>
              <w:jc w:val="center"/>
            </w:pPr>
            <w:r>
              <w:rPr>
                <w:rFonts w:hint="eastAsia"/>
              </w:rPr>
              <w:t>凤铝、栋梁、博奥</w:t>
            </w:r>
          </w:p>
        </w:tc>
        <w:tc>
          <w:tcPr>
            <w:tcW w:w="2093" w:type="dxa"/>
            <w:tcBorders>
              <w:top w:val="single" w:color="000000" w:sz="4" w:space="0"/>
              <w:left w:val="single" w:color="000000" w:sz="4" w:space="0"/>
              <w:bottom w:val="single" w:color="000000" w:sz="4" w:space="0"/>
              <w:right w:val="single" w:color="000000"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8"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9</w:t>
            </w:r>
          </w:p>
        </w:tc>
        <w:tc>
          <w:tcPr>
            <w:tcW w:w="1956"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纸面石膏板</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cs="宋体"/>
              </w:rPr>
            </w:pPr>
            <w:r>
              <w:rPr>
                <w:rFonts w:hint="eastAsia" w:cs="宋体"/>
              </w:rPr>
              <w:t>合格品及其以上等级</w:t>
            </w:r>
          </w:p>
        </w:tc>
        <w:tc>
          <w:tcPr>
            <w:tcW w:w="3119" w:type="dxa"/>
            <w:tcBorders>
              <w:top w:val="single" w:color="000000" w:sz="4" w:space="0"/>
              <w:left w:val="single" w:color="000000" w:sz="4" w:space="0"/>
              <w:bottom w:val="single" w:color="000000" w:sz="4" w:space="0"/>
              <w:right w:val="single" w:color="000000" w:sz="4" w:space="0"/>
            </w:tcBorders>
            <w:vAlign w:val="center"/>
          </w:tcPr>
          <w:p>
            <w:pPr>
              <w:widowControl/>
              <w:jc w:val="center"/>
            </w:pPr>
            <w:r>
              <w:rPr>
                <w:rFonts w:hint="eastAsia"/>
              </w:rPr>
              <w:t>可耐福、拉法基、龙牌、泰山、杰科</w:t>
            </w:r>
          </w:p>
        </w:tc>
        <w:tc>
          <w:tcPr>
            <w:tcW w:w="2093" w:type="dxa"/>
            <w:tcBorders>
              <w:top w:val="single" w:color="000000" w:sz="4" w:space="0"/>
              <w:left w:val="single" w:color="000000" w:sz="4" w:space="0"/>
              <w:bottom w:val="single" w:color="000000" w:sz="4" w:space="0"/>
              <w:right w:val="single" w:color="000000"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709" w:type="dxa"/>
            <w:tcBorders>
              <w:top w:val="single" w:color="000000" w:sz="4" w:space="0"/>
              <w:left w:val="single" w:color="000000" w:sz="4" w:space="0"/>
              <w:bottom w:val="single" w:color="000000" w:sz="4" w:space="0"/>
              <w:right w:val="single" w:color="000000" w:sz="4" w:space="0"/>
            </w:tcBorders>
            <w:vAlign w:val="center"/>
          </w:tcPr>
          <w:p>
            <w:pPr>
              <w:jc w:val="center"/>
              <w:rPr>
                <w:rFonts w:cs="宋体"/>
              </w:rPr>
            </w:pPr>
            <w:r>
              <w:rPr>
                <w:rFonts w:hint="eastAsia" w:cs="宋体"/>
              </w:rPr>
              <w:t>1</w:t>
            </w:r>
            <w:r>
              <w:rPr>
                <w:rFonts w:cs="宋体"/>
              </w:rPr>
              <w:t>0</w:t>
            </w:r>
          </w:p>
        </w:tc>
        <w:tc>
          <w:tcPr>
            <w:tcW w:w="1956" w:type="dxa"/>
            <w:tcBorders>
              <w:top w:val="single" w:color="000000" w:sz="4" w:space="0"/>
              <w:left w:val="single" w:color="000000" w:sz="4" w:space="0"/>
              <w:bottom w:val="single" w:color="000000" w:sz="4" w:space="0"/>
              <w:right w:val="single" w:color="000000" w:sz="4" w:space="0"/>
            </w:tcBorders>
            <w:vAlign w:val="center"/>
          </w:tcPr>
          <w:p>
            <w:pPr>
              <w:jc w:val="center"/>
            </w:pPr>
            <w:r>
              <w:rPr>
                <w:rFonts w:hint="eastAsia"/>
              </w:rPr>
              <w:t>轻钢龙骨及其配件</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cs="宋体"/>
              </w:rPr>
            </w:pPr>
            <w:r>
              <w:rPr>
                <w:rFonts w:hint="eastAsia" w:cs="宋体"/>
              </w:rPr>
              <w:t>合格品及其以上等级</w:t>
            </w:r>
          </w:p>
        </w:tc>
        <w:tc>
          <w:tcPr>
            <w:tcW w:w="3119" w:type="dxa"/>
            <w:tcBorders>
              <w:top w:val="single" w:color="000000" w:sz="4" w:space="0"/>
              <w:left w:val="single" w:color="000000" w:sz="4" w:space="0"/>
              <w:bottom w:val="single" w:color="000000" w:sz="4" w:space="0"/>
              <w:right w:val="single" w:color="000000" w:sz="4" w:space="0"/>
            </w:tcBorders>
            <w:vAlign w:val="center"/>
          </w:tcPr>
          <w:p>
            <w:pPr>
              <w:widowControl/>
              <w:jc w:val="center"/>
            </w:pPr>
            <w:r>
              <w:rPr>
                <w:rFonts w:hint="eastAsia"/>
              </w:rPr>
              <w:t>可耐福、拉法基、龙牌、泰山、杰科</w:t>
            </w:r>
          </w:p>
        </w:tc>
        <w:tc>
          <w:tcPr>
            <w:tcW w:w="2093" w:type="dxa"/>
            <w:tcBorders>
              <w:top w:val="single" w:color="000000" w:sz="4" w:space="0"/>
              <w:left w:val="single" w:color="000000" w:sz="4" w:space="0"/>
              <w:bottom w:val="single" w:color="000000" w:sz="4" w:space="0"/>
              <w:right w:val="single" w:color="000000" w:sz="4" w:space="0"/>
            </w:tcBorders>
          </w:tcPr>
          <w:p>
            <w:pPr>
              <w:widowControl/>
              <w:jc w:val="center"/>
            </w:pPr>
          </w:p>
        </w:tc>
      </w:tr>
    </w:tbl>
    <w:p>
      <w:pPr>
        <w:spacing w:line="400" w:lineRule="exact"/>
        <w:jc w:val="left"/>
        <w:rPr>
          <w:rFonts w:cs="宋体"/>
        </w:rPr>
      </w:pPr>
      <w:r>
        <w:rPr>
          <w:rFonts w:hint="eastAsia" w:cs="宋体"/>
        </w:rPr>
        <w:t>注：</w:t>
      </w:r>
    </w:p>
    <w:p>
      <w:pPr>
        <w:spacing w:line="400" w:lineRule="exact"/>
        <w:ind w:firstLine="420" w:firstLineChars="200"/>
        <w:jc w:val="left"/>
        <w:rPr>
          <w:rFonts w:cs="宋体"/>
        </w:rPr>
      </w:pPr>
      <w:r>
        <w:rPr>
          <w:rFonts w:hint="eastAsia" w:cs="宋体"/>
        </w:rPr>
        <w:t>1、以上材料在进场前须经建设单位和设计单位认可，建设单位有权在颜色、样式、用量、材质、配置等方面做出适当调整，但价格不予调整。</w:t>
      </w:r>
    </w:p>
    <w:p>
      <w:pPr>
        <w:spacing w:line="400" w:lineRule="exact"/>
        <w:ind w:firstLine="420" w:firstLineChars="200"/>
        <w:jc w:val="left"/>
        <w:rPr>
          <w:rFonts w:cs="宋体"/>
        </w:rPr>
      </w:pPr>
      <w:r>
        <w:rPr>
          <w:rFonts w:hint="eastAsia" w:cs="宋体"/>
        </w:rPr>
        <w:t>2、投标人投标时需选择某一具体品牌。如投标人采用推荐品牌以外的其他产品供货的，质量和性能等技术指标必须优于或者相当于推荐品牌。一旦中标，中标人不得以任何理由更换推荐品牌，并于领取中标通知书后三天内向建设单位提供样品，经建设单位认可后方可签订合同。</w:t>
      </w:r>
    </w:p>
    <w:p>
      <w:pPr>
        <w:spacing w:before="120" w:beforeLines="50" w:line="360" w:lineRule="auto"/>
        <w:jc w:val="left"/>
        <w:rPr>
          <w:rFonts w:cs="宋体"/>
        </w:rPr>
      </w:pPr>
      <w:r>
        <w:rPr>
          <w:rFonts w:hint="eastAsia" w:cs="宋体"/>
          <w:color w:val="FF0000"/>
        </w:rPr>
        <w:t xml:space="preserve"> </w:t>
      </w:r>
      <w:r>
        <w:rPr>
          <w:rFonts w:cs="宋体"/>
          <w:color w:val="FF0000"/>
        </w:rPr>
        <w:t xml:space="preserve">                                                                                                             </w:t>
      </w:r>
      <w:r>
        <w:rPr>
          <w:rFonts w:hint="eastAsia" w:cs="宋体"/>
        </w:rPr>
        <w:t>投标人（单位公章）：</w:t>
      </w:r>
    </w:p>
    <w:p>
      <w:pPr>
        <w:wordWrap w:val="0"/>
        <w:spacing w:before="120" w:beforeLines="50" w:line="360" w:lineRule="auto"/>
        <w:ind w:right="240"/>
        <w:jc w:val="right"/>
        <w:rPr>
          <w:rFonts w:cs="宋体"/>
        </w:rPr>
      </w:pPr>
      <w:r>
        <w:rPr>
          <w:rFonts w:hint="eastAsia" w:cs="宋体"/>
        </w:rPr>
        <w:t xml:space="preserve">年 </w:t>
      </w:r>
      <w:r>
        <w:rPr>
          <w:rFonts w:cs="宋体"/>
        </w:rPr>
        <w:t xml:space="preserve"> </w:t>
      </w:r>
      <w:r>
        <w:rPr>
          <w:rFonts w:hint="eastAsia" w:cs="宋体"/>
        </w:rPr>
        <w:t xml:space="preserve"> 月 </w:t>
      </w:r>
      <w:r>
        <w:rPr>
          <w:rFonts w:cs="宋体"/>
        </w:rPr>
        <w:t xml:space="preserve"> </w:t>
      </w:r>
      <w:r>
        <w:rPr>
          <w:rFonts w:hint="eastAsia" w:cs="宋体"/>
        </w:rPr>
        <w:t xml:space="preserve"> 日</w:t>
      </w:r>
    </w:p>
    <w:p>
      <w:pPr>
        <w:spacing w:before="120" w:beforeLines="50" w:line="360" w:lineRule="auto"/>
        <w:jc w:val="left"/>
        <w:rPr>
          <w:rFonts w:cs="宋体"/>
          <w:color w:val="FF0000"/>
        </w:rPr>
      </w:pPr>
    </w:p>
    <w:p>
      <w:pPr>
        <w:spacing w:before="120" w:beforeLines="50" w:line="360" w:lineRule="auto"/>
        <w:jc w:val="left"/>
        <w:rPr>
          <w:rFonts w:cs="宋体"/>
          <w:color w:val="FF0000"/>
        </w:rPr>
      </w:pPr>
    </w:p>
    <w:p>
      <w:pPr>
        <w:spacing w:before="120" w:beforeLines="50" w:line="360" w:lineRule="auto"/>
        <w:jc w:val="left"/>
        <w:rPr>
          <w:rFonts w:cs="宋体"/>
          <w:color w:val="FF0000"/>
        </w:rPr>
      </w:pPr>
    </w:p>
    <w:p>
      <w:pPr>
        <w:spacing w:before="120" w:beforeLines="50" w:line="360" w:lineRule="auto"/>
        <w:jc w:val="left"/>
        <w:rPr>
          <w:rFonts w:cs="宋体"/>
          <w:color w:val="FF0000"/>
        </w:rPr>
      </w:pPr>
    </w:p>
    <w:p>
      <w:pPr>
        <w:spacing w:before="120" w:beforeLines="50" w:line="360" w:lineRule="auto"/>
        <w:jc w:val="left"/>
        <w:rPr>
          <w:rFonts w:cs="宋体"/>
        </w:rPr>
      </w:pPr>
      <w:r>
        <w:rPr>
          <w:rFonts w:cs="宋体"/>
          <w:color w:val="FF0000"/>
        </w:rPr>
        <w:t xml:space="preserve">                                   </w:t>
      </w:r>
    </w:p>
    <w:p>
      <w:pPr>
        <w:pStyle w:val="5"/>
        <w:rPr>
          <w:rFonts w:asciiTheme="majorEastAsia" w:hAnsiTheme="majorEastAsia" w:eastAsiaTheme="majorEastAsia"/>
          <w:b/>
          <w:sz w:val="44"/>
          <w:szCs w:val="44"/>
        </w:rPr>
      </w:pPr>
      <w:r>
        <w:rPr>
          <w:rFonts w:hint="eastAsia" w:asciiTheme="majorEastAsia" w:hAnsiTheme="majorEastAsia" w:eastAsiaTheme="majorEastAsia"/>
          <w:b/>
          <w:sz w:val="44"/>
          <w:szCs w:val="44"/>
        </w:rPr>
        <w:t>第五章  评标方法与评标标准</w:t>
      </w:r>
    </w:p>
    <w:p>
      <w:pPr>
        <w:rPr>
          <w:rFonts w:asciiTheme="majorEastAsia" w:hAnsiTheme="majorEastAsia" w:eastAsiaTheme="majorEastAsia"/>
        </w:rPr>
      </w:pPr>
    </w:p>
    <w:p>
      <w:pPr>
        <w:pStyle w:val="2"/>
        <w:spacing w:line="480" w:lineRule="exact"/>
        <w:ind w:firstLine="482"/>
        <w:rPr>
          <w:rFonts w:asciiTheme="majorEastAsia" w:hAnsiTheme="majorEastAsia" w:eastAsiaTheme="majorEastAsia"/>
          <w:b/>
          <w:sz w:val="24"/>
          <w:szCs w:val="24"/>
        </w:rPr>
      </w:pPr>
      <w:r>
        <w:rPr>
          <w:rFonts w:hint="eastAsia" w:asciiTheme="majorEastAsia" w:hAnsiTheme="majorEastAsia" w:eastAsiaTheme="majorEastAsia"/>
          <w:b/>
          <w:sz w:val="24"/>
          <w:szCs w:val="24"/>
        </w:rPr>
        <w:t>一、评标方法与定标原则</w:t>
      </w:r>
    </w:p>
    <w:p>
      <w:pPr>
        <w:pStyle w:val="2"/>
        <w:spacing w:line="480" w:lineRule="exact"/>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评标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2"/>
        <w:spacing w:line="480" w:lineRule="exact"/>
        <w:ind w:firstLine="482"/>
        <w:rPr>
          <w:rFonts w:asciiTheme="majorEastAsia" w:hAnsiTheme="majorEastAsia" w:eastAsiaTheme="majorEastAsia"/>
          <w:b/>
          <w:sz w:val="24"/>
          <w:szCs w:val="24"/>
        </w:rPr>
      </w:pPr>
      <w:r>
        <w:rPr>
          <w:rFonts w:asciiTheme="majorEastAsia" w:hAnsiTheme="majorEastAsia" w:eastAsiaTheme="majorEastAsia"/>
          <w:b/>
          <w:sz w:val="24"/>
          <w:szCs w:val="24"/>
        </w:rPr>
        <w:t>二、</w:t>
      </w:r>
      <w:r>
        <w:rPr>
          <w:rFonts w:hint="eastAsia" w:asciiTheme="majorEastAsia" w:hAnsiTheme="majorEastAsia" w:eastAsiaTheme="majorEastAsia"/>
          <w:b/>
          <w:sz w:val="24"/>
          <w:szCs w:val="24"/>
        </w:rPr>
        <w:t>政府采购政策功能落实</w:t>
      </w:r>
    </w:p>
    <w:p>
      <w:pPr>
        <w:pStyle w:val="2"/>
        <w:spacing w:line="480" w:lineRule="exact"/>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为进一步贯彻落实《省财政厅关于新冠肺炎疫情防控期间加大政府采购支持中小微企业力度的通知》（苏财购【2020】19号）、（盐财购【2020】7号）文件精神，结合《关于印发中小企业划型标准规定的通知》（工信部联企业【2011】300号）要求，本项目现对小型和微型企业服务的原投标报价得分的基础上增加其报价得分的5%作为其报价得分，用增加后的报价得分参与评审。参加政府采购活动的中小企业如实提供《中小企业声明函》。</w:t>
      </w:r>
    </w:p>
    <w:p>
      <w:pPr>
        <w:pStyle w:val="2"/>
        <w:spacing w:line="480" w:lineRule="exact"/>
        <w:ind w:firstLine="482"/>
        <w:rPr>
          <w:rFonts w:asciiTheme="majorEastAsia" w:hAnsiTheme="majorEastAsia" w:eastAsiaTheme="majorEastAsia"/>
          <w:b/>
          <w:sz w:val="24"/>
          <w:szCs w:val="24"/>
        </w:rPr>
      </w:pPr>
      <w:r>
        <w:rPr>
          <w:rFonts w:hint="eastAsia" w:asciiTheme="majorEastAsia" w:hAnsiTheme="majorEastAsia" w:eastAsiaTheme="majorEastAsia"/>
          <w:b/>
          <w:sz w:val="24"/>
          <w:szCs w:val="24"/>
        </w:rPr>
        <w:t>三、评标标准</w:t>
      </w:r>
    </w:p>
    <w:p>
      <w:pPr>
        <w:pStyle w:val="2"/>
        <w:spacing w:line="480" w:lineRule="exact"/>
        <w:ind w:firstLine="361" w:firstLineChars="150"/>
        <w:rPr>
          <w:rFonts w:asciiTheme="majorEastAsia" w:hAnsiTheme="majorEastAsia" w:eastAsiaTheme="majorEastAsia"/>
          <w:b/>
          <w:sz w:val="24"/>
          <w:szCs w:val="24"/>
        </w:rPr>
      </w:pPr>
      <w:r>
        <w:rPr>
          <w:rFonts w:hint="eastAsia" w:asciiTheme="majorEastAsia" w:hAnsiTheme="majorEastAsia" w:eastAsiaTheme="majorEastAsia"/>
          <w:b/>
          <w:sz w:val="24"/>
          <w:szCs w:val="24"/>
        </w:rPr>
        <w:t>（一）对通过资格审查及符合性审查的有效投标文件按其投标报价得分由高到低选择7家投标单位进入详细评审,如第7家出现2家及以上相同报价得分的，同时入围，有效投标文件不足7家的，全部进入详细评审。</w:t>
      </w:r>
    </w:p>
    <w:p>
      <w:pPr>
        <w:pStyle w:val="2"/>
        <w:spacing w:line="480" w:lineRule="exact"/>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（二）评委将以招标文件为评标依据，对投标人的投标报价、技术文件及商务文件等方面按百分制打分。</w:t>
      </w:r>
    </w:p>
    <w:p>
      <w:pPr>
        <w:pStyle w:val="2"/>
        <w:spacing w:line="480" w:lineRule="exact"/>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（三）成交标准：评标小组将根据总得分高低排列各投标人次序（评审得分相同的，按照报价由低到高的顺序推荐。评审得分且报价相同的，按照施工方案优劣顺序推荐），并依照次序确定成交供应商。</w:t>
      </w:r>
    </w:p>
    <w:p>
      <w:pPr>
        <w:tabs>
          <w:tab w:val="left" w:pos="900"/>
        </w:tabs>
        <w:spacing w:line="480" w:lineRule="exact"/>
        <w:ind w:firstLine="354" w:firstLineChars="147"/>
        <w:rPr>
          <w:rFonts w:cs="Courier New" w:asciiTheme="majorEastAsia" w:hAnsiTheme="majorEastAsia" w:eastAsiaTheme="majorEastAsia"/>
          <w:b/>
          <w:sz w:val="24"/>
          <w:szCs w:val="24"/>
        </w:rPr>
      </w:pPr>
      <w:r>
        <w:rPr>
          <w:rFonts w:hint="eastAsia" w:cs="Courier New" w:asciiTheme="majorEastAsia" w:hAnsiTheme="majorEastAsia" w:eastAsiaTheme="majorEastAsia"/>
          <w:b/>
          <w:sz w:val="24"/>
          <w:szCs w:val="24"/>
        </w:rPr>
        <w:t>（四）计分标准：（按四舍五入取至小数点后二位）</w:t>
      </w:r>
    </w:p>
    <w:p>
      <w:pPr>
        <w:tabs>
          <w:tab w:val="left" w:pos="900"/>
        </w:tabs>
        <w:spacing w:line="480" w:lineRule="exact"/>
        <w:ind w:firstLine="354" w:firstLineChars="147"/>
        <w:rPr>
          <w:rFonts w:asciiTheme="majorEastAsia" w:hAnsiTheme="majorEastAsia" w:eastAsiaTheme="majorEastAsia"/>
          <w:b/>
          <w:sz w:val="24"/>
          <w:szCs w:val="24"/>
        </w:rPr>
      </w:pPr>
    </w:p>
    <w:p>
      <w:pPr>
        <w:tabs>
          <w:tab w:val="left" w:pos="900"/>
        </w:tabs>
        <w:spacing w:line="480" w:lineRule="exact"/>
        <w:ind w:firstLine="354" w:firstLineChars="147"/>
        <w:rPr>
          <w:rFonts w:asciiTheme="majorEastAsia" w:hAnsiTheme="majorEastAsia" w:eastAsiaTheme="majorEastAsia"/>
          <w:b/>
          <w:sz w:val="24"/>
          <w:szCs w:val="24"/>
        </w:rPr>
      </w:pPr>
    </w:p>
    <w:p>
      <w:pPr>
        <w:tabs>
          <w:tab w:val="left" w:pos="900"/>
        </w:tabs>
        <w:spacing w:line="480" w:lineRule="exact"/>
        <w:ind w:firstLine="354" w:firstLineChars="147"/>
        <w:rPr>
          <w:rFonts w:asciiTheme="majorEastAsia" w:hAnsiTheme="majorEastAsia" w:eastAsiaTheme="majorEastAsia"/>
          <w:b/>
          <w:sz w:val="24"/>
          <w:szCs w:val="24"/>
        </w:rPr>
      </w:pPr>
    </w:p>
    <w:p>
      <w:pPr>
        <w:tabs>
          <w:tab w:val="left" w:pos="900"/>
        </w:tabs>
        <w:spacing w:line="480" w:lineRule="exact"/>
        <w:ind w:firstLine="354" w:firstLineChars="147"/>
        <w:rPr>
          <w:rFonts w:asciiTheme="majorEastAsia" w:hAnsiTheme="majorEastAsia" w:eastAsiaTheme="majorEastAsia"/>
          <w:b/>
          <w:sz w:val="24"/>
          <w:szCs w:val="24"/>
        </w:rPr>
      </w:pPr>
    </w:p>
    <w:p>
      <w:pPr>
        <w:tabs>
          <w:tab w:val="left" w:pos="900"/>
        </w:tabs>
        <w:spacing w:line="480" w:lineRule="exact"/>
        <w:ind w:firstLine="354" w:firstLineChars="147"/>
        <w:rPr>
          <w:rFonts w:asciiTheme="majorEastAsia" w:hAnsiTheme="majorEastAsia" w:eastAsiaTheme="majorEastAsia"/>
          <w:b/>
          <w:sz w:val="24"/>
          <w:szCs w:val="24"/>
        </w:rPr>
      </w:pPr>
    </w:p>
    <w:p>
      <w:pPr>
        <w:tabs>
          <w:tab w:val="left" w:pos="900"/>
        </w:tabs>
        <w:spacing w:line="480" w:lineRule="exact"/>
        <w:ind w:firstLine="354" w:firstLineChars="147"/>
        <w:rPr>
          <w:rFonts w:asciiTheme="majorEastAsia" w:hAnsiTheme="majorEastAsia" w:eastAsiaTheme="majorEastAsia"/>
          <w:b/>
          <w:sz w:val="24"/>
          <w:szCs w:val="24"/>
        </w:rPr>
      </w:pPr>
    </w:p>
    <w:p>
      <w:pPr>
        <w:tabs>
          <w:tab w:val="left" w:pos="900"/>
        </w:tabs>
        <w:spacing w:line="480" w:lineRule="exact"/>
        <w:ind w:firstLine="354" w:firstLineChars="147"/>
        <w:rPr>
          <w:rFonts w:asciiTheme="majorEastAsia" w:hAnsiTheme="majorEastAsia" w:eastAsiaTheme="majorEastAsia"/>
          <w:b/>
          <w:sz w:val="24"/>
          <w:szCs w:val="24"/>
        </w:rPr>
      </w:pPr>
    </w:p>
    <w:p>
      <w:pPr>
        <w:tabs>
          <w:tab w:val="left" w:pos="900"/>
        </w:tabs>
        <w:spacing w:line="480" w:lineRule="exact"/>
        <w:ind w:firstLine="354" w:firstLineChars="147"/>
        <w:rPr>
          <w:rFonts w:cs="Courier New" w:asciiTheme="majorEastAsia" w:hAnsiTheme="majorEastAsia" w:eastAsiaTheme="majorEastAsia"/>
          <w:b/>
          <w:sz w:val="24"/>
          <w:szCs w:val="24"/>
        </w:rPr>
      </w:pPr>
      <w:r>
        <w:rPr>
          <w:rFonts w:hint="eastAsia" w:asciiTheme="majorEastAsia" w:hAnsiTheme="majorEastAsia" w:eastAsiaTheme="majorEastAsia"/>
          <w:b/>
          <w:sz w:val="24"/>
          <w:szCs w:val="24"/>
        </w:rPr>
        <w:t>（五）</w:t>
      </w:r>
      <w:r>
        <w:rPr>
          <w:rFonts w:hint="eastAsia" w:cs="宋体" w:asciiTheme="majorEastAsia" w:hAnsiTheme="majorEastAsia" w:eastAsiaTheme="majorEastAsia"/>
          <w:b/>
          <w:kern w:val="0"/>
          <w:sz w:val="24"/>
          <w:szCs w:val="24"/>
        </w:rPr>
        <w:t>本项目评分总分值为100分。</w:t>
      </w:r>
    </w:p>
    <w:tbl>
      <w:tblPr>
        <w:tblStyle w:val="45"/>
        <w:tblW w:w="952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47"/>
        <w:gridCol w:w="1506"/>
        <w:gridCol w:w="72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55" w:hRule="atLeast"/>
        </w:trPr>
        <w:tc>
          <w:tcPr>
            <w:tcW w:w="9526" w:type="dxa"/>
            <w:gridSpan w:val="3"/>
            <w:vAlign w:val="center"/>
          </w:tcPr>
          <w:p>
            <w:pPr>
              <w:spacing w:line="360" w:lineRule="auto"/>
              <w:jc w:val="center"/>
              <w:rPr>
                <w:rFonts w:cs="宋体" w:asciiTheme="majorEastAsia" w:hAnsiTheme="majorEastAsia" w:eastAsiaTheme="majorEastAsia"/>
                <w:sz w:val="24"/>
                <w:szCs w:val="24"/>
              </w:rPr>
            </w:pPr>
            <w:r>
              <w:rPr>
                <w:rFonts w:hint="eastAsia" w:cs="宋体" w:asciiTheme="majorEastAsia" w:hAnsiTheme="majorEastAsia" w:eastAsiaTheme="majorEastAsia"/>
                <w:b/>
                <w:sz w:val="24"/>
                <w:szCs w:val="24"/>
              </w:rPr>
              <w:t>评 分 标 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8" w:hRule="atLeast"/>
        </w:trPr>
        <w:tc>
          <w:tcPr>
            <w:tcW w:w="747" w:type="dxa"/>
            <w:tcBorders>
              <w:right w:val="single" w:color="auto" w:sz="4" w:space="0"/>
            </w:tcBorders>
            <w:vAlign w:val="center"/>
          </w:tcPr>
          <w:p>
            <w:pPr>
              <w:widowControl/>
              <w:spacing w:line="360" w:lineRule="auto"/>
              <w:jc w:val="center"/>
              <w:rPr>
                <w:rFonts w:cs="宋体" w:asciiTheme="majorEastAsia" w:hAnsiTheme="majorEastAsia" w:eastAsiaTheme="majorEastAsia"/>
                <w:sz w:val="24"/>
                <w:szCs w:val="24"/>
              </w:rPr>
            </w:pPr>
            <w:r>
              <w:rPr>
                <w:rFonts w:hint="eastAsia" w:cs="宋体" w:asciiTheme="majorEastAsia" w:hAnsiTheme="majorEastAsia" w:eastAsiaTheme="majorEastAsia"/>
                <w:b/>
                <w:bCs/>
                <w:kern w:val="0"/>
                <w:sz w:val="24"/>
                <w:szCs w:val="24"/>
              </w:rPr>
              <w:t>序号</w:t>
            </w:r>
          </w:p>
        </w:tc>
        <w:tc>
          <w:tcPr>
            <w:tcW w:w="1506" w:type="dxa"/>
            <w:tcBorders>
              <w:left w:val="single" w:color="auto" w:sz="4" w:space="0"/>
            </w:tcBorders>
            <w:vAlign w:val="center"/>
          </w:tcPr>
          <w:p>
            <w:pPr>
              <w:widowControl/>
              <w:spacing w:line="360" w:lineRule="auto"/>
              <w:jc w:val="center"/>
              <w:rPr>
                <w:rFonts w:cs="宋体" w:asciiTheme="majorEastAsia" w:hAnsiTheme="majorEastAsia" w:eastAsiaTheme="majorEastAsia"/>
                <w:sz w:val="24"/>
                <w:szCs w:val="24"/>
              </w:rPr>
            </w:pPr>
            <w:r>
              <w:rPr>
                <w:rFonts w:hint="eastAsia" w:cs="宋体" w:asciiTheme="majorEastAsia" w:hAnsiTheme="majorEastAsia" w:eastAsiaTheme="majorEastAsia"/>
                <w:b/>
                <w:bCs/>
                <w:kern w:val="0"/>
                <w:sz w:val="24"/>
                <w:szCs w:val="24"/>
              </w:rPr>
              <w:t>评审因素</w:t>
            </w:r>
          </w:p>
        </w:tc>
        <w:tc>
          <w:tcPr>
            <w:tcW w:w="7273" w:type="dxa"/>
            <w:vAlign w:val="center"/>
          </w:tcPr>
          <w:p>
            <w:pPr>
              <w:tabs>
                <w:tab w:val="left" w:pos="2582"/>
                <w:tab w:val="center" w:pos="3701"/>
              </w:tabs>
              <w:spacing w:line="360" w:lineRule="auto"/>
              <w:jc w:val="left"/>
              <w:rPr>
                <w:rFonts w:cs="宋体" w:asciiTheme="majorEastAsia" w:hAnsiTheme="majorEastAsia" w:eastAsiaTheme="majorEastAsia"/>
                <w:sz w:val="24"/>
                <w:szCs w:val="24"/>
              </w:rPr>
            </w:pPr>
            <w:r>
              <w:rPr>
                <w:rFonts w:hint="eastAsia" w:cs="宋体" w:asciiTheme="majorEastAsia" w:hAnsiTheme="majorEastAsia" w:eastAsiaTheme="majorEastAsia"/>
                <w:b/>
                <w:bCs/>
                <w:kern w:val="0"/>
                <w:sz w:val="24"/>
                <w:szCs w:val="24"/>
              </w:rPr>
              <w:tab/>
            </w:r>
            <w:r>
              <w:rPr>
                <w:rFonts w:hint="eastAsia" w:cs="宋体" w:asciiTheme="majorEastAsia" w:hAnsiTheme="majorEastAsia" w:eastAsiaTheme="majorEastAsia"/>
                <w:b/>
                <w:bCs/>
                <w:kern w:val="0"/>
                <w:sz w:val="24"/>
                <w:szCs w:val="24"/>
              </w:rPr>
              <w:tab/>
            </w:r>
            <w:r>
              <w:rPr>
                <w:rFonts w:hint="eastAsia" w:cs="宋体" w:asciiTheme="majorEastAsia" w:hAnsiTheme="majorEastAsia" w:eastAsiaTheme="majorEastAsia"/>
                <w:b/>
                <w:bCs/>
                <w:kern w:val="0"/>
                <w:sz w:val="24"/>
                <w:szCs w:val="24"/>
              </w:rPr>
              <w:t>评分标准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702" w:hRule="atLeast"/>
        </w:trPr>
        <w:tc>
          <w:tcPr>
            <w:tcW w:w="747" w:type="dxa"/>
            <w:tcBorders>
              <w:right w:val="single" w:color="auto" w:sz="4" w:space="0"/>
            </w:tcBorders>
            <w:vAlign w:val="center"/>
          </w:tcPr>
          <w:p>
            <w:pPr>
              <w:widowControl/>
              <w:spacing w:line="360" w:lineRule="auto"/>
              <w:jc w:val="center"/>
              <w:rPr>
                <w:rFonts w:cs="宋体" w:asciiTheme="majorEastAsia" w:hAnsiTheme="majorEastAsia" w:eastAsiaTheme="majorEastAsia"/>
                <w:bCs/>
                <w:kern w:val="0"/>
                <w:sz w:val="24"/>
                <w:szCs w:val="24"/>
              </w:rPr>
            </w:pPr>
            <w:r>
              <w:rPr>
                <w:rFonts w:hint="eastAsia" w:cs="宋体" w:asciiTheme="majorEastAsia" w:hAnsiTheme="majorEastAsia" w:eastAsiaTheme="majorEastAsia"/>
                <w:bCs/>
                <w:kern w:val="0"/>
                <w:sz w:val="24"/>
                <w:szCs w:val="24"/>
              </w:rPr>
              <w:t>1</w:t>
            </w:r>
          </w:p>
        </w:tc>
        <w:tc>
          <w:tcPr>
            <w:tcW w:w="1506" w:type="dxa"/>
            <w:tcBorders>
              <w:left w:val="single" w:color="auto" w:sz="4" w:space="0"/>
            </w:tcBorders>
            <w:vAlign w:val="center"/>
          </w:tcPr>
          <w:p>
            <w:pPr>
              <w:widowControl/>
              <w:spacing w:line="360" w:lineRule="auto"/>
              <w:jc w:val="center"/>
              <w:rPr>
                <w:rFonts w:cs="宋体" w:asciiTheme="majorEastAsia" w:hAnsiTheme="majorEastAsia" w:eastAsiaTheme="majorEastAsia"/>
                <w:b/>
                <w:bCs/>
                <w:kern w:val="0"/>
                <w:sz w:val="24"/>
                <w:szCs w:val="24"/>
              </w:rPr>
            </w:pPr>
            <w:r>
              <w:rPr>
                <w:rFonts w:hint="eastAsia" w:cs="宋体" w:asciiTheme="majorEastAsia" w:hAnsiTheme="majorEastAsia" w:eastAsiaTheme="majorEastAsia"/>
                <w:b/>
                <w:bCs/>
                <w:kern w:val="0"/>
                <w:sz w:val="24"/>
                <w:szCs w:val="24"/>
              </w:rPr>
              <w:t>价格分     （70分）</w:t>
            </w:r>
          </w:p>
        </w:tc>
        <w:tc>
          <w:tcPr>
            <w:tcW w:w="7273" w:type="dxa"/>
            <w:vAlign w:val="center"/>
          </w:tcPr>
          <w:p>
            <w:pPr>
              <w:tabs>
                <w:tab w:val="left" w:pos="900"/>
              </w:tabs>
              <w:spacing w:line="380" w:lineRule="exact"/>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评标基准价的确定：</w:t>
            </w:r>
          </w:p>
          <w:p>
            <w:pPr>
              <w:tabs>
                <w:tab w:val="left" w:pos="900"/>
              </w:tabs>
              <w:spacing w:line="380" w:lineRule="exact"/>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以有效投标人的投标报价算术平均值为 A（若7≤有效投标文件&lt;10 家时，去掉其中的一个最高价和一个最低价后取算术平均值为 A；若有效投标文件≥10 家时，去掉其中的二个最高价和二个最低价后取算术平均值为 A）。</w:t>
            </w:r>
          </w:p>
          <w:p>
            <w:pPr>
              <w:tabs>
                <w:tab w:val="left" w:pos="900"/>
              </w:tabs>
              <w:spacing w:line="380" w:lineRule="exact"/>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 xml:space="preserve">评标基准价 =A×K，K 值在开标前由投标人推选的代表随机抽取确定，K 值的取值范围为: </w:t>
            </w:r>
            <w:r>
              <w:rPr>
                <w:rFonts w:hint="eastAsia" w:cs="Courier New" w:asciiTheme="majorEastAsia" w:hAnsiTheme="majorEastAsia" w:eastAsiaTheme="majorEastAsia"/>
                <w:bCs/>
                <w:sz w:val="24"/>
                <w:szCs w:val="24"/>
                <w:u w:val="single"/>
              </w:rPr>
              <w:t>95%、96%、97%、98%</w:t>
            </w:r>
            <w:r>
              <w:rPr>
                <w:rFonts w:hint="eastAsia" w:cs="Courier New" w:asciiTheme="majorEastAsia" w:hAnsiTheme="majorEastAsia" w:eastAsiaTheme="majorEastAsia"/>
                <w:bCs/>
                <w:sz w:val="24"/>
                <w:szCs w:val="24"/>
              </w:rPr>
              <w:t>。</w:t>
            </w:r>
          </w:p>
          <w:p>
            <w:pPr>
              <w:tabs>
                <w:tab w:val="left" w:pos="900"/>
              </w:tabs>
              <w:spacing w:line="380" w:lineRule="exact"/>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a.有效投标人的投标报价与评标基准价相等的，得满分70分。</w:t>
            </w:r>
          </w:p>
          <w:p>
            <w:pPr>
              <w:tabs>
                <w:tab w:val="left" w:pos="900"/>
              </w:tabs>
              <w:spacing w:line="380" w:lineRule="exact"/>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b.有效投标人的投标报价高于评标基准价的，比评标基准价每高1%，扣减0.3分，并从70分起扣，扣完为止，不足1％按插入法计算。</w:t>
            </w:r>
          </w:p>
          <w:p>
            <w:pPr>
              <w:tabs>
                <w:tab w:val="left" w:pos="900"/>
              </w:tabs>
              <w:spacing w:line="380" w:lineRule="exact"/>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c.有效投标人的投标报价低于评标基准价的，每低1%，扣减0.2分，从70分起扣，扣完为止，不足1％按插入法计算。</w:t>
            </w:r>
          </w:p>
          <w:p>
            <w:pPr>
              <w:tabs>
                <w:tab w:val="left" w:pos="900"/>
              </w:tabs>
              <w:spacing w:line="380" w:lineRule="exact"/>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说明：上述的评标基准价不因评标后招投标当事人质疑、投诉、复议以及其它任何情形而改变（计算错误除外）；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17" w:hRule="atLeast"/>
        </w:trPr>
        <w:tc>
          <w:tcPr>
            <w:tcW w:w="747" w:type="dxa"/>
            <w:tcBorders>
              <w:right w:val="single" w:color="auto" w:sz="4" w:space="0"/>
            </w:tcBorders>
            <w:vAlign w:val="center"/>
          </w:tcPr>
          <w:p>
            <w:pPr>
              <w:widowControl/>
              <w:spacing w:line="360" w:lineRule="auto"/>
              <w:jc w:val="center"/>
              <w:rPr>
                <w:rFonts w:cs="宋体" w:asciiTheme="majorEastAsia" w:hAnsiTheme="majorEastAsia" w:eastAsiaTheme="majorEastAsia"/>
                <w:bCs/>
                <w:kern w:val="0"/>
                <w:sz w:val="24"/>
                <w:szCs w:val="24"/>
              </w:rPr>
            </w:pPr>
            <w:r>
              <w:rPr>
                <w:rFonts w:hint="eastAsia" w:cs="宋体" w:asciiTheme="majorEastAsia" w:hAnsiTheme="majorEastAsia" w:eastAsiaTheme="majorEastAsia"/>
                <w:bCs/>
                <w:kern w:val="0"/>
                <w:sz w:val="24"/>
                <w:szCs w:val="24"/>
              </w:rPr>
              <w:t>2</w:t>
            </w:r>
          </w:p>
        </w:tc>
        <w:tc>
          <w:tcPr>
            <w:tcW w:w="1506" w:type="dxa"/>
            <w:tcBorders>
              <w:left w:val="single" w:color="auto" w:sz="4" w:space="0"/>
            </w:tcBorders>
            <w:vAlign w:val="center"/>
          </w:tcPr>
          <w:p>
            <w:pPr>
              <w:widowControl/>
              <w:spacing w:line="360" w:lineRule="auto"/>
              <w:jc w:val="center"/>
              <w:rPr>
                <w:b/>
              </w:rPr>
            </w:pPr>
            <w:r>
              <w:rPr>
                <w:rFonts w:hint="eastAsia"/>
                <w:b/>
              </w:rPr>
              <w:t>质量与</w:t>
            </w:r>
          </w:p>
          <w:p>
            <w:pPr>
              <w:widowControl/>
              <w:spacing w:line="360" w:lineRule="auto"/>
              <w:jc w:val="center"/>
              <w:rPr>
                <w:b/>
              </w:rPr>
            </w:pPr>
            <w:r>
              <w:rPr>
                <w:rFonts w:hint="eastAsia"/>
                <w:b/>
              </w:rPr>
              <w:t>工期承诺</w:t>
            </w:r>
          </w:p>
          <w:p>
            <w:pPr>
              <w:widowControl/>
              <w:spacing w:line="360" w:lineRule="auto"/>
              <w:jc w:val="center"/>
              <w:rPr>
                <w:rFonts w:cs="宋体" w:asciiTheme="majorEastAsia" w:hAnsiTheme="majorEastAsia" w:eastAsiaTheme="majorEastAsia"/>
                <w:b/>
                <w:bCs/>
                <w:kern w:val="0"/>
                <w:sz w:val="24"/>
                <w:szCs w:val="24"/>
              </w:rPr>
            </w:pPr>
            <w:r>
              <w:rPr>
                <w:b/>
              </w:rPr>
              <w:t>（</w:t>
            </w:r>
            <w:r>
              <w:rPr>
                <w:rFonts w:hint="eastAsia"/>
                <w:b/>
              </w:rPr>
              <w:t>8</w:t>
            </w:r>
            <w:r>
              <w:rPr>
                <w:b/>
              </w:rPr>
              <w:t>分）</w:t>
            </w:r>
          </w:p>
        </w:tc>
        <w:tc>
          <w:tcPr>
            <w:tcW w:w="7273" w:type="dxa"/>
            <w:vAlign w:val="center"/>
          </w:tcPr>
          <w:p>
            <w:pPr>
              <w:tabs>
                <w:tab w:val="left" w:pos="900"/>
              </w:tabs>
              <w:spacing w:line="380" w:lineRule="exact"/>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承诺招标文件规定的质量目标及工期要求的，得基本分8分。不承诺招标文件要求的质量目标或工期要求的，按0分处理。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49" w:hRule="atLeast"/>
        </w:trPr>
        <w:tc>
          <w:tcPr>
            <w:tcW w:w="747" w:type="dxa"/>
            <w:tcBorders>
              <w:right w:val="single" w:color="auto" w:sz="4" w:space="0"/>
            </w:tcBorders>
            <w:vAlign w:val="center"/>
          </w:tcPr>
          <w:p>
            <w:pPr>
              <w:widowControl/>
              <w:spacing w:line="360" w:lineRule="auto"/>
              <w:jc w:val="center"/>
              <w:rPr>
                <w:rFonts w:cs="宋体"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3</w:t>
            </w:r>
          </w:p>
        </w:tc>
        <w:tc>
          <w:tcPr>
            <w:tcW w:w="1506" w:type="dxa"/>
            <w:tcBorders>
              <w:left w:val="single" w:color="auto" w:sz="4" w:space="0"/>
              <w:right w:val="single" w:color="auto" w:sz="4" w:space="0"/>
            </w:tcBorders>
            <w:vAlign w:val="center"/>
          </w:tcPr>
          <w:p>
            <w:pPr>
              <w:spacing w:line="480" w:lineRule="exact"/>
              <w:jc w:val="center"/>
              <w:rPr>
                <w:b/>
              </w:rPr>
            </w:pPr>
            <w:r>
              <w:rPr>
                <w:rFonts w:hint="eastAsia"/>
                <w:b/>
              </w:rPr>
              <w:t>施工方案评审（20分）</w:t>
            </w:r>
          </w:p>
          <w:p>
            <w:pPr>
              <w:spacing w:line="480" w:lineRule="exact"/>
              <w:jc w:val="center"/>
              <w:rPr>
                <w:b/>
              </w:rPr>
            </w:pPr>
          </w:p>
        </w:tc>
        <w:tc>
          <w:tcPr>
            <w:tcW w:w="7273" w:type="dxa"/>
            <w:tcBorders>
              <w:left w:val="single" w:color="auto" w:sz="4" w:space="0"/>
            </w:tcBorders>
            <w:vAlign w:val="center"/>
          </w:tcPr>
          <w:p>
            <w:pPr>
              <w:spacing w:line="380" w:lineRule="exact"/>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评标委员会对投标人的施工方案进行评审，评审得分区间为15～20分,以0.01分为一个记分单位,依据本工程的评标规则进行计分、汇总。施工方案一般必须具备如下内容（但不限于）：</w:t>
            </w:r>
          </w:p>
          <w:p>
            <w:pPr>
              <w:spacing w:line="380" w:lineRule="exact"/>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1、总体概述：施工组织总体设想、方案针对性及施工段划分；</w:t>
            </w:r>
          </w:p>
          <w:p>
            <w:pPr>
              <w:spacing w:line="380" w:lineRule="exact"/>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2、各分部项工程的施工组织设计及质量保证措施；</w:t>
            </w:r>
          </w:p>
          <w:p>
            <w:pPr>
              <w:spacing w:line="380" w:lineRule="exact"/>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3、安全、文明施工及环境保护措施；</w:t>
            </w:r>
          </w:p>
          <w:p>
            <w:pPr>
              <w:spacing w:line="380" w:lineRule="exact"/>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4、项目管理的人员配备、素质及管理经验；</w:t>
            </w:r>
          </w:p>
          <w:p>
            <w:pPr>
              <w:spacing w:line="380" w:lineRule="exact"/>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5、劳动力、机械设备和材料投入计划；</w:t>
            </w:r>
          </w:p>
          <w:p>
            <w:pPr>
              <w:spacing w:line="380" w:lineRule="exact"/>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6、关键施工技术、工艺及工程项目实施的重点、难点和解决方案；</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1032" w:hRule="atLeast"/>
        </w:trPr>
        <w:tc>
          <w:tcPr>
            <w:tcW w:w="747" w:type="dxa"/>
            <w:tcBorders>
              <w:right w:val="single" w:color="auto" w:sz="4" w:space="0"/>
            </w:tcBorders>
            <w:vAlign w:val="center"/>
          </w:tcPr>
          <w:p>
            <w:pPr>
              <w:widowControl/>
              <w:spacing w:line="360" w:lineRule="auto"/>
              <w:jc w:val="center"/>
              <w:rPr>
                <w:rFonts w:cs="宋体"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4</w:t>
            </w:r>
          </w:p>
        </w:tc>
        <w:tc>
          <w:tcPr>
            <w:tcW w:w="1506" w:type="dxa"/>
            <w:tcBorders>
              <w:left w:val="single" w:color="auto" w:sz="4" w:space="0"/>
              <w:right w:val="single" w:color="auto" w:sz="4" w:space="0"/>
            </w:tcBorders>
            <w:vAlign w:val="center"/>
          </w:tcPr>
          <w:p>
            <w:pPr>
              <w:spacing w:line="480" w:lineRule="exact"/>
              <w:jc w:val="center"/>
              <w:rPr>
                <w:b/>
              </w:rPr>
            </w:pPr>
            <w:r>
              <w:rPr>
                <w:rFonts w:hint="eastAsia"/>
                <w:b/>
              </w:rPr>
              <w:t>标书制作</w:t>
            </w:r>
          </w:p>
          <w:p>
            <w:pPr>
              <w:jc w:val="center"/>
              <w:rPr>
                <w:rFonts w:ascii="宋体" w:hAnsi="宋体" w:cs="宋体"/>
                <w:b/>
              </w:rPr>
            </w:pPr>
            <w:r>
              <w:rPr>
                <w:rFonts w:hint="eastAsia"/>
                <w:b/>
              </w:rPr>
              <w:t>（2分）</w:t>
            </w:r>
          </w:p>
        </w:tc>
        <w:tc>
          <w:tcPr>
            <w:tcW w:w="7273" w:type="dxa"/>
            <w:tcBorders>
              <w:left w:val="single" w:color="auto" w:sz="4" w:space="0"/>
            </w:tcBorders>
            <w:vAlign w:val="center"/>
          </w:tcPr>
          <w:p>
            <w:pPr>
              <w:spacing w:line="380" w:lineRule="exact"/>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投标文件的完整性以及装订、目录、相应页码的编制情况由评委酌情给分，得分区间</w:t>
            </w:r>
            <w:r>
              <w:rPr>
                <w:rFonts w:cs="宋体" w:asciiTheme="majorEastAsia" w:hAnsiTheme="majorEastAsia" w:eastAsiaTheme="majorEastAsia"/>
                <w:sz w:val="24"/>
                <w:szCs w:val="24"/>
                <w:lang w:bidi="en-US"/>
              </w:rPr>
              <w:t>0-</w:t>
            </w:r>
            <w:r>
              <w:rPr>
                <w:rFonts w:hint="eastAsia" w:cs="宋体" w:asciiTheme="majorEastAsia" w:hAnsiTheme="majorEastAsia" w:eastAsiaTheme="majorEastAsia"/>
                <w:sz w:val="24"/>
                <w:szCs w:val="24"/>
                <w:lang w:bidi="en-US"/>
              </w:rPr>
              <w:t>2分。</w:t>
            </w:r>
          </w:p>
        </w:tc>
      </w:tr>
    </w:tbl>
    <w:p>
      <w:pPr>
        <w:pStyle w:val="125"/>
      </w:pPr>
    </w:p>
    <w:p>
      <w:pPr>
        <w:pStyle w:val="125"/>
      </w:pPr>
      <w:r>
        <w:rPr>
          <w:rFonts w:hint="eastAsia"/>
        </w:rPr>
        <w:br w:type="page"/>
      </w:r>
    </w:p>
    <w:p>
      <w:pPr>
        <w:pStyle w:val="24"/>
        <w:rPr>
          <w:rFonts w:asciiTheme="majorEastAsia" w:hAnsiTheme="majorEastAsia" w:eastAsiaTheme="majorEastAsia"/>
        </w:rPr>
      </w:pPr>
    </w:p>
    <w:p>
      <w:pPr>
        <w:pStyle w:val="5"/>
        <w:rPr>
          <w:rFonts w:asciiTheme="majorEastAsia" w:hAnsiTheme="majorEastAsia" w:eastAsiaTheme="majorEastAsia"/>
          <w:b/>
          <w:sz w:val="44"/>
          <w:szCs w:val="44"/>
        </w:rPr>
      </w:pPr>
      <w:r>
        <w:rPr>
          <w:rFonts w:hint="eastAsia" w:asciiTheme="majorEastAsia" w:hAnsiTheme="majorEastAsia" w:eastAsiaTheme="majorEastAsia"/>
          <w:b/>
          <w:sz w:val="44"/>
          <w:szCs w:val="44"/>
        </w:rPr>
        <w:t>第六章  投标</w:t>
      </w:r>
      <w:bookmarkEnd w:id="162"/>
      <w:bookmarkEnd w:id="163"/>
      <w:bookmarkEnd w:id="164"/>
      <w:r>
        <w:rPr>
          <w:rFonts w:hint="eastAsia" w:asciiTheme="majorEastAsia" w:hAnsiTheme="majorEastAsia" w:eastAsiaTheme="majorEastAsia"/>
          <w:b/>
          <w:sz w:val="44"/>
          <w:szCs w:val="44"/>
        </w:rPr>
        <w:t>文件格式</w:t>
      </w:r>
    </w:p>
    <w:p>
      <w:pPr>
        <w:jc w:val="center"/>
        <w:rPr>
          <w:rFonts w:asciiTheme="majorEastAsia" w:hAnsiTheme="majorEastAsia" w:eastAsiaTheme="majorEastAsia"/>
          <w:b/>
          <w:sz w:val="72"/>
        </w:rPr>
      </w:pPr>
      <w:bookmarkStart w:id="169" w:name="_Hlt26955039"/>
      <w:bookmarkEnd w:id="169"/>
      <w:bookmarkStart w:id="170" w:name="_Hlt26671244"/>
      <w:bookmarkEnd w:id="170"/>
      <w:bookmarkStart w:id="171" w:name="_Toc120614282"/>
      <w:bookmarkStart w:id="172" w:name="_Toc49090576"/>
      <w:bookmarkStart w:id="173" w:name="_Toc26554094"/>
    </w:p>
    <w:p>
      <w:pPr>
        <w:jc w:val="center"/>
        <w:rPr>
          <w:rFonts w:asciiTheme="majorEastAsia" w:hAnsiTheme="majorEastAsia" w:eastAsiaTheme="majorEastAsia"/>
          <w:b/>
          <w:sz w:val="72"/>
        </w:rPr>
      </w:pPr>
      <w:r>
        <w:rPr>
          <w:rFonts w:hint="eastAsia" w:asciiTheme="majorEastAsia" w:hAnsiTheme="majorEastAsia" w:eastAsiaTheme="majorEastAsia"/>
          <w:b/>
          <w:sz w:val="72"/>
        </w:rPr>
        <w:t>投  标  文  件</w:t>
      </w:r>
    </w:p>
    <w:p>
      <w:pPr>
        <w:jc w:val="center"/>
        <w:rPr>
          <w:rFonts w:asciiTheme="majorEastAsia" w:hAnsiTheme="majorEastAsia" w:eastAsiaTheme="majorEastAsia"/>
          <w:b/>
          <w:sz w:val="72"/>
        </w:rPr>
      </w:pPr>
      <w:r>
        <w:rPr>
          <w:rFonts w:hint="eastAsia" w:asciiTheme="majorEastAsia" w:hAnsiTheme="majorEastAsia" w:eastAsiaTheme="majorEastAsia"/>
          <w:b/>
          <w:sz w:val="36"/>
        </w:rPr>
        <w:t>（正或副本）</w:t>
      </w:r>
    </w:p>
    <w:p>
      <w:pPr>
        <w:jc w:val="center"/>
        <w:rPr>
          <w:rFonts w:asciiTheme="majorEastAsia" w:hAnsiTheme="majorEastAsia" w:eastAsiaTheme="majorEastAsia"/>
          <w:b/>
          <w:sz w:val="72"/>
        </w:rPr>
      </w:pPr>
    </w:p>
    <w:p>
      <w:pPr>
        <w:jc w:val="center"/>
        <w:rPr>
          <w:rFonts w:asciiTheme="majorEastAsia" w:hAnsiTheme="majorEastAsia" w:eastAsiaTheme="majorEastAsia"/>
          <w:b/>
          <w:sz w:val="36"/>
        </w:rPr>
      </w:pPr>
    </w:p>
    <w:p>
      <w:pPr>
        <w:jc w:val="center"/>
        <w:rPr>
          <w:rFonts w:asciiTheme="majorEastAsia" w:hAnsiTheme="majorEastAsia" w:eastAsiaTheme="majorEastAsia"/>
          <w:b/>
          <w:sz w:val="36"/>
        </w:rPr>
      </w:pPr>
    </w:p>
    <w:p>
      <w:pPr>
        <w:jc w:val="center"/>
        <w:rPr>
          <w:rFonts w:asciiTheme="majorEastAsia" w:hAnsiTheme="majorEastAsia" w:eastAsiaTheme="majorEastAsia"/>
          <w:b/>
          <w:sz w:val="36"/>
        </w:rPr>
      </w:pPr>
    </w:p>
    <w:p>
      <w:pPr>
        <w:ind w:firstLine="1084" w:firstLineChars="300"/>
        <w:rPr>
          <w:rFonts w:asciiTheme="majorEastAsia" w:hAnsiTheme="majorEastAsia" w:eastAsiaTheme="majorEastAsia"/>
          <w:b/>
          <w:sz w:val="36"/>
          <w:u w:val="single"/>
        </w:rPr>
      </w:pPr>
      <w:r>
        <w:rPr>
          <w:rFonts w:hint="eastAsia" w:asciiTheme="majorEastAsia" w:hAnsiTheme="majorEastAsia" w:eastAsiaTheme="majorEastAsia"/>
          <w:b/>
          <w:sz w:val="36"/>
        </w:rPr>
        <w:t>项 目 名 称：</w:t>
      </w:r>
      <w:r>
        <w:rPr>
          <w:rFonts w:hint="eastAsia" w:asciiTheme="majorEastAsia" w:hAnsiTheme="majorEastAsia" w:eastAsiaTheme="majorEastAsia"/>
          <w:b/>
          <w:sz w:val="36"/>
          <w:u w:val="single"/>
        </w:rPr>
        <w:t xml:space="preserve">               </w:t>
      </w:r>
    </w:p>
    <w:p>
      <w:pPr>
        <w:pStyle w:val="2"/>
        <w:rPr>
          <w:rFonts w:asciiTheme="majorEastAsia" w:hAnsiTheme="majorEastAsia" w:eastAsiaTheme="majorEastAsia"/>
        </w:rPr>
      </w:pPr>
    </w:p>
    <w:p>
      <w:pPr>
        <w:ind w:firstLine="1084" w:firstLineChars="300"/>
        <w:rPr>
          <w:rFonts w:asciiTheme="majorEastAsia" w:hAnsiTheme="majorEastAsia" w:eastAsiaTheme="majorEastAsia"/>
          <w:b/>
          <w:sz w:val="36"/>
          <w:u w:val="single"/>
        </w:rPr>
      </w:pPr>
      <w:r>
        <w:rPr>
          <w:rFonts w:hint="eastAsia" w:asciiTheme="majorEastAsia" w:hAnsiTheme="majorEastAsia" w:eastAsiaTheme="majorEastAsia"/>
          <w:b/>
          <w:sz w:val="36"/>
        </w:rPr>
        <w:t>招 标 编 号：</w:t>
      </w:r>
      <w:r>
        <w:rPr>
          <w:rFonts w:hint="eastAsia" w:asciiTheme="majorEastAsia" w:hAnsiTheme="majorEastAsia" w:eastAsiaTheme="majorEastAsia"/>
          <w:b/>
          <w:sz w:val="36"/>
          <w:u w:val="single"/>
        </w:rPr>
        <w:t xml:space="preserve">               </w:t>
      </w:r>
    </w:p>
    <w:p>
      <w:pPr>
        <w:pStyle w:val="2"/>
        <w:rPr>
          <w:rFonts w:asciiTheme="majorEastAsia" w:hAnsiTheme="majorEastAsia" w:eastAsiaTheme="majorEastAsia"/>
        </w:rPr>
      </w:pPr>
    </w:p>
    <w:p>
      <w:pPr>
        <w:rPr>
          <w:rFonts w:asciiTheme="majorEastAsia" w:hAnsiTheme="majorEastAsia" w:eastAsiaTheme="majorEastAsia"/>
          <w:b/>
          <w:sz w:val="36"/>
          <w:u w:val="single"/>
        </w:rPr>
      </w:pPr>
      <w:r>
        <w:rPr>
          <w:rFonts w:hint="eastAsia" w:asciiTheme="majorEastAsia" w:hAnsiTheme="majorEastAsia" w:eastAsiaTheme="majorEastAsia"/>
          <w:b/>
          <w:sz w:val="36"/>
        </w:rPr>
        <w:t xml:space="preserve">      投标人名称 ：</w:t>
      </w:r>
      <w:r>
        <w:rPr>
          <w:rFonts w:hint="eastAsia" w:asciiTheme="majorEastAsia" w:hAnsiTheme="majorEastAsia" w:eastAsiaTheme="majorEastAsia"/>
          <w:b/>
          <w:sz w:val="36"/>
          <w:u w:val="single"/>
        </w:rPr>
        <w:t xml:space="preserve">              （盖公章） </w:t>
      </w:r>
    </w:p>
    <w:p>
      <w:pPr>
        <w:pStyle w:val="2"/>
        <w:rPr>
          <w:rFonts w:asciiTheme="majorEastAsia" w:hAnsiTheme="majorEastAsia" w:eastAsiaTheme="majorEastAsia"/>
        </w:rPr>
      </w:pPr>
    </w:p>
    <w:p>
      <w:pPr>
        <w:rPr>
          <w:rFonts w:asciiTheme="majorEastAsia" w:hAnsiTheme="majorEastAsia" w:eastAsiaTheme="majorEastAsia"/>
          <w:b/>
          <w:sz w:val="36"/>
        </w:rPr>
      </w:pPr>
      <w:r>
        <w:rPr>
          <w:rFonts w:hint="eastAsia" w:asciiTheme="majorEastAsia" w:hAnsiTheme="majorEastAsia" w:eastAsiaTheme="majorEastAsia"/>
          <w:b/>
          <w:sz w:val="36"/>
        </w:rPr>
        <w:t xml:space="preserve">      日      期 ：</w:t>
      </w:r>
      <w:r>
        <w:rPr>
          <w:rFonts w:hint="eastAsia" w:asciiTheme="majorEastAsia" w:hAnsiTheme="majorEastAsia" w:eastAsiaTheme="majorEastAsia"/>
          <w:b/>
          <w:sz w:val="36"/>
          <w:u w:val="single"/>
        </w:rPr>
        <w:t xml:space="preserve">               </w:t>
      </w:r>
    </w:p>
    <w:p>
      <w:pPr>
        <w:spacing w:line="440" w:lineRule="exact"/>
        <w:jc w:val="center"/>
        <w:rPr>
          <w:rFonts w:asciiTheme="majorEastAsia" w:hAnsiTheme="majorEastAsia" w:eastAsiaTheme="majorEastAsia"/>
          <w:b/>
          <w:bCs/>
          <w:sz w:val="32"/>
          <w:szCs w:val="32"/>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pStyle w:val="24"/>
        <w:jc w:val="center"/>
        <w:rPr>
          <w:rFonts w:asciiTheme="majorEastAsia" w:hAnsiTheme="majorEastAsia" w:eastAsiaTheme="majorEastAsia"/>
          <w:sz w:val="24"/>
        </w:rPr>
      </w:pPr>
      <w:r>
        <w:rPr>
          <w:rFonts w:asciiTheme="majorEastAsia" w:hAnsiTheme="majorEastAsia" w:eastAsiaTheme="majorEastAsia"/>
          <w:sz w:val="24"/>
        </w:rPr>
        <w:br w:type="page"/>
      </w:r>
    </w:p>
    <w:p>
      <w:pPr>
        <w:pStyle w:val="24"/>
        <w:jc w:val="center"/>
        <w:rPr>
          <w:rFonts w:asciiTheme="majorEastAsia" w:hAnsiTheme="majorEastAsia" w:eastAsiaTheme="majorEastAsia"/>
          <w:sz w:val="24"/>
        </w:rPr>
      </w:pPr>
    </w:p>
    <w:p>
      <w:pPr>
        <w:pStyle w:val="24"/>
        <w:jc w:val="center"/>
        <w:rPr>
          <w:rFonts w:asciiTheme="majorEastAsia" w:hAnsiTheme="majorEastAsia" w:eastAsiaTheme="majorEastAsia"/>
          <w:b/>
          <w:sz w:val="36"/>
          <w:szCs w:val="36"/>
        </w:rPr>
      </w:pPr>
      <w:r>
        <w:rPr>
          <w:rFonts w:hint="eastAsia" w:asciiTheme="majorEastAsia" w:hAnsiTheme="majorEastAsia" w:eastAsiaTheme="majorEastAsia"/>
          <w:b/>
          <w:sz w:val="36"/>
          <w:szCs w:val="36"/>
        </w:rPr>
        <w:t>评分索引表</w:t>
      </w:r>
    </w:p>
    <w:p>
      <w:pPr>
        <w:spacing w:line="440" w:lineRule="exact"/>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为了方便专家评审投标文件，针对招标文件评分细则要求，投标人应制作标书索引，</w:t>
      </w:r>
    </w:p>
    <w:p>
      <w:pPr>
        <w:spacing w:line="440" w:lineRule="exact"/>
        <w:rPr>
          <w:rFonts w:asciiTheme="majorEastAsia" w:hAnsiTheme="majorEastAsia" w:eastAsiaTheme="majorEastAsia"/>
          <w:b/>
          <w:bCs/>
          <w:sz w:val="30"/>
          <w:szCs w:val="30"/>
        </w:rPr>
      </w:pPr>
      <w:r>
        <w:rPr>
          <w:rFonts w:hint="eastAsia" w:asciiTheme="majorEastAsia" w:hAnsiTheme="majorEastAsia" w:eastAsiaTheme="majorEastAsia"/>
          <w:sz w:val="24"/>
          <w:szCs w:val="24"/>
        </w:rPr>
        <w:t>置于投标文件首页，格式如下</w:t>
      </w:r>
      <w:r>
        <w:rPr>
          <w:rFonts w:hint="eastAsia" w:asciiTheme="majorEastAsia" w:hAnsiTheme="majorEastAsia" w:eastAsiaTheme="majorEastAsia"/>
          <w:b/>
          <w:sz w:val="30"/>
          <w:szCs w:val="30"/>
        </w:rPr>
        <w:t>：</w:t>
      </w:r>
    </w:p>
    <w:p>
      <w:pPr>
        <w:spacing w:line="440" w:lineRule="exact"/>
        <w:jc w:val="center"/>
        <w:rPr>
          <w:rFonts w:asciiTheme="majorEastAsia" w:hAnsiTheme="majorEastAsia" w:eastAsiaTheme="majorEastAsia"/>
          <w:b/>
          <w:sz w:val="30"/>
          <w:szCs w:val="30"/>
        </w:rPr>
      </w:pPr>
    </w:p>
    <w:tbl>
      <w:tblPr>
        <w:tblStyle w:val="45"/>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0"/>
        <w:gridCol w:w="3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jc w:val="center"/>
              <w:rPr>
                <w:rFonts w:asciiTheme="majorEastAsia" w:hAnsiTheme="majorEastAsia" w:eastAsiaTheme="majorEastAsia"/>
                <w:b/>
                <w:bCs/>
                <w:lang w:eastAsia="zh-CN"/>
              </w:rPr>
            </w:pPr>
            <w:r>
              <w:rPr>
                <w:rFonts w:hint="eastAsia" w:asciiTheme="majorEastAsia" w:hAnsiTheme="majorEastAsia" w:eastAsiaTheme="majorEastAsia"/>
                <w:b/>
              </w:rPr>
              <w:t>评分项目</w:t>
            </w:r>
          </w:p>
        </w:tc>
        <w:tc>
          <w:tcPr>
            <w:tcW w:w="3570" w:type="dxa"/>
          </w:tcPr>
          <w:p>
            <w:pPr>
              <w:spacing w:line="480" w:lineRule="auto"/>
              <w:jc w:val="center"/>
              <w:rPr>
                <w:rFonts w:asciiTheme="majorEastAsia" w:hAnsiTheme="majorEastAsia" w:eastAsiaTheme="majorEastAsia"/>
                <w:b/>
              </w:rPr>
            </w:pPr>
            <w:r>
              <w:rPr>
                <w:rFonts w:hint="eastAsia" w:asciiTheme="majorEastAsia" w:hAnsiTheme="majorEastAsia" w:eastAsiaTheme="majorEastAsia"/>
                <w:b/>
                <w:kern w:val="0"/>
                <w:sz w:val="24"/>
                <w:lang w:bidi="en-US"/>
              </w:rPr>
              <w:t>在投标文件中的页码位置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jc w:val="both"/>
              <w:rPr>
                <w:rFonts w:asciiTheme="majorEastAsia" w:hAnsiTheme="majorEastAsia" w:eastAsiaTheme="majorEastAsia"/>
                <w:b/>
                <w:lang w:eastAsia="zh-CN"/>
              </w:rPr>
            </w:pPr>
          </w:p>
        </w:tc>
        <w:tc>
          <w:tcPr>
            <w:tcW w:w="3570" w:type="dxa"/>
          </w:tcPr>
          <w:p>
            <w:pPr>
              <w:spacing w:line="480" w:lineRule="auto"/>
              <w:rPr>
                <w:rFonts w:asciiTheme="majorEastAsia" w:hAnsiTheme="majorEastAsia" w:eastAsiaTheme="majorEastAsia"/>
                <w:b/>
                <w:kern w:val="0"/>
                <w:sz w:val="24"/>
                <w:lang w:bidi="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rPr>
                <w:rFonts w:asciiTheme="majorEastAsia" w:hAnsiTheme="majorEastAsia" w:eastAsiaTheme="majorEastAsia"/>
                <w:lang w:eastAsia="zh-CN"/>
              </w:rPr>
            </w:pPr>
          </w:p>
        </w:tc>
        <w:tc>
          <w:tcPr>
            <w:tcW w:w="3570" w:type="dxa"/>
          </w:tcPr>
          <w:p>
            <w:pPr>
              <w:spacing w:line="480" w:lineRule="auto"/>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rPr>
                <w:rFonts w:asciiTheme="majorEastAsia" w:hAnsiTheme="majorEastAsia" w:eastAsiaTheme="majorEastAsia"/>
                <w:lang w:eastAsia="zh-CN"/>
              </w:rPr>
            </w:pPr>
          </w:p>
        </w:tc>
        <w:tc>
          <w:tcPr>
            <w:tcW w:w="3570" w:type="dxa"/>
          </w:tcPr>
          <w:p>
            <w:pPr>
              <w:spacing w:line="480" w:lineRule="auto"/>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rPr>
                <w:rFonts w:asciiTheme="majorEastAsia" w:hAnsiTheme="majorEastAsia" w:eastAsiaTheme="majorEastAsia"/>
                <w:lang w:eastAsia="zh-CN"/>
              </w:rPr>
            </w:pPr>
          </w:p>
        </w:tc>
        <w:tc>
          <w:tcPr>
            <w:tcW w:w="3570" w:type="dxa"/>
          </w:tcPr>
          <w:p>
            <w:pPr>
              <w:spacing w:line="480" w:lineRule="auto"/>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rPr>
                <w:rFonts w:asciiTheme="majorEastAsia" w:hAnsiTheme="majorEastAsia" w:eastAsiaTheme="majorEastAsia"/>
                <w:lang w:eastAsia="zh-CN"/>
              </w:rPr>
            </w:pPr>
          </w:p>
        </w:tc>
        <w:tc>
          <w:tcPr>
            <w:tcW w:w="3570" w:type="dxa"/>
          </w:tcPr>
          <w:p>
            <w:pPr>
              <w:spacing w:line="480" w:lineRule="auto"/>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rPr>
                <w:rFonts w:asciiTheme="majorEastAsia" w:hAnsiTheme="majorEastAsia" w:eastAsiaTheme="majorEastAsia"/>
                <w:lang w:eastAsia="zh-CN"/>
              </w:rPr>
            </w:pPr>
          </w:p>
        </w:tc>
        <w:tc>
          <w:tcPr>
            <w:tcW w:w="3570" w:type="dxa"/>
          </w:tcPr>
          <w:p>
            <w:pPr>
              <w:spacing w:line="480" w:lineRule="auto"/>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rPr>
                <w:rFonts w:asciiTheme="majorEastAsia" w:hAnsiTheme="majorEastAsia" w:eastAsiaTheme="majorEastAsia"/>
                <w:lang w:eastAsia="zh-CN"/>
              </w:rPr>
            </w:pPr>
          </w:p>
        </w:tc>
        <w:tc>
          <w:tcPr>
            <w:tcW w:w="3570" w:type="dxa"/>
          </w:tcPr>
          <w:p>
            <w:pPr>
              <w:spacing w:line="480" w:lineRule="auto"/>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rPr>
                <w:rFonts w:asciiTheme="majorEastAsia" w:hAnsiTheme="majorEastAsia" w:eastAsiaTheme="majorEastAsia"/>
                <w:lang w:eastAsia="zh-CN"/>
              </w:rPr>
            </w:pPr>
          </w:p>
        </w:tc>
        <w:tc>
          <w:tcPr>
            <w:tcW w:w="3570" w:type="dxa"/>
          </w:tcPr>
          <w:p>
            <w:pPr>
              <w:spacing w:line="480" w:lineRule="auto"/>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rPr>
                <w:rFonts w:asciiTheme="majorEastAsia" w:hAnsiTheme="majorEastAsia" w:eastAsiaTheme="majorEastAsia"/>
                <w:lang w:eastAsia="zh-CN"/>
              </w:rPr>
            </w:pPr>
          </w:p>
        </w:tc>
        <w:tc>
          <w:tcPr>
            <w:tcW w:w="3570" w:type="dxa"/>
          </w:tcPr>
          <w:p>
            <w:pPr>
              <w:spacing w:line="480" w:lineRule="auto"/>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rPr>
                <w:rFonts w:asciiTheme="majorEastAsia" w:hAnsiTheme="majorEastAsia" w:eastAsiaTheme="majorEastAsia"/>
                <w:lang w:eastAsia="zh-CN"/>
              </w:rPr>
            </w:pPr>
          </w:p>
        </w:tc>
        <w:tc>
          <w:tcPr>
            <w:tcW w:w="3570" w:type="dxa"/>
          </w:tcPr>
          <w:p>
            <w:pPr>
              <w:spacing w:line="480" w:lineRule="auto"/>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3"/>
              <w:shd w:val="clear" w:color="auto" w:fill="FFFFFF"/>
              <w:spacing w:line="480" w:lineRule="auto"/>
              <w:ind w:left="420"/>
              <w:rPr>
                <w:rFonts w:asciiTheme="majorEastAsia" w:hAnsiTheme="majorEastAsia" w:eastAsiaTheme="majorEastAsia"/>
                <w:lang w:eastAsia="zh-CN"/>
              </w:rPr>
            </w:pPr>
          </w:p>
        </w:tc>
        <w:tc>
          <w:tcPr>
            <w:tcW w:w="3570" w:type="dxa"/>
          </w:tcPr>
          <w:p>
            <w:pPr>
              <w:spacing w:line="480" w:lineRule="auto"/>
              <w:rPr>
                <w:rFonts w:asciiTheme="majorEastAsia" w:hAnsiTheme="majorEastAsia" w:eastAsiaTheme="majorEastAsia"/>
                <w:sz w:val="24"/>
                <w:szCs w:val="24"/>
              </w:rPr>
            </w:pPr>
          </w:p>
        </w:tc>
      </w:tr>
    </w:tbl>
    <w:p>
      <w:pPr>
        <w:rPr>
          <w:rFonts w:asciiTheme="majorEastAsia" w:hAnsiTheme="majorEastAsia" w:eastAsiaTheme="majorEastAsia"/>
          <w:sz w:val="24"/>
          <w:szCs w:val="24"/>
        </w:rPr>
      </w:pPr>
      <w:r>
        <w:rPr>
          <w:rFonts w:hint="eastAsia" w:asciiTheme="majorEastAsia" w:hAnsiTheme="majorEastAsia" w:eastAsiaTheme="majorEastAsia"/>
          <w:sz w:val="24"/>
          <w:szCs w:val="24"/>
        </w:rPr>
        <w:t>（说明：此表按照招标文件中综合评分标准表逐项填写）</w:t>
      </w:r>
    </w:p>
    <w:p>
      <w:pPr>
        <w:pStyle w:val="24"/>
        <w:jc w:val="center"/>
        <w:rPr>
          <w:rFonts w:asciiTheme="majorEastAsia" w:hAnsiTheme="majorEastAsia" w:eastAsiaTheme="majorEastAsia"/>
          <w:sz w:val="36"/>
        </w:rPr>
      </w:pPr>
      <w:r>
        <w:rPr>
          <w:rFonts w:asciiTheme="majorEastAsia" w:hAnsiTheme="majorEastAsia" w:eastAsiaTheme="majorEastAsia"/>
          <w:sz w:val="36"/>
        </w:rPr>
        <w:br w:type="page"/>
      </w:r>
    </w:p>
    <w:p>
      <w:pPr>
        <w:pStyle w:val="24"/>
        <w:jc w:val="center"/>
        <w:rPr>
          <w:rFonts w:asciiTheme="majorEastAsia" w:hAnsiTheme="majorEastAsia" w:eastAsiaTheme="majorEastAsia"/>
          <w:sz w:val="36"/>
          <w:u w:val="single"/>
        </w:rPr>
      </w:pPr>
    </w:p>
    <w:p>
      <w:pPr>
        <w:pStyle w:val="24"/>
        <w:jc w:val="center"/>
        <w:rPr>
          <w:rFonts w:asciiTheme="majorEastAsia" w:hAnsiTheme="majorEastAsia" w:eastAsiaTheme="majorEastAsia"/>
          <w:b/>
          <w:bCs/>
          <w:sz w:val="48"/>
          <w:szCs w:val="30"/>
        </w:rPr>
      </w:pPr>
      <w:r>
        <w:rPr>
          <w:rFonts w:hint="eastAsia" w:asciiTheme="majorEastAsia" w:hAnsiTheme="majorEastAsia" w:eastAsiaTheme="majorEastAsia"/>
          <w:b/>
          <w:sz w:val="48"/>
          <w:szCs w:val="30"/>
        </w:rPr>
        <w:t>投标主要文件目录</w:t>
      </w:r>
    </w:p>
    <w:p>
      <w:pPr>
        <w:spacing w:line="440" w:lineRule="exact"/>
        <w:jc w:val="center"/>
        <w:rPr>
          <w:rFonts w:asciiTheme="majorEastAsia" w:hAnsiTheme="majorEastAsia" w:eastAsiaTheme="majorEastAsia"/>
          <w:b/>
          <w:bCs/>
          <w:sz w:val="32"/>
          <w:szCs w:val="32"/>
        </w:rPr>
      </w:pPr>
    </w:p>
    <w:p>
      <w:pPr>
        <w:spacing w:line="48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一、</w:t>
      </w:r>
      <w:r>
        <w:rPr>
          <w:rFonts w:hint="eastAsia" w:asciiTheme="majorEastAsia" w:hAnsiTheme="majorEastAsia" w:eastAsiaTheme="majorEastAsia"/>
          <w:bCs/>
          <w:sz w:val="24"/>
        </w:rPr>
        <w:t>资信证明文件要求</w:t>
      </w:r>
    </w:p>
    <w:p>
      <w:pPr>
        <w:spacing w:line="480" w:lineRule="auto"/>
        <w:ind w:firstLine="482" w:firstLineChars="200"/>
        <w:rPr>
          <w:rFonts w:asciiTheme="majorEastAsia" w:hAnsiTheme="majorEastAsia" w:eastAsiaTheme="majorEastAsia"/>
          <w:sz w:val="24"/>
        </w:rPr>
      </w:pPr>
      <w:r>
        <w:rPr>
          <w:rFonts w:hint="eastAsia" w:asciiTheme="majorEastAsia" w:hAnsiTheme="majorEastAsia" w:eastAsiaTheme="majorEastAsia"/>
          <w:b/>
          <w:bCs/>
          <w:sz w:val="24"/>
        </w:rPr>
        <w:t>二</w:t>
      </w:r>
      <w:r>
        <w:rPr>
          <w:rFonts w:hint="eastAsia" w:asciiTheme="majorEastAsia" w:hAnsiTheme="majorEastAsia" w:eastAsiaTheme="majorEastAsia"/>
          <w:sz w:val="24"/>
        </w:rPr>
        <w:t>、资格性审查响应对照表</w:t>
      </w:r>
    </w:p>
    <w:p>
      <w:pPr>
        <w:spacing w:line="480" w:lineRule="auto"/>
        <w:ind w:firstLine="480" w:firstLineChars="200"/>
        <w:rPr>
          <w:rFonts w:asciiTheme="majorEastAsia" w:hAnsiTheme="majorEastAsia" w:eastAsiaTheme="majorEastAsia"/>
          <w:bCs/>
          <w:sz w:val="24"/>
        </w:rPr>
      </w:pPr>
      <w:r>
        <w:rPr>
          <w:rFonts w:hint="eastAsia" w:asciiTheme="majorEastAsia" w:hAnsiTheme="majorEastAsia" w:eastAsiaTheme="majorEastAsia"/>
          <w:sz w:val="24"/>
        </w:rPr>
        <w:t>三、符合性检查响应对照表</w:t>
      </w:r>
    </w:p>
    <w:p>
      <w:pPr>
        <w:spacing w:line="48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四、投标承诺书</w:t>
      </w:r>
    </w:p>
    <w:p>
      <w:pPr>
        <w:spacing w:line="48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五</w:t>
      </w:r>
      <w:r>
        <w:rPr>
          <w:rFonts w:hint="eastAsia" w:asciiTheme="majorEastAsia" w:hAnsiTheme="majorEastAsia" w:eastAsiaTheme="majorEastAsia"/>
          <w:b/>
          <w:bCs/>
          <w:sz w:val="24"/>
        </w:rPr>
        <w:t>、</w:t>
      </w:r>
      <w:r>
        <w:rPr>
          <w:rFonts w:hint="eastAsia" w:asciiTheme="majorEastAsia" w:hAnsiTheme="majorEastAsia" w:eastAsiaTheme="majorEastAsia"/>
          <w:sz w:val="24"/>
        </w:rPr>
        <w:t>开标一览表</w:t>
      </w:r>
    </w:p>
    <w:p>
      <w:pPr>
        <w:spacing w:line="48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六、投标报价表</w:t>
      </w:r>
    </w:p>
    <w:p>
      <w:pPr>
        <w:spacing w:line="48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七</w:t>
      </w:r>
      <w:r>
        <w:rPr>
          <w:rFonts w:hint="eastAsia" w:cs="Courier New" w:asciiTheme="majorEastAsia" w:hAnsiTheme="majorEastAsia" w:eastAsiaTheme="majorEastAsia"/>
          <w:sz w:val="24"/>
          <w:szCs w:val="24"/>
        </w:rPr>
        <w:t>、</w:t>
      </w:r>
      <w:r>
        <w:rPr>
          <w:rFonts w:hint="eastAsia" w:asciiTheme="majorEastAsia" w:hAnsiTheme="majorEastAsia" w:eastAsiaTheme="majorEastAsia"/>
          <w:sz w:val="24"/>
          <w:szCs w:val="24"/>
        </w:rPr>
        <w:t>技术参数响应及偏离表</w:t>
      </w:r>
    </w:p>
    <w:p>
      <w:pPr>
        <w:spacing w:line="48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八、商务条款响应及偏离表</w:t>
      </w:r>
    </w:p>
    <w:p>
      <w:pPr>
        <w:spacing w:line="480" w:lineRule="auto"/>
        <w:ind w:firstLine="480" w:firstLineChars="200"/>
        <w:rPr>
          <w:rFonts w:asciiTheme="majorEastAsia" w:hAnsiTheme="majorEastAsia" w:eastAsiaTheme="majorEastAsia"/>
          <w:sz w:val="24"/>
        </w:rPr>
      </w:pPr>
      <w:r>
        <w:rPr>
          <w:rFonts w:hint="eastAsia" w:asciiTheme="majorEastAsia" w:hAnsiTheme="majorEastAsia" w:eastAsiaTheme="majorEastAsia"/>
          <w:sz w:val="24"/>
        </w:rPr>
        <w:t>九、施工方案</w:t>
      </w:r>
    </w:p>
    <w:p>
      <w:pPr>
        <w:pStyle w:val="2"/>
        <w:ind w:firstLine="525" w:firstLineChars="250"/>
        <w:rPr>
          <w:rFonts w:asciiTheme="majorEastAsia" w:hAnsiTheme="majorEastAsia" w:eastAsiaTheme="majorEastAsia"/>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spacing w:line="440" w:lineRule="exact"/>
        <w:ind w:firstLine="480" w:firstLineChars="200"/>
        <w:rPr>
          <w:rFonts w:asciiTheme="majorEastAsia" w:hAnsiTheme="majorEastAsia" w:eastAsiaTheme="majorEastAsia"/>
          <w:sz w:val="24"/>
        </w:rPr>
      </w:pPr>
    </w:p>
    <w:p>
      <w:pPr>
        <w:pStyle w:val="2"/>
        <w:rPr>
          <w:rFonts w:asciiTheme="majorEastAsia" w:hAnsiTheme="majorEastAsia" w:eastAsiaTheme="majorEastAsia"/>
        </w:rPr>
      </w:pPr>
    </w:p>
    <w:p>
      <w:pPr>
        <w:pStyle w:val="2"/>
        <w:rPr>
          <w:rFonts w:asciiTheme="majorEastAsia" w:hAnsiTheme="majorEastAsia" w:eastAsiaTheme="majorEastAsia"/>
        </w:rPr>
      </w:pPr>
    </w:p>
    <w:p>
      <w:pPr>
        <w:pStyle w:val="2"/>
        <w:rPr>
          <w:rFonts w:asciiTheme="majorEastAsia" w:hAnsiTheme="majorEastAsia" w:eastAsiaTheme="majorEastAsia"/>
        </w:rPr>
      </w:pPr>
    </w:p>
    <w:p>
      <w:pPr>
        <w:pStyle w:val="24"/>
        <w:rPr>
          <w:rFonts w:asciiTheme="majorEastAsia" w:hAnsiTheme="majorEastAsia" w:eastAsiaTheme="majorEastAsia"/>
        </w:rPr>
      </w:pPr>
    </w:p>
    <w:p>
      <w:pPr>
        <w:rPr>
          <w:rFonts w:asciiTheme="majorEastAsia" w:hAnsiTheme="majorEastAsia" w:eastAsiaTheme="majorEastAsia"/>
        </w:rPr>
      </w:pPr>
    </w:p>
    <w:p>
      <w:pPr>
        <w:pStyle w:val="6"/>
        <w:rPr>
          <w:rFonts w:asciiTheme="majorEastAsia" w:hAnsiTheme="majorEastAsia" w:eastAsiaTheme="majorEastAsia"/>
          <w:sz w:val="32"/>
          <w:szCs w:val="32"/>
        </w:rPr>
      </w:pPr>
      <w:r>
        <w:rPr>
          <w:rFonts w:hint="eastAsia" w:asciiTheme="majorEastAsia" w:hAnsiTheme="majorEastAsia" w:eastAsiaTheme="majorEastAsia"/>
          <w:sz w:val="32"/>
          <w:szCs w:val="32"/>
        </w:rPr>
        <w:t>一、资信证明文件要求</w:t>
      </w:r>
    </w:p>
    <w:p>
      <w:pPr>
        <w:snapToGrid w:val="0"/>
        <w:spacing w:before="50" w:after="50" w:line="360" w:lineRule="auto"/>
        <w:rPr>
          <w:rFonts w:asciiTheme="majorEastAsia" w:hAnsiTheme="majorEastAsia" w:eastAsiaTheme="majorEastAsia"/>
          <w:i/>
          <w:szCs w:val="24"/>
          <w:u w:val="single"/>
        </w:rPr>
      </w:pPr>
    </w:p>
    <w:p>
      <w:pPr>
        <w:snapToGrid w:val="0"/>
        <w:spacing w:before="50" w:after="50" w:line="360" w:lineRule="auto"/>
        <w:rPr>
          <w:rFonts w:asciiTheme="majorEastAsia" w:hAnsiTheme="majorEastAsia" w:eastAsiaTheme="majorEastAsia"/>
          <w:sz w:val="24"/>
          <w:szCs w:val="20"/>
        </w:rPr>
      </w:pPr>
      <w:r>
        <w:rPr>
          <w:rFonts w:hint="eastAsia" w:asciiTheme="majorEastAsia" w:hAnsiTheme="majorEastAsia" w:eastAsiaTheme="majorEastAsia"/>
          <w:sz w:val="44"/>
        </w:rPr>
        <w:t xml:space="preserve"> </w:t>
      </w:r>
      <w:r>
        <w:rPr>
          <w:rFonts w:hint="eastAsia" w:asciiTheme="majorEastAsia" w:hAnsiTheme="majorEastAsia" w:eastAsiaTheme="majorEastAsia"/>
          <w:b/>
          <w:bCs/>
          <w:sz w:val="24"/>
        </w:rPr>
        <w:t>1、实质性资格证明文件目录</w:t>
      </w:r>
    </w:p>
    <w:p>
      <w:pPr>
        <w:snapToGrid w:val="0"/>
        <w:spacing w:line="360" w:lineRule="auto"/>
        <w:ind w:firstLine="480" w:firstLineChars="200"/>
        <w:rPr>
          <w:rFonts w:cs="Arial" w:asciiTheme="majorEastAsia" w:hAnsiTheme="majorEastAsia" w:eastAsiaTheme="majorEastAsia"/>
          <w:sz w:val="24"/>
        </w:rPr>
      </w:pPr>
      <w:r>
        <w:rPr>
          <w:rFonts w:hint="eastAsia" w:asciiTheme="majorEastAsia" w:hAnsiTheme="majorEastAsia" w:eastAsiaTheme="majorEastAsia"/>
          <w:sz w:val="24"/>
          <w:szCs w:val="24"/>
        </w:rPr>
        <w:t>文件</w:t>
      </w:r>
      <w:r>
        <w:rPr>
          <w:rFonts w:asciiTheme="majorEastAsia" w:hAnsiTheme="majorEastAsia" w:eastAsiaTheme="majorEastAsia"/>
          <w:sz w:val="24"/>
          <w:szCs w:val="24"/>
        </w:rPr>
        <w:t>1</w:t>
      </w:r>
      <w:r>
        <w:rPr>
          <w:rFonts w:hint="eastAsia" w:asciiTheme="majorEastAsia" w:hAnsiTheme="majorEastAsia" w:eastAsiaTheme="majorEastAsia"/>
          <w:sz w:val="24"/>
          <w:szCs w:val="24"/>
        </w:rPr>
        <w:t xml:space="preserve"> </w:t>
      </w:r>
      <w:r>
        <w:rPr>
          <w:rFonts w:asciiTheme="majorEastAsia" w:hAnsiTheme="majorEastAsia" w:eastAsiaTheme="majorEastAsia"/>
          <w:sz w:val="24"/>
          <w:szCs w:val="24"/>
        </w:rPr>
        <w:t xml:space="preserve"> </w:t>
      </w:r>
      <w:r>
        <w:rPr>
          <w:rFonts w:hint="eastAsia" w:cs="Arial" w:asciiTheme="majorEastAsia" w:hAnsiTheme="majorEastAsia" w:eastAsiaTheme="majorEastAsia"/>
          <w:sz w:val="24"/>
        </w:rPr>
        <w:t>法人或者其他组织的营业执照等证明文件，自然人的身份证明（复印件）</w:t>
      </w:r>
    </w:p>
    <w:p>
      <w:pPr>
        <w:snapToGrid w:val="0"/>
        <w:spacing w:before="50" w:after="120" w:afterLines="50" w:line="360" w:lineRule="auto"/>
        <w:ind w:firstLine="480" w:firstLineChars="200"/>
        <w:jc w:val="left"/>
        <w:rPr>
          <w:rFonts w:asciiTheme="majorEastAsia" w:hAnsiTheme="majorEastAsia" w:eastAsiaTheme="majorEastAsia"/>
          <w:sz w:val="24"/>
          <w:szCs w:val="24"/>
        </w:rPr>
      </w:pPr>
      <w:r>
        <w:rPr>
          <w:rFonts w:hint="eastAsia" w:asciiTheme="majorEastAsia" w:hAnsiTheme="majorEastAsia" w:eastAsiaTheme="majorEastAsia"/>
          <w:sz w:val="24"/>
          <w:szCs w:val="24"/>
        </w:rPr>
        <w:t>文件</w:t>
      </w:r>
      <w:r>
        <w:rPr>
          <w:rFonts w:asciiTheme="majorEastAsia" w:hAnsiTheme="majorEastAsia" w:eastAsiaTheme="majorEastAsia"/>
          <w:sz w:val="24"/>
          <w:szCs w:val="24"/>
        </w:rPr>
        <w:t>2</w:t>
      </w:r>
      <w:r>
        <w:rPr>
          <w:rFonts w:hint="eastAsia" w:asciiTheme="majorEastAsia" w:hAnsiTheme="majorEastAsia" w:eastAsiaTheme="majorEastAsia"/>
          <w:sz w:val="24"/>
          <w:szCs w:val="24"/>
        </w:rPr>
        <w:t xml:space="preserve">  上一年度</w:t>
      </w:r>
      <w:r>
        <w:rPr>
          <w:rFonts w:hint="eastAsia" w:cs="Arial" w:asciiTheme="majorEastAsia" w:hAnsiTheme="majorEastAsia" w:eastAsiaTheme="majorEastAsia"/>
          <w:sz w:val="24"/>
        </w:rPr>
        <w:t>财务状况报表（复印件，成立不满一年不需提供）</w:t>
      </w:r>
    </w:p>
    <w:p>
      <w:pPr>
        <w:snapToGrid w:val="0"/>
        <w:spacing w:line="360" w:lineRule="auto"/>
        <w:ind w:firstLine="480" w:firstLineChars="200"/>
        <w:rPr>
          <w:rFonts w:cs="Arial" w:asciiTheme="majorEastAsia" w:hAnsiTheme="majorEastAsia" w:eastAsiaTheme="majorEastAsia"/>
          <w:sz w:val="24"/>
        </w:rPr>
      </w:pPr>
      <w:r>
        <w:rPr>
          <w:rFonts w:hint="eastAsia" w:asciiTheme="majorEastAsia" w:hAnsiTheme="majorEastAsia" w:eastAsiaTheme="majorEastAsia"/>
          <w:sz w:val="24"/>
          <w:szCs w:val="24"/>
        </w:rPr>
        <w:t>文件</w:t>
      </w:r>
      <w:r>
        <w:rPr>
          <w:rFonts w:asciiTheme="majorEastAsia" w:hAnsiTheme="majorEastAsia" w:eastAsiaTheme="majorEastAsia"/>
          <w:sz w:val="24"/>
          <w:szCs w:val="24"/>
        </w:rPr>
        <w:t xml:space="preserve">3  </w:t>
      </w:r>
      <w:r>
        <w:rPr>
          <w:rFonts w:hint="eastAsia" w:cs="Arial" w:asciiTheme="majorEastAsia" w:hAnsiTheme="majorEastAsia" w:eastAsiaTheme="majorEastAsia"/>
          <w:sz w:val="24"/>
        </w:rPr>
        <w:t>依法缴纳税收和社会保障资金的相关材料（复印件）</w:t>
      </w:r>
    </w:p>
    <w:p>
      <w:pPr>
        <w:snapToGrid w:val="0"/>
        <w:spacing w:before="50" w:after="120" w:afterLines="50" w:line="360" w:lineRule="auto"/>
        <w:ind w:firstLine="480" w:firstLineChars="200"/>
        <w:jc w:val="left"/>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文件4  </w:t>
      </w:r>
      <w:r>
        <w:rPr>
          <w:rFonts w:hint="eastAsia" w:cs="Arial" w:asciiTheme="majorEastAsia" w:hAnsiTheme="majorEastAsia" w:eastAsiaTheme="majorEastAsia"/>
          <w:sz w:val="24"/>
        </w:rPr>
        <w:t>具备履行合同所必需的设备和专业技术能力</w:t>
      </w:r>
      <w:r>
        <w:rPr>
          <w:rFonts w:hint="eastAsia" w:asciiTheme="majorEastAsia" w:hAnsiTheme="majorEastAsia" w:eastAsiaTheme="majorEastAsia"/>
          <w:sz w:val="24"/>
          <w:szCs w:val="24"/>
        </w:rPr>
        <w:t>证明材料</w:t>
      </w:r>
    </w:p>
    <w:p>
      <w:pPr>
        <w:snapToGrid w:val="0"/>
        <w:spacing w:line="360" w:lineRule="auto"/>
        <w:ind w:firstLine="480" w:firstLineChars="200"/>
        <w:rPr>
          <w:rFonts w:cs="Arial" w:asciiTheme="majorEastAsia" w:hAnsiTheme="majorEastAsia" w:eastAsiaTheme="majorEastAsia"/>
          <w:sz w:val="24"/>
        </w:rPr>
      </w:pPr>
      <w:r>
        <w:rPr>
          <w:rFonts w:hint="eastAsia" w:asciiTheme="majorEastAsia" w:hAnsiTheme="majorEastAsia" w:eastAsiaTheme="majorEastAsia"/>
          <w:sz w:val="24"/>
          <w:szCs w:val="24"/>
        </w:rPr>
        <w:t xml:space="preserve">文件5  </w:t>
      </w:r>
      <w:r>
        <w:rPr>
          <w:rFonts w:hint="eastAsia" w:cs="Arial" w:asciiTheme="majorEastAsia" w:hAnsiTheme="majorEastAsia" w:eastAsiaTheme="majorEastAsia"/>
          <w:sz w:val="24"/>
        </w:rPr>
        <w:t xml:space="preserve">参加政府采购活动前 </w:t>
      </w:r>
      <w:r>
        <w:rPr>
          <w:rFonts w:hint="eastAsia" w:asciiTheme="majorEastAsia" w:hAnsiTheme="majorEastAsia" w:eastAsiaTheme="majorEastAsia"/>
          <w:sz w:val="24"/>
          <w:szCs w:val="24"/>
        </w:rPr>
        <w:t xml:space="preserve">3 </w:t>
      </w:r>
      <w:r>
        <w:rPr>
          <w:rFonts w:hint="eastAsia" w:cs="Arial" w:asciiTheme="majorEastAsia" w:hAnsiTheme="majorEastAsia" w:eastAsiaTheme="majorEastAsia"/>
          <w:sz w:val="24"/>
        </w:rPr>
        <w:t>年内在经营活动中没有重大违法记录的书面声明</w:t>
      </w:r>
    </w:p>
    <w:p>
      <w:pPr>
        <w:snapToGrid w:val="0"/>
        <w:spacing w:before="50" w:after="120" w:afterLines="50" w:line="360" w:lineRule="auto"/>
        <w:ind w:firstLine="480" w:firstLineChars="200"/>
        <w:jc w:val="left"/>
        <w:rPr>
          <w:rFonts w:asciiTheme="majorEastAsia" w:hAnsiTheme="majorEastAsia" w:eastAsiaTheme="majorEastAsia"/>
          <w:sz w:val="24"/>
          <w:szCs w:val="24"/>
        </w:rPr>
      </w:pPr>
      <w:r>
        <w:rPr>
          <w:rFonts w:hint="eastAsia" w:cs="Arial" w:asciiTheme="majorEastAsia" w:hAnsiTheme="majorEastAsia" w:eastAsiaTheme="majorEastAsia"/>
          <w:sz w:val="24"/>
        </w:rPr>
        <w:t>文件</w:t>
      </w:r>
      <w:r>
        <w:rPr>
          <w:rFonts w:hint="eastAsia" w:asciiTheme="majorEastAsia" w:hAnsiTheme="majorEastAsia" w:eastAsiaTheme="majorEastAsia"/>
          <w:sz w:val="24"/>
          <w:szCs w:val="24"/>
        </w:rPr>
        <w:t>6</w:t>
      </w:r>
      <w:r>
        <w:rPr>
          <w:rFonts w:hint="eastAsia" w:cs="Arial" w:asciiTheme="majorEastAsia" w:hAnsiTheme="majorEastAsia" w:eastAsiaTheme="majorEastAsia"/>
          <w:sz w:val="24"/>
        </w:rPr>
        <w:t xml:space="preserve">  法人</w:t>
      </w:r>
      <w:r>
        <w:rPr>
          <w:rFonts w:cs="Arial" w:asciiTheme="majorEastAsia" w:hAnsiTheme="majorEastAsia" w:eastAsiaTheme="majorEastAsia"/>
          <w:sz w:val="24"/>
        </w:rPr>
        <w:t>授权书</w:t>
      </w:r>
    </w:p>
    <w:p>
      <w:pPr>
        <w:snapToGrid w:val="0"/>
        <w:spacing w:line="360" w:lineRule="auto"/>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文件7 投标人营业执照（副本）原件 、资质证书（副本）原件 、安全生产许可证（副本）原件 。</w:t>
      </w:r>
    </w:p>
    <w:p>
      <w:pPr>
        <w:snapToGrid w:val="0"/>
        <w:spacing w:line="360" w:lineRule="auto"/>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文件8 项目负责人的建造师执业资格注册证书（或临时执业资格证书）原件，安全生产考核合格证（B类）原件；</w:t>
      </w:r>
    </w:p>
    <w:p>
      <w:pPr>
        <w:snapToGrid w:val="0"/>
        <w:spacing w:line="360" w:lineRule="auto"/>
        <w:ind w:firstLine="482" w:firstLineChars="200"/>
        <w:rPr>
          <w:rFonts w:asciiTheme="majorEastAsia" w:hAnsiTheme="majorEastAsia" w:eastAsiaTheme="majorEastAsia"/>
          <w:b/>
          <w:sz w:val="24"/>
          <w:szCs w:val="24"/>
        </w:rPr>
      </w:pPr>
      <w:r>
        <w:rPr>
          <w:rFonts w:hint="eastAsia" w:asciiTheme="majorEastAsia" w:hAnsiTheme="majorEastAsia" w:eastAsiaTheme="majorEastAsia"/>
          <w:b/>
          <w:sz w:val="24"/>
          <w:szCs w:val="24"/>
        </w:rPr>
        <w:t>注：上述证书如带有二维码且能通过扫描二维码识别的，则</w:t>
      </w:r>
      <w:r>
        <w:rPr>
          <w:rFonts w:asciiTheme="majorEastAsia" w:hAnsiTheme="majorEastAsia" w:eastAsiaTheme="majorEastAsia"/>
          <w:b/>
          <w:sz w:val="24"/>
          <w:szCs w:val="24"/>
        </w:rPr>
        <w:t>复印件</w:t>
      </w:r>
      <w:r>
        <w:rPr>
          <w:rFonts w:hint="eastAsia" w:asciiTheme="majorEastAsia" w:hAnsiTheme="majorEastAsia" w:eastAsiaTheme="majorEastAsia"/>
          <w:b/>
          <w:sz w:val="24"/>
          <w:szCs w:val="24"/>
        </w:rPr>
        <w:t>加盖公章视为原件。</w:t>
      </w:r>
    </w:p>
    <w:p>
      <w:pPr>
        <w:snapToGrid w:val="0"/>
        <w:spacing w:before="50" w:after="120" w:afterLines="50" w:line="360" w:lineRule="auto"/>
        <w:ind w:left="239" w:leftChars="114" w:firstLine="240" w:firstLineChars="100"/>
        <w:jc w:val="left"/>
        <w:rPr>
          <w:rFonts w:cs="Arial" w:asciiTheme="majorEastAsia" w:hAnsiTheme="majorEastAsia" w:eastAsiaTheme="majorEastAsia"/>
          <w:sz w:val="24"/>
        </w:rPr>
      </w:pPr>
      <w:r>
        <w:rPr>
          <w:rFonts w:hint="eastAsia" w:asciiTheme="majorEastAsia" w:hAnsiTheme="majorEastAsia" w:eastAsiaTheme="majorEastAsia"/>
          <w:sz w:val="24"/>
          <w:szCs w:val="24"/>
        </w:rPr>
        <w:t xml:space="preserve">文件9 </w:t>
      </w:r>
      <w:r>
        <w:rPr>
          <w:rFonts w:hint="eastAsia" w:cs="Arial" w:asciiTheme="majorEastAsia" w:hAnsiTheme="majorEastAsia" w:eastAsiaTheme="majorEastAsia"/>
          <w:sz w:val="24"/>
          <w:szCs w:val="24"/>
        </w:rPr>
        <w:t>招</w:t>
      </w:r>
      <w:r>
        <w:rPr>
          <w:rFonts w:hint="eastAsia" w:cs="Arial" w:asciiTheme="majorEastAsia" w:hAnsiTheme="majorEastAsia" w:eastAsiaTheme="majorEastAsia"/>
          <w:sz w:val="24"/>
        </w:rPr>
        <w:t>标文件中规定要求提供的证明材料和投标人认为需要提供的其他材料（招标文件要求提供原件的必须单独封装并与投标文件一起递交，评标结束后原件退回；未要求提供原件的提供复印件，原件自带备查）</w:t>
      </w:r>
    </w:p>
    <w:p>
      <w:pPr>
        <w:snapToGrid w:val="0"/>
        <w:spacing w:before="50" w:after="120" w:afterLines="50"/>
        <w:jc w:val="left"/>
        <w:rPr>
          <w:rFonts w:asciiTheme="majorEastAsia" w:hAnsiTheme="majorEastAsia" w:eastAsiaTheme="majorEastAsia"/>
          <w:b/>
          <w:i/>
          <w:sz w:val="24"/>
          <w:u w:val="single"/>
        </w:rPr>
      </w:pPr>
    </w:p>
    <w:p>
      <w:pPr>
        <w:pStyle w:val="8"/>
        <w:spacing w:line="360" w:lineRule="auto"/>
        <w:rPr>
          <w:rFonts w:asciiTheme="majorEastAsia" w:hAnsiTheme="majorEastAsia" w:eastAsiaTheme="majorEastAsia"/>
          <w:sz w:val="24"/>
          <w:szCs w:val="24"/>
        </w:rPr>
      </w:pPr>
    </w:p>
    <w:p>
      <w:pPr>
        <w:pStyle w:val="8"/>
        <w:spacing w:line="360" w:lineRule="auto"/>
        <w:rPr>
          <w:rFonts w:asciiTheme="majorEastAsia" w:hAnsiTheme="majorEastAsia" w:eastAsiaTheme="majorEastAsia"/>
          <w:sz w:val="24"/>
          <w:szCs w:val="24"/>
        </w:rPr>
      </w:pPr>
    </w:p>
    <w:p>
      <w:pPr>
        <w:pStyle w:val="8"/>
        <w:spacing w:line="360" w:lineRule="auto"/>
        <w:rPr>
          <w:rFonts w:asciiTheme="majorEastAsia" w:hAnsiTheme="majorEastAsia" w:eastAsiaTheme="majorEastAsia"/>
          <w:sz w:val="24"/>
          <w:szCs w:val="24"/>
        </w:rPr>
      </w:pPr>
    </w:p>
    <w:p>
      <w:pPr>
        <w:pStyle w:val="8"/>
        <w:spacing w:line="360" w:lineRule="auto"/>
        <w:rPr>
          <w:rFonts w:asciiTheme="majorEastAsia" w:hAnsiTheme="majorEastAsia" w:eastAsiaTheme="majorEastAsia"/>
          <w:sz w:val="24"/>
          <w:szCs w:val="24"/>
        </w:rPr>
      </w:pPr>
    </w:p>
    <w:p>
      <w:pPr>
        <w:pStyle w:val="8"/>
        <w:spacing w:line="360" w:lineRule="auto"/>
        <w:rPr>
          <w:rFonts w:asciiTheme="majorEastAsia" w:hAnsiTheme="majorEastAsia" w:eastAsiaTheme="majorEastAsia"/>
          <w:sz w:val="24"/>
          <w:szCs w:val="24"/>
        </w:rPr>
      </w:pPr>
    </w:p>
    <w:p>
      <w:pPr>
        <w:pStyle w:val="8"/>
        <w:spacing w:line="360" w:lineRule="auto"/>
        <w:rPr>
          <w:rFonts w:asciiTheme="majorEastAsia" w:hAnsiTheme="majorEastAsia" w:eastAsiaTheme="majorEastAsia"/>
          <w:sz w:val="24"/>
          <w:szCs w:val="24"/>
        </w:rPr>
      </w:pPr>
    </w:p>
    <w:p>
      <w:pPr>
        <w:pStyle w:val="8"/>
        <w:spacing w:line="360" w:lineRule="auto"/>
        <w:rPr>
          <w:rFonts w:asciiTheme="majorEastAsia" w:hAnsiTheme="majorEastAsia" w:eastAsiaTheme="majorEastAsia"/>
          <w:sz w:val="24"/>
          <w:szCs w:val="24"/>
        </w:rPr>
      </w:pPr>
    </w:p>
    <w:p>
      <w:pPr>
        <w:pStyle w:val="8"/>
        <w:spacing w:line="360" w:lineRule="auto"/>
        <w:rPr>
          <w:rFonts w:asciiTheme="majorEastAsia" w:hAnsiTheme="majorEastAsia" w:eastAsiaTheme="majorEastAsia"/>
          <w:sz w:val="24"/>
          <w:szCs w:val="24"/>
        </w:rPr>
      </w:pPr>
    </w:p>
    <w:p>
      <w:pPr>
        <w:pStyle w:val="8"/>
        <w:spacing w:line="360" w:lineRule="auto"/>
        <w:rPr>
          <w:rFonts w:asciiTheme="majorEastAsia" w:hAnsiTheme="majorEastAsia" w:eastAsiaTheme="majorEastAsia"/>
          <w:sz w:val="24"/>
          <w:szCs w:val="24"/>
        </w:rPr>
      </w:pPr>
    </w:p>
    <w:p>
      <w:pPr>
        <w:pStyle w:val="24"/>
        <w:jc w:val="center"/>
        <w:rPr>
          <w:rFonts w:asciiTheme="majorEastAsia" w:hAnsiTheme="majorEastAsia" w:eastAsiaTheme="majorEastAsia"/>
          <w:sz w:val="24"/>
          <w:szCs w:val="24"/>
        </w:rPr>
      </w:pPr>
    </w:p>
    <w:p>
      <w:pPr>
        <w:pStyle w:val="24"/>
        <w:rPr>
          <w:rFonts w:asciiTheme="majorEastAsia" w:hAnsiTheme="majorEastAsia" w:eastAsiaTheme="majorEastAsia"/>
          <w:sz w:val="24"/>
          <w:szCs w:val="24"/>
        </w:rPr>
      </w:pPr>
    </w:p>
    <w:p>
      <w:pPr>
        <w:pStyle w:val="24"/>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具备履行合同所必需的设备和专业技术能力的书面声明</w:t>
      </w:r>
    </w:p>
    <w:p>
      <w:pPr>
        <w:pStyle w:val="24"/>
        <w:jc w:val="center"/>
        <w:rPr>
          <w:rFonts w:asciiTheme="majorEastAsia" w:hAnsiTheme="majorEastAsia" w:eastAsiaTheme="majorEastAsia"/>
          <w:b/>
          <w:sz w:val="32"/>
          <w:szCs w:val="32"/>
        </w:rPr>
      </w:pPr>
    </w:p>
    <w:p>
      <w:pPr>
        <w:spacing w:line="480" w:lineRule="auto"/>
        <w:ind w:firstLine="492"/>
        <w:rPr>
          <w:rFonts w:asciiTheme="majorEastAsia" w:hAnsiTheme="majorEastAsia" w:eastAsiaTheme="majorEastAsia"/>
          <w:bCs/>
          <w:sz w:val="24"/>
        </w:rPr>
      </w:pPr>
      <w:r>
        <w:rPr>
          <w:rFonts w:hint="eastAsia" w:asciiTheme="majorEastAsia" w:hAnsiTheme="majorEastAsia" w:eastAsiaTheme="majorEastAsia"/>
          <w:bCs/>
          <w:sz w:val="24"/>
        </w:rPr>
        <w:t>我公司郑重声明：我公司具备履行本项采购合同所必需的设备和专业技术能力，为履行本项采购合同我公司具备如下主要设备和主要专业技术能力：</w:t>
      </w:r>
    </w:p>
    <w:p>
      <w:pPr>
        <w:spacing w:line="480" w:lineRule="auto"/>
        <w:ind w:firstLine="492"/>
        <w:rPr>
          <w:rFonts w:asciiTheme="majorEastAsia" w:hAnsiTheme="majorEastAsia" w:eastAsiaTheme="majorEastAsia"/>
          <w:bCs/>
          <w:sz w:val="24"/>
        </w:rPr>
      </w:pPr>
      <w:r>
        <w:rPr>
          <w:rFonts w:hint="eastAsia" w:asciiTheme="majorEastAsia" w:hAnsiTheme="majorEastAsia" w:eastAsiaTheme="majorEastAsia"/>
          <w:bCs/>
          <w:sz w:val="24"/>
        </w:rPr>
        <w:t>主要设备有：</w:t>
      </w:r>
      <w:r>
        <w:rPr>
          <w:rFonts w:hint="eastAsia" w:asciiTheme="majorEastAsia" w:hAnsiTheme="majorEastAsia" w:eastAsiaTheme="majorEastAsia"/>
          <w:bCs/>
          <w:sz w:val="24"/>
          <w:u w:val="single"/>
        </w:rPr>
        <w:t xml:space="preserve">           </w:t>
      </w:r>
      <w:r>
        <w:rPr>
          <w:rFonts w:hint="eastAsia" w:asciiTheme="majorEastAsia" w:hAnsiTheme="majorEastAsia" w:eastAsiaTheme="majorEastAsia"/>
          <w:bCs/>
          <w:sz w:val="24"/>
        </w:rPr>
        <w:t>。</w:t>
      </w:r>
    </w:p>
    <w:p>
      <w:pPr>
        <w:spacing w:line="480" w:lineRule="auto"/>
        <w:ind w:firstLine="492"/>
        <w:rPr>
          <w:rFonts w:asciiTheme="majorEastAsia" w:hAnsiTheme="majorEastAsia" w:eastAsiaTheme="majorEastAsia"/>
          <w:bCs/>
          <w:sz w:val="24"/>
        </w:rPr>
      </w:pPr>
      <w:r>
        <w:rPr>
          <w:rFonts w:hint="eastAsia" w:asciiTheme="majorEastAsia" w:hAnsiTheme="majorEastAsia" w:eastAsiaTheme="majorEastAsia"/>
          <w:bCs/>
          <w:sz w:val="24"/>
        </w:rPr>
        <w:t>主要专业技术能力有：</w:t>
      </w:r>
      <w:r>
        <w:rPr>
          <w:rFonts w:hint="eastAsia" w:asciiTheme="majorEastAsia" w:hAnsiTheme="majorEastAsia" w:eastAsiaTheme="majorEastAsia"/>
          <w:bCs/>
          <w:sz w:val="24"/>
          <w:u w:val="single"/>
        </w:rPr>
        <w:t xml:space="preserve">             </w:t>
      </w:r>
      <w:r>
        <w:rPr>
          <w:rFonts w:hint="eastAsia" w:asciiTheme="majorEastAsia" w:hAnsiTheme="majorEastAsia" w:eastAsiaTheme="majorEastAsia"/>
          <w:bCs/>
          <w:sz w:val="24"/>
        </w:rPr>
        <w:t>。</w:t>
      </w:r>
    </w:p>
    <w:p>
      <w:pPr>
        <w:spacing w:line="480" w:lineRule="auto"/>
        <w:ind w:firstLine="492"/>
        <w:rPr>
          <w:rFonts w:asciiTheme="majorEastAsia" w:hAnsiTheme="majorEastAsia" w:eastAsiaTheme="majorEastAsia"/>
          <w:bCs/>
          <w:sz w:val="24"/>
        </w:rPr>
      </w:pPr>
    </w:p>
    <w:p>
      <w:pPr>
        <w:spacing w:line="460" w:lineRule="exact"/>
        <w:ind w:firstLine="492"/>
        <w:rPr>
          <w:rFonts w:asciiTheme="majorEastAsia" w:hAnsiTheme="majorEastAsia" w:eastAsiaTheme="majorEastAsia"/>
          <w:bCs/>
          <w:sz w:val="24"/>
        </w:rPr>
      </w:pPr>
    </w:p>
    <w:p>
      <w:pPr>
        <w:spacing w:line="460" w:lineRule="exact"/>
        <w:ind w:firstLine="492"/>
        <w:rPr>
          <w:rFonts w:asciiTheme="majorEastAsia" w:hAnsiTheme="majorEastAsia" w:eastAsiaTheme="majorEastAsia"/>
          <w:bCs/>
          <w:sz w:val="24"/>
        </w:rPr>
      </w:pPr>
    </w:p>
    <w:p>
      <w:pPr>
        <w:spacing w:line="460" w:lineRule="exact"/>
        <w:rPr>
          <w:rFonts w:asciiTheme="majorEastAsia" w:hAnsiTheme="majorEastAsia" w:eastAsiaTheme="majorEastAsia"/>
          <w:bCs/>
          <w:sz w:val="24"/>
        </w:rPr>
      </w:pPr>
      <w:r>
        <w:rPr>
          <w:rFonts w:hint="eastAsia" w:asciiTheme="majorEastAsia" w:hAnsiTheme="majorEastAsia" w:eastAsiaTheme="majorEastAsia"/>
          <w:bCs/>
          <w:sz w:val="24"/>
        </w:rPr>
        <w:t xml:space="preserve">                                      投标人名称（公章）：</w:t>
      </w:r>
    </w:p>
    <w:p>
      <w:pPr>
        <w:spacing w:line="460" w:lineRule="exact"/>
        <w:rPr>
          <w:rFonts w:asciiTheme="majorEastAsia" w:hAnsiTheme="majorEastAsia" w:eastAsiaTheme="majorEastAsia"/>
          <w:bCs/>
          <w:sz w:val="24"/>
        </w:rPr>
      </w:pPr>
      <w:r>
        <w:rPr>
          <w:rFonts w:hint="eastAsia" w:asciiTheme="majorEastAsia" w:hAnsiTheme="majorEastAsia" w:eastAsiaTheme="majorEastAsia"/>
          <w:bCs/>
          <w:sz w:val="24"/>
        </w:rPr>
        <w:t xml:space="preserve">                                     </w:t>
      </w:r>
    </w:p>
    <w:p>
      <w:pPr>
        <w:spacing w:line="460" w:lineRule="exact"/>
        <w:rPr>
          <w:rFonts w:asciiTheme="majorEastAsia" w:hAnsiTheme="majorEastAsia" w:eastAsiaTheme="majorEastAsia"/>
          <w:bCs/>
          <w:sz w:val="24"/>
        </w:rPr>
      </w:pPr>
      <w:r>
        <w:rPr>
          <w:rFonts w:hint="eastAsia" w:asciiTheme="majorEastAsia" w:hAnsiTheme="majorEastAsia" w:eastAsiaTheme="majorEastAsia"/>
          <w:bCs/>
          <w:sz w:val="24"/>
        </w:rPr>
        <w:t xml:space="preserve">                                     日期：</w:t>
      </w:r>
      <w:r>
        <w:rPr>
          <w:rFonts w:hint="eastAsia" w:asciiTheme="majorEastAsia" w:hAnsiTheme="majorEastAsia" w:eastAsiaTheme="majorEastAsia"/>
          <w:bCs/>
          <w:sz w:val="24"/>
          <w:u w:val="single"/>
        </w:rPr>
        <w:t>______</w:t>
      </w:r>
      <w:r>
        <w:rPr>
          <w:rFonts w:hint="eastAsia" w:asciiTheme="majorEastAsia" w:hAnsiTheme="majorEastAsia" w:eastAsiaTheme="majorEastAsia"/>
          <w:bCs/>
          <w:sz w:val="24"/>
        </w:rPr>
        <w:t>年</w:t>
      </w:r>
      <w:r>
        <w:rPr>
          <w:rFonts w:hint="eastAsia" w:asciiTheme="majorEastAsia" w:hAnsiTheme="majorEastAsia" w:eastAsiaTheme="majorEastAsia"/>
          <w:bCs/>
          <w:sz w:val="24"/>
          <w:u w:val="single"/>
        </w:rPr>
        <w:t xml:space="preserve">    </w:t>
      </w:r>
      <w:r>
        <w:rPr>
          <w:rFonts w:hint="eastAsia" w:asciiTheme="majorEastAsia" w:hAnsiTheme="majorEastAsia" w:eastAsiaTheme="majorEastAsia"/>
          <w:bCs/>
          <w:sz w:val="24"/>
        </w:rPr>
        <w:t>月</w:t>
      </w:r>
      <w:r>
        <w:rPr>
          <w:rFonts w:hint="eastAsia" w:asciiTheme="majorEastAsia" w:hAnsiTheme="majorEastAsia" w:eastAsiaTheme="majorEastAsia"/>
          <w:bCs/>
          <w:sz w:val="24"/>
          <w:u w:val="single"/>
        </w:rPr>
        <w:t xml:space="preserve">    </w:t>
      </w:r>
      <w:r>
        <w:rPr>
          <w:rFonts w:hint="eastAsia" w:asciiTheme="majorEastAsia" w:hAnsiTheme="majorEastAsia" w:eastAsiaTheme="majorEastAsia"/>
          <w:bCs/>
          <w:sz w:val="24"/>
        </w:rPr>
        <w:t>日</w:t>
      </w:r>
    </w:p>
    <w:p>
      <w:pPr>
        <w:pStyle w:val="8"/>
        <w:ind w:firstLine="0"/>
        <w:rPr>
          <w:rFonts w:asciiTheme="majorEastAsia" w:hAnsiTheme="majorEastAsia" w:eastAsiaTheme="majorEastAsia"/>
        </w:rPr>
      </w:pPr>
    </w:p>
    <w:p>
      <w:pPr>
        <w:pStyle w:val="24"/>
        <w:jc w:val="center"/>
        <w:rPr>
          <w:rFonts w:asciiTheme="majorEastAsia" w:hAnsiTheme="majorEastAsia" w:eastAsiaTheme="majorEastAsia"/>
          <w:sz w:val="24"/>
          <w:szCs w:val="24"/>
        </w:rPr>
      </w:pPr>
      <w:r>
        <w:rPr>
          <w:rFonts w:asciiTheme="majorEastAsia" w:hAnsiTheme="majorEastAsia" w:eastAsiaTheme="majorEastAsia"/>
          <w:sz w:val="24"/>
          <w:szCs w:val="24"/>
        </w:rPr>
        <w:br w:type="page"/>
      </w:r>
    </w:p>
    <w:p>
      <w:pPr>
        <w:pStyle w:val="24"/>
        <w:jc w:val="center"/>
        <w:rPr>
          <w:rFonts w:asciiTheme="majorEastAsia" w:hAnsiTheme="majorEastAsia" w:eastAsiaTheme="majorEastAsia"/>
          <w:sz w:val="24"/>
          <w:szCs w:val="24"/>
        </w:rPr>
      </w:pPr>
    </w:p>
    <w:p>
      <w:pPr>
        <w:pStyle w:val="24"/>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参加政府采购活动前 3 年内在经营活动中</w:t>
      </w:r>
    </w:p>
    <w:p>
      <w:pPr>
        <w:pStyle w:val="24"/>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没有重大违法记录的书面声明</w:t>
      </w:r>
    </w:p>
    <w:p>
      <w:pPr>
        <w:spacing w:line="460" w:lineRule="exact"/>
        <w:rPr>
          <w:rFonts w:asciiTheme="majorEastAsia" w:hAnsiTheme="majorEastAsia" w:eastAsiaTheme="majorEastAsia"/>
          <w:b/>
          <w:bCs/>
          <w:sz w:val="44"/>
          <w:szCs w:val="44"/>
        </w:rPr>
      </w:pPr>
      <w:r>
        <w:rPr>
          <w:rFonts w:hint="eastAsia" w:asciiTheme="majorEastAsia" w:hAnsiTheme="majorEastAsia" w:eastAsiaTheme="majorEastAsia"/>
          <w:b/>
          <w:bCs/>
          <w:sz w:val="24"/>
        </w:rPr>
        <w:t xml:space="preserve">                       </w:t>
      </w:r>
      <w:r>
        <w:rPr>
          <w:rFonts w:hint="eastAsia" w:asciiTheme="majorEastAsia" w:hAnsiTheme="majorEastAsia" w:eastAsiaTheme="majorEastAsia"/>
          <w:b/>
          <w:bCs/>
          <w:sz w:val="44"/>
          <w:szCs w:val="44"/>
        </w:rPr>
        <w:t xml:space="preserve">   </w:t>
      </w:r>
    </w:p>
    <w:p>
      <w:pPr>
        <w:spacing w:line="460" w:lineRule="exact"/>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声  明</w:t>
      </w:r>
    </w:p>
    <w:p>
      <w:pPr>
        <w:pStyle w:val="2"/>
        <w:rPr>
          <w:rFonts w:asciiTheme="majorEastAsia" w:hAnsiTheme="majorEastAsia" w:eastAsiaTheme="majorEastAsia"/>
        </w:rPr>
      </w:pPr>
    </w:p>
    <w:p>
      <w:pPr>
        <w:spacing w:line="460" w:lineRule="exact"/>
        <w:rPr>
          <w:rFonts w:asciiTheme="majorEastAsia" w:hAnsiTheme="majorEastAsia" w:eastAsiaTheme="majorEastAsia"/>
          <w:bCs/>
          <w:sz w:val="24"/>
        </w:rPr>
      </w:pPr>
      <w:r>
        <w:rPr>
          <w:rFonts w:hint="eastAsia" w:asciiTheme="majorEastAsia" w:hAnsiTheme="majorEastAsia" w:eastAsiaTheme="majorEastAsia"/>
          <w:b/>
          <w:bCs/>
          <w:sz w:val="24"/>
        </w:rPr>
        <w:t xml:space="preserve">    </w:t>
      </w:r>
      <w:r>
        <w:rPr>
          <w:rFonts w:hint="eastAsia" w:asciiTheme="majorEastAsia" w:hAnsiTheme="majorEastAsia" w:eastAsiaTheme="majorEastAsia"/>
          <w:bCs/>
          <w:sz w:val="24"/>
        </w:rPr>
        <w:t>我公司郑重声明：参加本次政府采购活动前 3 年内，我公司在经营活动中没有因违法经营受到刑事处罚或者责令停产停业、吊销许可证或者执照、较大数额罚款等行政处罚。</w:t>
      </w:r>
    </w:p>
    <w:p>
      <w:pPr>
        <w:spacing w:line="460" w:lineRule="exact"/>
        <w:rPr>
          <w:rFonts w:asciiTheme="majorEastAsia" w:hAnsiTheme="majorEastAsia" w:eastAsiaTheme="majorEastAsia"/>
          <w:bCs/>
          <w:sz w:val="24"/>
        </w:rPr>
      </w:pPr>
      <w:r>
        <w:rPr>
          <w:rFonts w:hint="eastAsia" w:asciiTheme="majorEastAsia" w:hAnsiTheme="majorEastAsia" w:eastAsiaTheme="majorEastAsia"/>
          <w:bCs/>
          <w:sz w:val="24"/>
        </w:rPr>
        <w:t xml:space="preserve">                                    </w:t>
      </w:r>
    </w:p>
    <w:p>
      <w:pPr>
        <w:spacing w:line="460" w:lineRule="exact"/>
        <w:rPr>
          <w:rFonts w:asciiTheme="majorEastAsia" w:hAnsiTheme="majorEastAsia" w:eastAsiaTheme="majorEastAsia"/>
          <w:bCs/>
          <w:sz w:val="24"/>
        </w:rPr>
      </w:pPr>
    </w:p>
    <w:p>
      <w:pPr>
        <w:spacing w:line="460" w:lineRule="exact"/>
        <w:ind w:firstLine="4320" w:firstLineChars="1800"/>
        <w:rPr>
          <w:rFonts w:asciiTheme="majorEastAsia" w:hAnsiTheme="majorEastAsia" w:eastAsiaTheme="majorEastAsia"/>
          <w:bCs/>
          <w:sz w:val="24"/>
        </w:rPr>
      </w:pPr>
      <w:r>
        <w:rPr>
          <w:rFonts w:hint="eastAsia" w:asciiTheme="majorEastAsia" w:hAnsiTheme="majorEastAsia" w:eastAsiaTheme="majorEastAsia"/>
          <w:bCs/>
          <w:sz w:val="24"/>
        </w:rPr>
        <w:t xml:space="preserve">  投标人名称（公章）：</w:t>
      </w:r>
    </w:p>
    <w:p>
      <w:pPr>
        <w:spacing w:line="460" w:lineRule="exact"/>
        <w:rPr>
          <w:rFonts w:asciiTheme="majorEastAsia" w:hAnsiTheme="majorEastAsia" w:eastAsiaTheme="majorEastAsia"/>
          <w:bCs/>
          <w:sz w:val="24"/>
        </w:rPr>
      </w:pPr>
      <w:r>
        <w:rPr>
          <w:rFonts w:hint="eastAsia" w:asciiTheme="majorEastAsia" w:hAnsiTheme="majorEastAsia" w:eastAsiaTheme="majorEastAsia"/>
          <w:bCs/>
          <w:sz w:val="24"/>
        </w:rPr>
        <w:t xml:space="preserve">                                      授权代表签字：</w:t>
      </w:r>
      <w:r>
        <w:rPr>
          <w:rFonts w:hint="eastAsia" w:asciiTheme="majorEastAsia" w:hAnsiTheme="majorEastAsia" w:eastAsiaTheme="majorEastAsia"/>
          <w:bCs/>
          <w:sz w:val="24"/>
          <w:u w:val="single"/>
        </w:rPr>
        <w:t>_______________________</w:t>
      </w:r>
    </w:p>
    <w:p>
      <w:pPr>
        <w:spacing w:line="460" w:lineRule="exact"/>
        <w:rPr>
          <w:rFonts w:asciiTheme="majorEastAsia" w:hAnsiTheme="majorEastAsia" w:eastAsiaTheme="majorEastAsia"/>
          <w:bCs/>
          <w:sz w:val="24"/>
        </w:rPr>
      </w:pPr>
      <w:r>
        <w:rPr>
          <w:rFonts w:hint="eastAsia" w:asciiTheme="majorEastAsia" w:hAnsiTheme="majorEastAsia" w:eastAsiaTheme="majorEastAsia"/>
          <w:bCs/>
          <w:sz w:val="24"/>
        </w:rPr>
        <w:t xml:space="preserve">                                      日期：</w:t>
      </w:r>
      <w:r>
        <w:rPr>
          <w:rFonts w:hint="eastAsia" w:asciiTheme="majorEastAsia" w:hAnsiTheme="majorEastAsia" w:eastAsiaTheme="majorEastAsia"/>
          <w:bCs/>
          <w:sz w:val="24"/>
          <w:u w:val="single"/>
        </w:rPr>
        <w:t>______</w:t>
      </w:r>
      <w:r>
        <w:rPr>
          <w:rFonts w:hint="eastAsia" w:asciiTheme="majorEastAsia" w:hAnsiTheme="majorEastAsia" w:eastAsiaTheme="majorEastAsia"/>
          <w:bCs/>
          <w:sz w:val="24"/>
        </w:rPr>
        <w:t>年</w:t>
      </w:r>
      <w:r>
        <w:rPr>
          <w:rFonts w:hint="eastAsia" w:asciiTheme="majorEastAsia" w:hAnsiTheme="majorEastAsia" w:eastAsiaTheme="majorEastAsia"/>
          <w:bCs/>
          <w:sz w:val="24"/>
          <w:u w:val="single"/>
        </w:rPr>
        <w:t xml:space="preserve">    </w:t>
      </w:r>
      <w:r>
        <w:rPr>
          <w:rFonts w:hint="eastAsia" w:asciiTheme="majorEastAsia" w:hAnsiTheme="majorEastAsia" w:eastAsiaTheme="majorEastAsia"/>
          <w:bCs/>
          <w:sz w:val="24"/>
        </w:rPr>
        <w:t>月</w:t>
      </w:r>
      <w:r>
        <w:rPr>
          <w:rFonts w:hint="eastAsia" w:asciiTheme="majorEastAsia" w:hAnsiTheme="majorEastAsia" w:eastAsiaTheme="majorEastAsia"/>
          <w:bCs/>
          <w:sz w:val="24"/>
          <w:u w:val="single"/>
        </w:rPr>
        <w:t xml:space="preserve">    </w:t>
      </w:r>
      <w:r>
        <w:rPr>
          <w:rFonts w:hint="eastAsia" w:asciiTheme="majorEastAsia" w:hAnsiTheme="majorEastAsia" w:eastAsiaTheme="majorEastAsia"/>
          <w:bCs/>
          <w:sz w:val="24"/>
        </w:rPr>
        <w:t>日</w:t>
      </w:r>
    </w:p>
    <w:p>
      <w:pPr>
        <w:spacing w:line="460" w:lineRule="exact"/>
        <w:rPr>
          <w:rFonts w:asciiTheme="majorEastAsia" w:hAnsiTheme="majorEastAsia" w:eastAsiaTheme="majorEastAsia"/>
          <w:bCs/>
          <w:sz w:val="24"/>
        </w:rPr>
      </w:pPr>
    </w:p>
    <w:p>
      <w:pPr>
        <w:pStyle w:val="24"/>
        <w:jc w:val="center"/>
        <w:rPr>
          <w:rFonts w:asciiTheme="majorEastAsia" w:hAnsiTheme="majorEastAsia" w:eastAsiaTheme="majorEastAsia"/>
          <w:sz w:val="24"/>
          <w:szCs w:val="24"/>
        </w:rPr>
      </w:pPr>
      <w:r>
        <w:rPr>
          <w:rFonts w:hint="eastAsia" w:asciiTheme="majorEastAsia" w:hAnsiTheme="majorEastAsia" w:eastAsiaTheme="majorEastAsia"/>
          <w:sz w:val="24"/>
          <w:szCs w:val="24"/>
        </w:rPr>
        <w:br w:type="page"/>
      </w:r>
    </w:p>
    <w:p>
      <w:pPr>
        <w:pStyle w:val="24"/>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信用记录</w:t>
      </w:r>
    </w:p>
    <w:p>
      <w:pPr>
        <w:pStyle w:val="24"/>
        <w:jc w:val="center"/>
        <w:rPr>
          <w:rFonts w:asciiTheme="majorEastAsia" w:hAnsiTheme="majorEastAsia" w:eastAsiaTheme="majorEastAsia"/>
          <w:color w:val="000000" w:themeColor="text1"/>
          <w:sz w:val="24"/>
          <w:szCs w:val="24"/>
        </w:rPr>
      </w:pPr>
    </w:p>
    <w:p>
      <w:pPr>
        <w:pStyle w:val="24"/>
        <w:ind w:firstLine="480" w:firstLineChars="200"/>
        <w:jc w:val="left"/>
        <w:rPr>
          <w:rFonts w:asciiTheme="majorEastAsia" w:hAnsiTheme="majorEastAsia" w:eastAsiaTheme="majorEastAsia"/>
          <w:color w:val="000000" w:themeColor="text1"/>
          <w:sz w:val="24"/>
          <w:szCs w:val="24"/>
        </w:rPr>
      </w:pPr>
      <w:r>
        <w:rPr>
          <w:rFonts w:hint="eastAsia" w:asciiTheme="majorEastAsia" w:hAnsiTheme="majorEastAsia" w:eastAsiaTheme="majorEastAsia"/>
          <w:color w:val="000000" w:themeColor="text1"/>
          <w:sz w:val="24"/>
          <w:szCs w:val="24"/>
        </w:rPr>
        <w:t>需提供在“信用中国”网站（www.creditchina.gov.cn）中未被列入失信被执行人、重大税收违法案件当事人名单和政府采购严重违法失信名单的信息记录截图；以上截图加盖公章；</w:t>
      </w:r>
    </w:p>
    <w:p>
      <w:pPr>
        <w:pStyle w:val="24"/>
        <w:ind w:firstLine="480" w:firstLineChars="200"/>
        <w:jc w:val="left"/>
        <w:rPr>
          <w:rFonts w:asciiTheme="majorEastAsia" w:hAnsiTheme="majorEastAsia" w:eastAsiaTheme="majorEastAsia"/>
          <w:color w:val="000000" w:themeColor="text1"/>
          <w:sz w:val="24"/>
          <w:szCs w:val="24"/>
        </w:rPr>
      </w:pPr>
      <w:r>
        <w:rPr>
          <w:rFonts w:hint="eastAsia" w:asciiTheme="majorEastAsia" w:hAnsiTheme="majorEastAsia" w:eastAsiaTheme="majorEastAsia"/>
          <w:color w:val="000000" w:themeColor="text1"/>
          <w:sz w:val="24"/>
          <w:szCs w:val="24"/>
        </w:rPr>
        <w:t>附件：信用记录查询网页截图</w:t>
      </w:r>
    </w:p>
    <w:p>
      <w:pPr>
        <w:pStyle w:val="24"/>
        <w:ind w:firstLine="480" w:firstLineChars="200"/>
        <w:jc w:val="left"/>
        <w:rPr>
          <w:rFonts w:asciiTheme="majorEastAsia" w:hAnsiTheme="majorEastAsia" w:eastAsiaTheme="majorEastAsia"/>
          <w:color w:val="000000" w:themeColor="text1"/>
          <w:sz w:val="24"/>
          <w:szCs w:val="24"/>
        </w:rPr>
      </w:pPr>
    </w:p>
    <w:p>
      <w:pPr>
        <w:pStyle w:val="24"/>
        <w:ind w:firstLine="480" w:firstLineChars="200"/>
        <w:jc w:val="left"/>
        <w:rPr>
          <w:rFonts w:asciiTheme="majorEastAsia" w:hAnsiTheme="majorEastAsia" w:eastAsiaTheme="majorEastAsia"/>
          <w:color w:val="000000" w:themeColor="text1"/>
          <w:sz w:val="24"/>
          <w:szCs w:val="24"/>
        </w:rPr>
      </w:pPr>
      <w:r>
        <w:rPr>
          <w:rFonts w:hint="eastAsia" w:asciiTheme="majorEastAsia" w:hAnsiTheme="majorEastAsia" w:eastAsiaTheme="majorEastAsia"/>
          <w:color w:val="000000" w:themeColor="text1"/>
          <w:sz w:val="24"/>
          <w:szCs w:val="24"/>
        </w:rPr>
        <w:t>以下网页截屏样式内容仅为参考。</w:t>
      </w:r>
    </w:p>
    <w:p>
      <w:pPr>
        <w:pStyle w:val="24"/>
        <w:ind w:firstLine="480" w:firstLineChars="200"/>
        <w:jc w:val="left"/>
        <w:rPr>
          <w:rFonts w:asciiTheme="majorEastAsia" w:hAnsiTheme="majorEastAsia" w:eastAsiaTheme="majorEastAsia"/>
          <w:color w:val="000000" w:themeColor="text1"/>
          <w:sz w:val="24"/>
          <w:szCs w:val="24"/>
        </w:rPr>
      </w:pPr>
      <w:r>
        <w:rPr>
          <w:rFonts w:hint="eastAsia" w:asciiTheme="majorEastAsia" w:hAnsiTheme="majorEastAsia" w:eastAsiaTheme="majorEastAsia"/>
          <w:color w:val="000000" w:themeColor="text1"/>
          <w:sz w:val="24"/>
          <w:szCs w:val="24"/>
        </w:rPr>
        <w:t>信用中国网页截图（失信被执行人、重大税收违法案件当事人名单和政府采购严重违法失信名单查询页面）：</w:t>
      </w:r>
    </w:p>
    <w:p>
      <w:pPr>
        <w:pStyle w:val="24"/>
        <w:ind w:firstLine="480" w:firstLineChars="200"/>
        <w:jc w:val="left"/>
        <w:rPr>
          <w:rFonts w:asciiTheme="majorEastAsia" w:hAnsiTheme="majorEastAsia" w:eastAsiaTheme="majorEastAsia"/>
          <w:color w:val="000000" w:themeColor="text1"/>
          <w:sz w:val="24"/>
          <w:szCs w:val="24"/>
        </w:rPr>
      </w:pPr>
    </w:p>
    <w:p>
      <w:pPr>
        <w:spacing w:line="460" w:lineRule="exact"/>
        <w:ind w:firstLine="566" w:firstLineChars="236"/>
        <w:jc w:val="left"/>
        <w:rPr>
          <w:rFonts w:asciiTheme="majorEastAsia" w:hAnsiTheme="majorEastAsia" w:eastAsiaTheme="majorEastAsia"/>
          <w:bCs/>
          <w:color w:val="000000" w:themeColor="text1"/>
          <w:sz w:val="24"/>
          <w:szCs w:val="24"/>
        </w:rPr>
      </w:pPr>
      <w:r>
        <w:rPr>
          <w:rFonts w:hint="eastAsia" w:asciiTheme="majorEastAsia" w:hAnsiTheme="majorEastAsia" w:eastAsiaTheme="majorEastAsia"/>
          <w:color w:val="000000" w:themeColor="text1"/>
          <w:sz w:val="24"/>
          <w:szCs w:val="24"/>
        </w:rPr>
        <w:t>1、</w:t>
      </w:r>
      <w:r>
        <w:rPr>
          <w:rFonts w:asciiTheme="majorEastAsia" w:hAnsiTheme="majorEastAsia" w:eastAsiaTheme="majorEastAsia"/>
          <w:bCs/>
          <w:color w:val="000000" w:themeColor="text1"/>
          <w:sz w:val="24"/>
          <w:szCs w:val="24"/>
        </w:rPr>
        <w:t>失信被执行人查询页面</w:t>
      </w:r>
    </w:p>
    <w:p>
      <w:pPr>
        <w:pStyle w:val="24"/>
        <w:jc w:val="center"/>
        <w:rPr>
          <w:rFonts w:asciiTheme="majorEastAsia" w:hAnsiTheme="majorEastAsia" w:eastAsiaTheme="majorEastAsia"/>
          <w:color w:val="000000" w:themeColor="text1"/>
          <w:sz w:val="24"/>
          <w:szCs w:val="24"/>
        </w:rPr>
      </w:pPr>
      <w:r>
        <w:rPr>
          <w:rFonts w:cs="Times New Roman" w:asciiTheme="majorEastAsia" w:hAnsiTheme="majorEastAsia" w:eastAsiaTheme="majorEastAsia"/>
          <w:color w:val="000000" w:themeColor="text1"/>
          <w:szCs w:val="24"/>
        </w:rPr>
        <w:drawing>
          <wp:anchor distT="0" distB="0" distL="0" distR="0" simplePos="0" relativeHeight="251659264" behindDoc="1" locked="0" layoutInCell="1" allowOverlap="1">
            <wp:simplePos x="0" y="0"/>
            <wp:positionH relativeFrom="page">
              <wp:posOffset>1209675</wp:posOffset>
            </wp:positionH>
            <wp:positionV relativeFrom="paragraph">
              <wp:posOffset>328930</wp:posOffset>
            </wp:positionV>
            <wp:extent cx="5497195" cy="2422525"/>
            <wp:effectExtent l="0" t="0" r="8255" b="0"/>
            <wp:wrapThrough wrapText="bothSides">
              <wp:wrapPolygon>
                <wp:start x="0" y="0"/>
                <wp:lineTo x="0" y="21402"/>
                <wp:lineTo x="21558" y="21402"/>
                <wp:lineTo x="21558" y="0"/>
                <wp:lineTo x="0" y="0"/>
              </wp:wrapPolygon>
            </wp:wrapThrough>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10" cstate="print"/>
                    <a:stretch>
                      <a:fillRect/>
                    </a:stretch>
                  </pic:blipFill>
                  <pic:spPr>
                    <a:xfrm>
                      <a:off x="0" y="0"/>
                      <a:ext cx="5497195" cy="2422525"/>
                    </a:xfrm>
                    <a:prstGeom prst="rect">
                      <a:avLst/>
                    </a:prstGeom>
                  </pic:spPr>
                </pic:pic>
              </a:graphicData>
            </a:graphic>
          </wp:anchor>
        </w:drawing>
      </w: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tabs>
          <w:tab w:val="left" w:pos="898"/>
        </w:tabs>
        <w:autoSpaceDE w:val="0"/>
        <w:autoSpaceDN w:val="0"/>
        <w:spacing w:before="42"/>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rPr>
      </w:pPr>
      <w:r>
        <w:rPr>
          <w:rFonts w:asciiTheme="majorEastAsia" w:hAnsiTheme="majorEastAsia" w:eastAsiaTheme="majorEastAsia"/>
          <w:color w:val="000000" w:themeColor="text1"/>
          <w:szCs w:val="24"/>
        </w:rPr>
        <w:drawing>
          <wp:anchor distT="0" distB="0" distL="0" distR="0" simplePos="0" relativeHeight="251660288" behindDoc="0" locked="0" layoutInCell="1" allowOverlap="1">
            <wp:simplePos x="0" y="0"/>
            <wp:positionH relativeFrom="page">
              <wp:posOffset>1060450</wp:posOffset>
            </wp:positionH>
            <wp:positionV relativeFrom="paragraph">
              <wp:posOffset>462915</wp:posOffset>
            </wp:positionV>
            <wp:extent cx="5478145" cy="2439035"/>
            <wp:effectExtent l="0" t="0" r="8255" b="0"/>
            <wp:wrapTopAndBottom/>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jpeg"/>
                    <pic:cNvPicPr>
                      <a:picLocks noChangeAspect="1"/>
                    </pic:cNvPicPr>
                  </pic:nvPicPr>
                  <pic:blipFill>
                    <a:blip r:embed="rId11" cstate="print"/>
                    <a:stretch>
                      <a:fillRect/>
                    </a:stretch>
                  </pic:blipFill>
                  <pic:spPr>
                    <a:xfrm>
                      <a:off x="0" y="0"/>
                      <a:ext cx="5478145" cy="2439035"/>
                    </a:xfrm>
                    <a:prstGeom prst="rect">
                      <a:avLst/>
                    </a:prstGeom>
                  </pic:spPr>
                </pic:pic>
              </a:graphicData>
            </a:graphic>
          </wp:anchor>
        </w:drawing>
      </w:r>
      <w:r>
        <w:rPr>
          <w:rFonts w:hint="eastAsia" w:cs="宋体" w:asciiTheme="majorEastAsia" w:hAnsiTheme="majorEastAsia" w:eastAsiaTheme="majorEastAsia"/>
          <w:color w:val="000000" w:themeColor="text1"/>
          <w:kern w:val="0"/>
          <w:sz w:val="24"/>
        </w:rPr>
        <w:t>2、</w:t>
      </w:r>
      <w:r>
        <w:rPr>
          <w:rFonts w:cs="宋体" w:asciiTheme="majorEastAsia" w:hAnsiTheme="majorEastAsia" w:eastAsiaTheme="majorEastAsia"/>
          <w:color w:val="000000" w:themeColor="text1"/>
          <w:kern w:val="0"/>
          <w:sz w:val="24"/>
        </w:rPr>
        <w:t>重大税收违法案件当事人名单查询页面</w:t>
      </w:r>
    </w:p>
    <w:p>
      <w:pPr>
        <w:spacing w:before="10" w:after="120"/>
        <w:rPr>
          <w:rFonts w:asciiTheme="majorEastAsia" w:hAnsiTheme="majorEastAsia" w:eastAsiaTheme="majorEastAsia"/>
          <w:color w:val="000000" w:themeColor="text1"/>
          <w:szCs w:val="24"/>
        </w:rPr>
      </w:pPr>
    </w:p>
    <w:p>
      <w:pPr>
        <w:spacing w:before="10" w:after="120"/>
        <w:rPr>
          <w:rFonts w:asciiTheme="majorEastAsia" w:hAnsiTheme="majorEastAsia" w:eastAsiaTheme="majorEastAsia"/>
          <w:color w:val="000000" w:themeColor="text1"/>
          <w:szCs w:val="24"/>
        </w:rPr>
      </w:pPr>
    </w:p>
    <w:p>
      <w:pPr>
        <w:spacing w:before="10" w:after="120"/>
        <w:rPr>
          <w:rFonts w:asciiTheme="majorEastAsia" w:hAnsiTheme="majorEastAsia" w:eastAsiaTheme="majorEastAsia"/>
          <w:color w:val="000000" w:themeColor="text1"/>
          <w:szCs w:val="24"/>
        </w:rPr>
      </w:pPr>
    </w:p>
    <w:p>
      <w:pPr>
        <w:pStyle w:val="2"/>
      </w:pPr>
    </w:p>
    <w:p>
      <w:pPr>
        <w:pStyle w:val="2"/>
      </w:pPr>
    </w:p>
    <w:p>
      <w:pPr>
        <w:pStyle w:val="2"/>
      </w:pPr>
    </w:p>
    <w:p>
      <w:pPr>
        <w:spacing w:before="10" w:after="120"/>
        <w:rPr>
          <w:rFonts w:asciiTheme="majorEastAsia" w:hAnsiTheme="majorEastAsia" w:eastAsiaTheme="majorEastAsia"/>
          <w:color w:val="000000" w:themeColor="text1"/>
          <w:szCs w:val="24"/>
        </w:rPr>
      </w:pPr>
      <w:r>
        <w:rPr>
          <w:rFonts w:hint="eastAsia" w:asciiTheme="majorEastAsia" w:hAnsiTheme="majorEastAsia" w:eastAsiaTheme="majorEastAsia"/>
          <w:color w:val="000000" w:themeColor="text1"/>
          <w:sz w:val="24"/>
          <w:szCs w:val="24"/>
        </w:rPr>
        <w:t>3、政府采购严重违法失信名单</w:t>
      </w:r>
      <w:r>
        <w:rPr>
          <w:rFonts w:asciiTheme="majorEastAsia" w:hAnsiTheme="majorEastAsia" w:eastAsiaTheme="majorEastAsia"/>
          <w:bCs/>
          <w:color w:val="000000" w:themeColor="text1"/>
          <w:sz w:val="24"/>
          <w:szCs w:val="24"/>
        </w:rPr>
        <w:t>查询页面</w:t>
      </w:r>
    </w:p>
    <w:p>
      <w:pPr>
        <w:rPr>
          <w:rFonts w:asciiTheme="majorEastAsia" w:hAnsiTheme="majorEastAsia" w:eastAsiaTheme="majorEastAsia"/>
          <w:color w:val="000000" w:themeColor="text1"/>
        </w:rPr>
      </w:pPr>
      <w:r>
        <w:rPr>
          <w:rFonts w:asciiTheme="majorEastAsia" w:hAnsiTheme="majorEastAsia" w:eastAsiaTheme="majorEastAsia"/>
          <w:color w:val="000000" w:themeColor="text1"/>
          <w:szCs w:val="24"/>
        </w:rPr>
        <w:drawing>
          <wp:anchor distT="0" distB="0" distL="114300" distR="114300" simplePos="0" relativeHeight="251661312" behindDoc="1" locked="0" layoutInCell="1" allowOverlap="1">
            <wp:simplePos x="0" y="0"/>
            <wp:positionH relativeFrom="column">
              <wp:posOffset>400685</wp:posOffset>
            </wp:positionH>
            <wp:positionV relativeFrom="paragraph">
              <wp:posOffset>108585</wp:posOffset>
            </wp:positionV>
            <wp:extent cx="5487035" cy="2559050"/>
            <wp:effectExtent l="0" t="0" r="0" b="0"/>
            <wp:wrapThrough wrapText="bothSides">
              <wp:wrapPolygon>
                <wp:start x="0" y="0"/>
                <wp:lineTo x="0" y="21386"/>
                <wp:lineTo x="21523" y="21386"/>
                <wp:lineTo x="21523" y="0"/>
                <wp:lineTo x="0" y="0"/>
              </wp:wrapPolygon>
            </wp:wrapThrough>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487035" cy="2559050"/>
                    </a:xfrm>
                    <a:prstGeom prst="rect">
                      <a:avLst/>
                    </a:prstGeom>
                  </pic:spPr>
                </pic:pic>
              </a:graphicData>
            </a:graphic>
          </wp:anchor>
        </w:drawing>
      </w: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color w:val="000000" w:themeColor="text1"/>
          <w:sz w:val="24"/>
          <w:szCs w:val="24"/>
        </w:rPr>
      </w:pPr>
    </w:p>
    <w:p>
      <w:pPr>
        <w:pStyle w:val="24"/>
        <w:jc w:val="center"/>
        <w:rPr>
          <w:rFonts w:asciiTheme="majorEastAsia" w:hAnsiTheme="majorEastAsia" w:eastAsiaTheme="majorEastAsia"/>
          <w:b/>
          <w:sz w:val="32"/>
          <w:szCs w:val="32"/>
        </w:rPr>
      </w:pPr>
    </w:p>
    <w:p>
      <w:pPr>
        <w:pStyle w:val="24"/>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法人授权书</w:t>
      </w:r>
    </w:p>
    <w:p>
      <w:pPr>
        <w:pStyle w:val="24"/>
        <w:jc w:val="center"/>
        <w:rPr>
          <w:rFonts w:asciiTheme="majorEastAsia" w:hAnsiTheme="majorEastAsia" w:eastAsiaTheme="majorEastAsia"/>
          <w:b/>
          <w:sz w:val="32"/>
          <w:szCs w:val="32"/>
        </w:rPr>
      </w:pPr>
    </w:p>
    <w:p>
      <w:pPr>
        <w:pStyle w:val="106"/>
        <w:spacing w:line="360" w:lineRule="auto"/>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本授权书声明：____________（投标人名称）授权________________（被授权人的姓名）为我方就</w:t>
      </w: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rPr>
        <w:t>项目采购活动的合法代理人，以本公司名义全权处理一切与该项目采购有关的事务。</w:t>
      </w:r>
    </w:p>
    <w:p>
      <w:pPr>
        <w:pStyle w:val="106"/>
        <w:spacing w:line="360" w:lineRule="auto"/>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本授权书于______年____月____日起生效，特此声明。</w:t>
      </w:r>
    </w:p>
    <w:p>
      <w:pPr>
        <w:pStyle w:val="106"/>
        <w:spacing w:line="360" w:lineRule="auto"/>
        <w:ind w:firstLine="480"/>
        <w:rPr>
          <w:rFonts w:asciiTheme="majorEastAsia" w:hAnsiTheme="majorEastAsia" w:eastAsiaTheme="majorEastAsia"/>
          <w:sz w:val="24"/>
          <w:szCs w:val="24"/>
        </w:rPr>
      </w:pPr>
    </w:p>
    <w:p>
      <w:pPr>
        <w:pStyle w:val="106"/>
        <w:spacing w:line="360" w:lineRule="auto"/>
        <w:ind w:firstLine="480"/>
        <w:rPr>
          <w:rFonts w:asciiTheme="majorEastAsia" w:hAnsiTheme="majorEastAsia" w:eastAsiaTheme="majorEastAsia"/>
          <w:sz w:val="24"/>
          <w:szCs w:val="24"/>
        </w:rPr>
      </w:pPr>
    </w:p>
    <w:p>
      <w:pPr>
        <w:pStyle w:val="106"/>
        <w:spacing w:line="360" w:lineRule="auto"/>
        <w:ind w:firstLine="0"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代理人（被授权人）：_______________________</w:t>
      </w:r>
    </w:p>
    <w:p>
      <w:pPr>
        <w:pStyle w:val="106"/>
        <w:spacing w:line="360" w:lineRule="auto"/>
        <w:ind w:firstLine="0"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单位名称：_____________________________________</w:t>
      </w:r>
    </w:p>
    <w:p>
      <w:pPr>
        <w:pStyle w:val="106"/>
        <w:spacing w:line="360" w:lineRule="auto"/>
        <w:ind w:firstLine="0" w:firstLineChars="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授权单位盖章：_________________________________</w:t>
      </w:r>
    </w:p>
    <w:p>
      <w:pPr>
        <w:pStyle w:val="106"/>
        <w:spacing w:line="360" w:lineRule="auto"/>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单位名称：_____________________________________</w:t>
      </w:r>
    </w:p>
    <w:p>
      <w:pPr>
        <w:pStyle w:val="106"/>
        <w:spacing w:line="360" w:lineRule="auto"/>
        <w:ind w:firstLine="480"/>
        <w:rPr>
          <w:rFonts w:asciiTheme="majorEastAsia" w:hAnsiTheme="majorEastAsia" w:eastAsiaTheme="majorEastAsia"/>
          <w:sz w:val="24"/>
          <w:szCs w:val="24"/>
          <w:u w:val="single"/>
        </w:rPr>
      </w:pPr>
      <w:r>
        <w:rPr>
          <w:rFonts w:hint="eastAsia" w:asciiTheme="majorEastAsia" w:hAnsiTheme="majorEastAsia" w:eastAsiaTheme="majorEastAsia"/>
          <w:sz w:val="24"/>
          <w:szCs w:val="24"/>
        </w:rPr>
        <w:t xml:space="preserve">      地址：</w:t>
      </w:r>
      <w:r>
        <w:rPr>
          <w:rFonts w:hint="eastAsia" w:asciiTheme="majorEastAsia" w:hAnsiTheme="majorEastAsia" w:eastAsiaTheme="majorEastAsia"/>
          <w:sz w:val="24"/>
          <w:szCs w:val="24"/>
          <w:u w:val="single"/>
        </w:rPr>
        <w:t xml:space="preserve">                                         </w:t>
      </w:r>
    </w:p>
    <w:p>
      <w:pPr>
        <w:pStyle w:val="106"/>
        <w:spacing w:line="360" w:lineRule="auto"/>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日期：                    </w:t>
      </w:r>
    </w:p>
    <w:p>
      <w:pPr>
        <w:pStyle w:val="8"/>
        <w:spacing w:line="360" w:lineRule="auto"/>
        <w:rPr>
          <w:rFonts w:asciiTheme="majorEastAsia" w:hAnsiTheme="majorEastAsia" w:eastAsiaTheme="majorEastAsia"/>
        </w:rPr>
      </w:pPr>
      <w:bookmarkStart w:id="174" w:name="_格式3__银行出具的资信证明"/>
      <w:bookmarkEnd w:id="174"/>
      <w:bookmarkStart w:id="175" w:name="_Hlt26955070"/>
      <w:bookmarkEnd w:id="175"/>
      <w:bookmarkStart w:id="176" w:name="_Hlt26671380"/>
      <w:bookmarkEnd w:id="176"/>
    </w:p>
    <w:p>
      <w:pPr>
        <w:pStyle w:val="6"/>
        <w:rPr>
          <w:rFonts w:asciiTheme="majorEastAsia" w:hAnsiTheme="majorEastAsia" w:eastAsiaTheme="majorEastAsia"/>
        </w:rPr>
      </w:pPr>
      <w:r>
        <w:rPr>
          <w:rFonts w:asciiTheme="majorEastAsia" w:hAnsiTheme="majorEastAsia" w:eastAsiaTheme="majorEastAsia"/>
        </w:rPr>
        <w:br w:type="page"/>
      </w:r>
    </w:p>
    <w:p>
      <w:pPr>
        <w:pStyle w:val="24"/>
        <w:rPr>
          <w:rFonts w:asciiTheme="majorEastAsia" w:hAnsiTheme="majorEastAsia" w:eastAsiaTheme="majorEastAsia"/>
        </w:rPr>
      </w:pPr>
    </w:p>
    <w:p>
      <w:pPr>
        <w:pStyle w:val="6"/>
        <w:rPr>
          <w:rFonts w:asciiTheme="majorEastAsia" w:hAnsiTheme="majorEastAsia" w:eastAsiaTheme="majorEastAsia"/>
          <w:sz w:val="32"/>
          <w:szCs w:val="32"/>
        </w:rPr>
      </w:pPr>
      <w:r>
        <w:rPr>
          <w:rFonts w:hint="eastAsia" w:asciiTheme="majorEastAsia" w:hAnsiTheme="majorEastAsia" w:eastAsiaTheme="majorEastAsia"/>
          <w:sz w:val="32"/>
          <w:szCs w:val="32"/>
        </w:rPr>
        <w:t>二、资格性审查响应对照表（格式）</w:t>
      </w:r>
    </w:p>
    <w:p>
      <w:pPr>
        <w:ind w:firstLine="309"/>
        <w:rPr>
          <w:rFonts w:asciiTheme="majorEastAsia" w:hAnsiTheme="majorEastAsia" w:eastAsiaTheme="majorEastAsia"/>
          <w:sz w:val="24"/>
          <w:szCs w:val="24"/>
        </w:rPr>
      </w:pPr>
      <w:r>
        <w:rPr>
          <w:rFonts w:hint="eastAsia" w:asciiTheme="majorEastAsia" w:hAnsiTheme="majorEastAsia" w:eastAsiaTheme="majorEastAsia"/>
          <w:sz w:val="24"/>
          <w:szCs w:val="24"/>
        </w:rPr>
        <w:t>投标人全称（加盖公章）：</w:t>
      </w: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5447"/>
        <w:gridCol w:w="168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序号</w:t>
            </w:r>
          </w:p>
        </w:tc>
        <w:tc>
          <w:tcPr>
            <w:tcW w:w="5447" w:type="dxa"/>
            <w:vAlign w:val="center"/>
          </w:tcPr>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资格性审查响应内容</w:t>
            </w:r>
          </w:p>
        </w:tc>
        <w:tc>
          <w:tcPr>
            <w:tcW w:w="1680" w:type="dxa"/>
            <w:vAlign w:val="center"/>
          </w:tcPr>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是否响应</w:t>
            </w:r>
          </w:p>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（填是或者否）</w:t>
            </w:r>
          </w:p>
        </w:tc>
        <w:tc>
          <w:tcPr>
            <w:tcW w:w="1785" w:type="dxa"/>
            <w:vAlign w:val="center"/>
          </w:tcPr>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投标文件中的</w:t>
            </w:r>
          </w:p>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rPr>
                <w:rFonts w:asciiTheme="majorEastAsia" w:hAnsiTheme="majorEastAsia" w:eastAsiaTheme="majorEastAsia"/>
                <w:b/>
              </w:rPr>
            </w:pPr>
            <w:r>
              <w:rPr>
                <w:rFonts w:hint="eastAsia" w:asciiTheme="majorEastAsia" w:hAnsiTheme="majorEastAsia" w:eastAsiaTheme="majorEastAsia"/>
                <w:b/>
              </w:rPr>
              <w:t>1</w:t>
            </w:r>
          </w:p>
        </w:tc>
        <w:tc>
          <w:tcPr>
            <w:tcW w:w="5447" w:type="dxa"/>
            <w:vAlign w:val="center"/>
          </w:tcPr>
          <w:p>
            <w:pPr>
              <w:spacing w:line="480" w:lineRule="exac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b/>
              </w:rPr>
            </w:pPr>
          </w:p>
        </w:tc>
        <w:tc>
          <w:tcPr>
            <w:tcW w:w="1785" w:type="dxa"/>
            <w:vAlign w:val="center"/>
          </w:tcPr>
          <w:p>
            <w:pPr>
              <w:rPr>
                <w:rFonts w:asciiTheme="majorEastAsia" w:hAnsiTheme="majorEastAsia" w:eastAsiaTheme="major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2</w:t>
            </w:r>
          </w:p>
        </w:tc>
        <w:tc>
          <w:tcPr>
            <w:tcW w:w="5447" w:type="dxa"/>
            <w:vAlign w:val="center"/>
          </w:tcPr>
          <w:p>
            <w:pPr>
              <w:spacing w:line="480" w:lineRule="exac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3</w:t>
            </w:r>
          </w:p>
        </w:tc>
        <w:tc>
          <w:tcPr>
            <w:tcW w:w="5447" w:type="dxa"/>
            <w:vAlign w:val="center"/>
          </w:tcPr>
          <w:p>
            <w:pPr>
              <w:spacing w:line="480" w:lineRule="exac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4</w:t>
            </w:r>
          </w:p>
        </w:tc>
        <w:tc>
          <w:tcPr>
            <w:tcW w:w="5447" w:type="dxa"/>
            <w:vAlign w:val="center"/>
          </w:tcPr>
          <w:p>
            <w:pPr>
              <w:spacing w:line="360" w:lineRule="auto"/>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5</w:t>
            </w:r>
          </w:p>
        </w:tc>
        <w:tc>
          <w:tcPr>
            <w:tcW w:w="5447" w:type="dxa"/>
            <w:vAlign w:val="center"/>
          </w:tcPr>
          <w:p>
            <w:pPr>
              <w:snapToGrid w:val="0"/>
              <w:spacing w:line="590" w:lineRule="atLeas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6</w:t>
            </w:r>
          </w:p>
        </w:tc>
        <w:tc>
          <w:tcPr>
            <w:tcW w:w="5447" w:type="dxa"/>
            <w:vAlign w:val="center"/>
          </w:tcPr>
          <w:p>
            <w:pPr>
              <w:snapToGrid w:val="0"/>
              <w:spacing w:line="590" w:lineRule="atLeas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7</w:t>
            </w:r>
          </w:p>
        </w:tc>
        <w:tc>
          <w:tcPr>
            <w:tcW w:w="5447" w:type="dxa"/>
            <w:vAlign w:val="center"/>
          </w:tcPr>
          <w:p>
            <w:pPr>
              <w:snapToGrid w:val="0"/>
              <w:spacing w:line="590" w:lineRule="atLeas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bl>
    <w:p>
      <w:pPr>
        <w:spacing w:line="440" w:lineRule="exact"/>
        <w:ind w:firstLine="480" w:firstLineChars="200"/>
        <w:rPr>
          <w:rFonts w:asciiTheme="majorEastAsia" w:hAnsiTheme="majorEastAsia" w:eastAsiaTheme="majorEastAsia"/>
          <w:sz w:val="24"/>
        </w:rPr>
      </w:pPr>
    </w:p>
    <w:bookmarkEnd w:id="171"/>
    <w:bookmarkEnd w:id="172"/>
    <w:bookmarkEnd w:id="173"/>
    <w:p>
      <w:pPr>
        <w:snapToGrid w:val="0"/>
        <w:spacing w:before="50" w:after="50"/>
        <w:rPr>
          <w:rFonts w:asciiTheme="majorEastAsia" w:hAnsiTheme="majorEastAsia" w:eastAsiaTheme="majorEastAsia"/>
          <w:sz w:val="44"/>
        </w:rPr>
      </w:pPr>
      <w:r>
        <w:rPr>
          <w:rFonts w:hint="eastAsia" w:asciiTheme="majorEastAsia" w:hAnsiTheme="majorEastAsia" w:eastAsiaTheme="majorEastAsia"/>
          <w:sz w:val="44"/>
        </w:rPr>
        <w:t xml:space="preserve"> </w:t>
      </w:r>
    </w:p>
    <w:p>
      <w:pPr>
        <w:snapToGrid w:val="0"/>
        <w:spacing w:before="50" w:after="50"/>
        <w:rPr>
          <w:rFonts w:asciiTheme="majorEastAsia" w:hAnsiTheme="majorEastAsia" w:eastAsiaTheme="majorEastAsia"/>
          <w:sz w:val="44"/>
        </w:rPr>
      </w:pPr>
    </w:p>
    <w:p>
      <w:pPr>
        <w:snapToGrid w:val="0"/>
        <w:spacing w:before="50" w:after="50"/>
        <w:rPr>
          <w:rFonts w:asciiTheme="majorEastAsia" w:hAnsiTheme="majorEastAsia" w:eastAsiaTheme="majorEastAsia"/>
          <w:sz w:val="44"/>
        </w:rPr>
      </w:pPr>
    </w:p>
    <w:p>
      <w:pPr>
        <w:snapToGrid w:val="0"/>
        <w:spacing w:before="50" w:after="50"/>
        <w:rPr>
          <w:rFonts w:asciiTheme="majorEastAsia" w:hAnsiTheme="majorEastAsia" w:eastAsiaTheme="majorEastAsia"/>
          <w:sz w:val="44"/>
        </w:rPr>
      </w:pPr>
    </w:p>
    <w:p>
      <w:pPr>
        <w:snapToGrid w:val="0"/>
        <w:spacing w:before="50" w:after="50"/>
        <w:rPr>
          <w:rFonts w:asciiTheme="majorEastAsia" w:hAnsiTheme="majorEastAsia" w:eastAsiaTheme="majorEastAsia"/>
          <w:sz w:val="44"/>
        </w:rPr>
      </w:pPr>
    </w:p>
    <w:p>
      <w:pPr>
        <w:pStyle w:val="6"/>
        <w:rPr>
          <w:rFonts w:asciiTheme="majorEastAsia" w:hAnsiTheme="majorEastAsia" w:eastAsiaTheme="majorEastAsia"/>
          <w:sz w:val="32"/>
          <w:szCs w:val="32"/>
        </w:rPr>
      </w:pPr>
      <w:r>
        <w:rPr>
          <w:rFonts w:asciiTheme="majorEastAsia" w:hAnsiTheme="majorEastAsia" w:eastAsiaTheme="majorEastAsia"/>
        </w:rPr>
        <w:br w:type="page"/>
      </w:r>
      <w:r>
        <w:rPr>
          <w:rFonts w:hint="eastAsia" w:asciiTheme="majorEastAsia" w:hAnsiTheme="majorEastAsia" w:eastAsiaTheme="majorEastAsia"/>
          <w:sz w:val="32"/>
          <w:szCs w:val="32"/>
        </w:rPr>
        <w:t>三、符合性检查响应对照表（格式）</w:t>
      </w:r>
    </w:p>
    <w:p>
      <w:pPr>
        <w:ind w:firstLine="309"/>
        <w:rPr>
          <w:rFonts w:asciiTheme="majorEastAsia" w:hAnsiTheme="majorEastAsia" w:eastAsiaTheme="majorEastAsia"/>
          <w:sz w:val="24"/>
          <w:szCs w:val="24"/>
        </w:rPr>
      </w:pPr>
      <w:r>
        <w:rPr>
          <w:rFonts w:hint="eastAsia" w:asciiTheme="majorEastAsia" w:hAnsiTheme="majorEastAsia" w:eastAsiaTheme="majorEastAsia"/>
          <w:sz w:val="24"/>
          <w:szCs w:val="24"/>
        </w:rPr>
        <w:t>投标人全称（加盖公章）：</w:t>
      </w: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5447"/>
        <w:gridCol w:w="168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序号</w:t>
            </w:r>
          </w:p>
        </w:tc>
        <w:tc>
          <w:tcPr>
            <w:tcW w:w="5447" w:type="dxa"/>
            <w:vAlign w:val="center"/>
          </w:tcPr>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符合性检查响应内容</w:t>
            </w:r>
          </w:p>
        </w:tc>
        <w:tc>
          <w:tcPr>
            <w:tcW w:w="1680" w:type="dxa"/>
            <w:vAlign w:val="center"/>
          </w:tcPr>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是否响应</w:t>
            </w:r>
          </w:p>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（填是或者否）</w:t>
            </w:r>
          </w:p>
        </w:tc>
        <w:tc>
          <w:tcPr>
            <w:tcW w:w="1785" w:type="dxa"/>
            <w:vAlign w:val="center"/>
          </w:tcPr>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投标文件中的</w:t>
            </w:r>
          </w:p>
          <w:p>
            <w:pPr>
              <w:snapToGrid w:val="0"/>
              <w:spacing w:line="240" w:lineRule="atLeast"/>
              <w:jc w:val="center"/>
              <w:rPr>
                <w:rFonts w:asciiTheme="majorEastAsia" w:hAnsiTheme="majorEastAsia" w:eastAsiaTheme="majorEastAsia"/>
                <w:b/>
              </w:rPr>
            </w:pPr>
            <w:r>
              <w:rPr>
                <w:rFonts w:hint="eastAsia" w:asciiTheme="majorEastAsia" w:hAnsiTheme="majorEastAsia" w:eastAsiaTheme="majorEastAsia"/>
                <w:b/>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rPr>
                <w:rFonts w:asciiTheme="majorEastAsia" w:hAnsiTheme="majorEastAsia" w:eastAsiaTheme="majorEastAsia"/>
                <w:b/>
              </w:rPr>
            </w:pPr>
            <w:r>
              <w:rPr>
                <w:rFonts w:hint="eastAsia" w:asciiTheme="majorEastAsia" w:hAnsiTheme="majorEastAsia" w:eastAsiaTheme="majorEastAsia"/>
                <w:b/>
              </w:rPr>
              <w:t>1</w:t>
            </w:r>
          </w:p>
        </w:tc>
        <w:tc>
          <w:tcPr>
            <w:tcW w:w="5447" w:type="dxa"/>
            <w:vAlign w:val="center"/>
          </w:tcPr>
          <w:p>
            <w:pPr>
              <w:spacing w:line="480" w:lineRule="exac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b/>
              </w:rPr>
            </w:pPr>
          </w:p>
        </w:tc>
        <w:tc>
          <w:tcPr>
            <w:tcW w:w="1785" w:type="dxa"/>
            <w:vAlign w:val="center"/>
          </w:tcPr>
          <w:p>
            <w:pPr>
              <w:rPr>
                <w:rFonts w:asciiTheme="majorEastAsia" w:hAnsiTheme="majorEastAsia" w:eastAsiaTheme="major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2</w:t>
            </w:r>
          </w:p>
        </w:tc>
        <w:tc>
          <w:tcPr>
            <w:tcW w:w="5447" w:type="dxa"/>
            <w:vAlign w:val="center"/>
          </w:tcPr>
          <w:p>
            <w:pPr>
              <w:spacing w:line="480" w:lineRule="exac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3</w:t>
            </w:r>
          </w:p>
        </w:tc>
        <w:tc>
          <w:tcPr>
            <w:tcW w:w="5447" w:type="dxa"/>
            <w:vAlign w:val="center"/>
          </w:tcPr>
          <w:p>
            <w:pPr>
              <w:spacing w:line="480" w:lineRule="exac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4</w:t>
            </w:r>
          </w:p>
        </w:tc>
        <w:tc>
          <w:tcPr>
            <w:tcW w:w="5447" w:type="dxa"/>
            <w:vAlign w:val="center"/>
          </w:tcPr>
          <w:p>
            <w:pPr>
              <w:spacing w:line="360" w:lineRule="auto"/>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5</w:t>
            </w:r>
          </w:p>
        </w:tc>
        <w:tc>
          <w:tcPr>
            <w:tcW w:w="5447" w:type="dxa"/>
            <w:vAlign w:val="center"/>
          </w:tcPr>
          <w:p>
            <w:pPr>
              <w:snapToGrid w:val="0"/>
              <w:spacing w:line="590" w:lineRule="atLeas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6</w:t>
            </w:r>
          </w:p>
        </w:tc>
        <w:tc>
          <w:tcPr>
            <w:tcW w:w="5447" w:type="dxa"/>
            <w:vAlign w:val="center"/>
          </w:tcPr>
          <w:p>
            <w:pPr>
              <w:snapToGrid w:val="0"/>
              <w:spacing w:line="590" w:lineRule="atLeast"/>
              <w:rPr>
                <w:rFonts w:asciiTheme="majorEastAsia" w:hAnsiTheme="majorEastAsia" w:eastAsiaTheme="majorEastAsia"/>
                <w:iCs/>
                <w:sz w:val="24"/>
                <w:szCs w:val="24"/>
              </w:rPr>
            </w:pP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rPr>
                <w:rFonts w:asciiTheme="majorEastAsia" w:hAnsiTheme="majorEastAsia" w:eastAsiaTheme="majorEastAsia"/>
              </w:rPr>
            </w:pPr>
            <w:r>
              <w:rPr>
                <w:rFonts w:hint="eastAsia" w:asciiTheme="majorEastAsia" w:hAnsiTheme="majorEastAsia" w:eastAsiaTheme="majorEastAsia"/>
              </w:rPr>
              <w:t>7</w:t>
            </w:r>
          </w:p>
        </w:tc>
        <w:tc>
          <w:tcPr>
            <w:tcW w:w="5447" w:type="dxa"/>
            <w:vAlign w:val="center"/>
          </w:tcPr>
          <w:p>
            <w:pPr>
              <w:snapToGrid w:val="0"/>
              <w:spacing w:line="590" w:lineRule="atLeast"/>
              <w:rPr>
                <w:rFonts w:asciiTheme="majorEastAsia" w:hAnsiTheme="majorEastAsia" w:eastAsiaTheme="majorEastAsia"/>
                <w:iCs/>
                <w:sz w:val="24"/>
                <w:szCs w:val="24"/>
              </w:rPr>
            </w:pPr>
            <w:r>
              <w:rPr>
                <w:rFonts w:hint="eastAsia" w:asciiTheme="majorEastAsia" w:hAnsiTheme="majorEastAsia" w:eastAsiaTheme="majorEastAsia"/>
                <w:iCs/>
                <w:sz w:val="24"/>
                <w:szCs w:val="24"/>
              </w:rPr>
              <w:t>招标文件中的其他实质性要求</w:t>
            </w:r>
          </w:p>
        </w:tc>
        <w:tc>
          <w:tcPr>
            <w:tcW w:w="1680" w:type="dxa"/>
            <w:vAlign w:val="center"/>
          </w:tcPr>
          <w:p>
            <w:pPr>
              <w:rPr>
                <w:rFonts w:asciiTheme="majorEastAsia" w:hAnsiTheme="majorEastAsia" w:eastAsiaTheme="majorEastAsia"/>
              </w:rPr>
            </w:pPr>
          </w:p>
        </w:tc>
        <w:tc>
          <w:tcPr>
            <w:tcW w:w="1785" w:type="dxa"/>
            <w:vAlign w:val="center"/>
          </w:tcPr>
          <w:p>
            <w:pPr>
              <w:rPr>
                <w:rFonts w:asciiTheme="majorEastAsia" w:hAnsiTheme="majorEastAsia" w:eastAsiaTheme="majorEastAsia"/>
              </w:rPr>
            </w:pPr>
          </w:p>
        </w:tc>
      </w:tr>
    </w:tbl>
    <w:p>
      <w:pPr>
        <w:snapToGrid w:val="0"/>
        <w:spacing w:before="50" w:after="50"/>
        <w:jc w:val="center"/>
        <w:rPr>
          <w:rFonts w:asciiTheme="majorEastAsia" w:hAnsiTheme="majorEastAsia" w:eastAsiaTheme="majorEastAsia"/>
          <w:sz w:val="32"/>
          <w:szCs w:val="32"/>
        </w:rPr>
      </w:pPr>
      <w:bookmarkStart w:id="177" w:name="_Toc120614284"/>
    </w:p>
    <w:p>
      <w:pPr>
        <w:pStyle w:val="6"/>
        <w:rPr>
          <w:rFonts w:asciiTheme="majorEastAsia" w:hAnsiTheme="majorEastAsia" w:eastAsiaTheme="majorEastAsia"/>
          <w:sz w:val="32"/>
          <w:szCs w:val="32"/>
        </w:rPr>
      </w:pPr>
      <w:r>
        <w:rPr>
          <w:rFonts w:asciiTheme="majorEastAsia" w:hAnsiTheme="majorEastAsia" w:eastAsiaTheme="majorEastAsia"/>
        </w:rPr>
        <w:br w:type="page"/>
      </w:r>
      <w:r>
        <w:rPr>
          <w:rFonts w:hint="eastAsia" w:asciiTheme="majorEastAsia" w:hAnsiTheme="majorEastAsia" w:eastAsiaTheme="majorEastAsia"/>
          <w:sz w:val="32"/>
          <w:szCs w:val="32"/>
        </w:rPr>
        <w:t>四、投标承诺书（格式）</w:t>
      </w:r>
    </w:p>
    <w:p>
      <w:pPr>
        <w:snapToGrid w:val="0"/>
        <w:spacing w:line="540" w:lineRule="exact"/>
        <w:jc w:val="center"/>
        <w:rPr>
          <w:rFonts w:asciiTheme="majorEastAsia" w:hAnsiTheme="majorEastAsia" w:eastAsiaTheme="majorEastAsia"/>
          <w:b/>
          <w:bCs/>
          <w:sz w:val="36"/>
          <w:szCs w:val="36"/>
        </w:rPr>
      </w:pPr>
    </w:p>
    <w:p>
      <w:pPr>
        <w:spacing w:line="520" w:lineRule="exact"/>
        <w:rPr>
          <w:rFonts w:asciiTheme="majorEastAsia" w:hAnsiTheme="majorEastAsia" w:eastAsiaTheme="majorEastAsia"/>
          <w:sz w:val="24"/>
          <w:szCs w:val="24"/>
        </w:rPr>
      </w:pPr>
      <w:r>
        <w:rPr>
          <w:rFonts w:hint="eastAsia" w:asciiTheme="majorEastAsia" w:hAnsiTheme="majorEastAsia" w:eastAsiaTheme="majorEastAsia"/>
          <w:sz w:val="24"/>
          <w:szCs w:val="24"/>
        </w:rPr>
        <w:t>（招标人）</w:t>
      </w: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rPr>
        <w:t>：</w:t>
      </w:r>
    </w:p>
    <w:p>
      <w:pPr>
        <w:snapToGrid w:val="0"/>
        <w:spacing w:line="540" w:lineRule="exact"/>
        <w:ind w:firstLine="480"/>
        <w:rPr>
          <w:rFonts w:asciiTheme="majorEastAsia" w:hAnsiTheme="majorEastAsia" w:eastAsiaTheme="majorEastAsia"/>
          <w:sz w:val="24"/>
          <w:szCs w:val="24"/>
        </w:rPr>
      </w:pPr>
      <w:r>
        <w:rPr>
          <w:rFonts w:hint="eastAsia" w:asciiTheme="majorEastAsia" w:hAnsiTheme="majorEastAsia" w:eastAsiaTheme="majorEastAsia"/>
          <w:sz w:val="24"/>
          <w:szCs w:val="24"/>
        </w:rPr>
        <w:t>1、根据己收到的</w:t>
      </w:r>
      <w:r>
        <w:rPr>
          <w:rFonts w:hint="eastAsia" w:asciiTheme="majorEastAsia" w:hAnsiTheme="majorEastAsia" w:eastAsiaTheme="majorEastAsia"/>
          <w:sz w:val="24"/>
          <w:szCs w:val="24"/>
          <w:u w:val="single"/>
        </w:rPr>
        <w:t xml:space="preserve">  </w:t>
      </w:r>
      <w:r>
        <w:rPr>
          <w:rFonts w:hint="eastAsia" w:cs="Arial" w:asciiTheme="majorEastAsia" w:hAnsiTheme="majorEastAsia" w:eastAsiaTheme="majorEastAsia"/>
          <w:bCs/>
          <w:kern w:val="0"/>
          <w:sz w:val="24"/>
          <w:szCs w:val="24"/>
          <w:u w:val="single"/>
        </w:rPr>
        <w:t xml:space="preserve">                </w:t>
      </w:r>
      <w:r>
        <w:rPr>
          <w:rFonts w:hint="eastAsia" w:cs="Arial" w:asciiTheme="majorEastAsia" w:hAnsiTheme="majorEastAsia" w:eastAsiaTheme="majorEastAsia"/>
          <w:b/>
          <w:bCs/>
          <w:kern w:val="0"/>
          <w:sz w:val="24"/>
          <w:szCs w:val="24"/>
          <w:u w:val="single"/>
        </w:rPr>
        <w:t xml:space="preserve"> </w:t>
      </w:r>
      <w:r>
        <w:rPr>
          <w:rFonts w:hint="eastAsia" w:asciiTheme="majorEastAsia" w:hAnsiTheme="majorEastAsia" w:eastAsiaTheme="majorEastAsia"/>
          <w:sz w:val="24"/>
          <w:szCs w:val="24"/>
        </w:rPr>
        <w:t>的招标文件，在研究了上述项目的招标文件后，遵照《中华人民共和国招标投标法》等有关规定，我单位经踏勘项目现场和研究贵方招标文件的所有内容后，决定无保留地接受招标文件所有条款，愿以人民币（大写）</w:t>
      </w:r>
      <w:r>
        <w:rPr>
          <w:rFonts w:hint="eastAsia" w:asciiTheme="majorEastAsia" w:hAnsiTheme="majorEastAsia" w:eastAsiaTheme="majorEastAsia"/>
          <w:sz w:val="24"/>
          <w:szCs w:val="24"/>
          <w:u w:val="single"/>
        </w:rPr>
        <w:t xml:space="preserve">    ￥：      ）</w:t>
      </w:r>
      <w:r>
        <w:rPr>
          <w:rFonts w:hint="eastAsia" w:asciiTheme="majorEastAsia" w:hAnsiTheme="majorEastAsia" w:eastAsiaTheme="majorEastAsia"/>
          <w:sz w:val="24"/>
          <w:szCs w:val="24"/>
        </w:rPr>
        <w:t>的总价承包本招标范围内的全部服务并承担任何质量缺陷保修责任。</w:t>
      </w:r>
    </w:p>
    <w:p>
      <w:pPr>
        <w:snapToGrid w:val="0"/>
        <w:spacing w:line="500" w:lineRule="exact"/>
        <w:ind w:firstLine="360" w:firstLineChars="150"/>
        <w:rPr>
          <w:rFonts w:asciiTheme="majorEastAsia" w:hAnsiTheme="majorEastAsia" w:eastAsiaTheme="majorEastAsia"/>
          <w:sz w:val="24"/>
          <w:szCs w:val="24"/>
        </w:rPr>
      </w:pPr>
      <w:r>
        <w:rPr>
          <w:rFonts w:hint="eastAsia" w:asciiTheme="majorEastAsia" w:hAnsiTheme="majorEastAsia" w:eastAsiaTheme="majorEastAsia"/>
          <w:sz w:val="24"/>
          <w:szCs w:val="24"/>
        </w:rPr>
        <w:t>2、质量 ：符合国家合格标准及招标文件规定的标准执行。</w:t>
      </w:r>
    </w:p>
    <w:p>
      <w:pPr>
        <w:spacing w:line="500" w:lineRule="exact"/>
        <w:ind w:right="40" w:rightChars="19" w:firstLine="360" w:firstLineChars="150"/>
        <w:rPr>
          <w:rFonts w:asciiTheme="majorEastAsia" w:hAnsiTheme="majorEastAsia" w:eastAsiaTheme="majorEastAsia"/>
          <w:sz w:val="24"/>
          <w:szCs w:val="24"/>
        </w:rPr>
      </w:pPr>
      <w:r>
        <w:rPr>
          <w:rFonts w:hint="eastAsia" w:asciiTheme="majorEastAsia" w:hAnsiTheme="majorEastAsia" w:eastAsiaTheme="majorEastAsia"/>
          <w:sz w:val="24"/>
          <w:szCs w:val="24"/>
        </w:rPr>
        <w:t>3、一旦我方中标，我方保证在</w:t>
      </w: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rPr>
        <w:t xml:space="preserve">日历天内竣工。 </w:t>
      </w:r>
    </w:p>
    <w:p>
      <w:pPr>
        <w:spacing w:line="500" w:lineRule="exact"/>
        <w:ind w:right="40" w:rightChars="19" w:firstLine="360" w:firstLineChars="150"/>
        <w:rPr>
          <w:rFonts w:asciiTheme="majorEastAsia" w:hAnsiTheme="majorEastAsia" w:eastAsiaTheme="majorEastAsia"/>
          <w:sz w:val="24"/>
          <w:szCs w:val="24"/>
        </w:rPr>
      </w:pPr>
      <w:r>
        <w:rPr>
          <w:rFonts w:hint="eastAsia" w:asciiTheme="majorEastAsia" w:hAnsiTheme="majorEastAsia" w:eastAsiaTheme="majorEastAsia"/>
          <w:sz w:val="24"/>
          <w:szCs w:val="24"/>
        </w:rPr>
        <w:t>4、本次投标，我方将派出</w:t>
      </w: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rPr>
        <w:t>作为本项目的项目负责人。</w:t>
      </w:r>
    </w:p>
    <w:p>
      <w:pPr>
        <w:spacing w:line="500" w:lineRule="exact"/>
        <w:ind w:right="40" w:rightChars="19" w:firstLine="360" w:firstLineChars="150"/>
        <w:rPr>
          <w:rFonts w:asciiTheme="majorEastAsia" w:hAnsiTheme="majorEastAsia" w:eastAsiaTheme="majorEastAsia"/>
          <w:sz w:val="24"/>
          <w:szCs w:val="24"/>
        </w:rPr>
      </w:pPr>
      <w:r>
        <w:rPr>
          <w:rFonts w:hint="eastAsia" w:asciiTheme="majorEastAsia" w:hAnsiTheme="majorEastAsia" w:eastAsiaTheme="majorEastAsia"/>
          <w:sz w:val="24"/>
          <w:szCs w:val="24"/>
        </w:rPr>
        <w:t>5、我方保证：严格遵守国家相关的各项规定。我方投标文件提供的所有资料真实、有效，如有不实，我方将放弃中标的权利，并承担由此产生的责任。</w:t>
      </w:r>
    </w:p>
    <w:p>
      <w:pPr>
        <w:spacing w:line="500" w:lineRule="exact"/>
        <w:ind w:firstLine="360" w:firstLineChars="150"/>
        <w:rPr>
          <w:rFonts w:asciiTheme="majorEastAsia" w:hAnsiTheme="majorEastAsia" w:eastAsiaTheme="majorEastAsia"/>
          <w:sz w:val="24"/>
          <w:szCs w:val="24"/>
        </w:rPr>
      </w:pPr>
      <w:r>
        <w:rPr>
          <w:rFonts w:hint="eastAsia" w:asciiTheme="majorEastAsia" w:hAnsiTheme="majorEastAsia" w:eastAsiaTheme="majorEastAsia"/>
          <w:sz w:val="24"/>
          <w:szCs w:val="24"/>
        </w:rPr>
        <w:t>6、你方的招标文件和本投标文件将成为约束双方的合同文件的组成部分。</w:t>
      </w:r>
    </w:p>
    <w:p>
      <w:pPr>
        <w:spacing w:line="500" w:lineRule="exact"/>
        <w:ind w:firstLine="734" w:firstLineChars="306"/>
        <w:rPr>
          <w:rFonts w:asciiTheme="majorEastAsia" w:hAnsiTheme="majorEastAsia" w:eastAsiaTheme="majorEastAsia"/>
          <w:sz w:val="24"/>
          <w:szCs w:val="24"/>
        </w:rPr>
      </w:pPr>
    </w:p>
    <w:p>
      <w:pPr>
        <w:spacing w:line="500" w:lineRule="exact"/>
        <w:rPr>
          <w:rFonts w:asciiTheme="majorEastAsia" w:hAnsiTheme="majorEastAsia" w:eastAsiaTheme="majorEastAsia"/>
          <w:sz w:val="24"/>
          <w:szCs w:val="24"/>
        </w:rPr>
      </w:pPr>
    </w:p>
    <w:p>
      <w:pPr>
        <w:spacing w:line="500" w:lineRule="exact"/>
        <w:ind w:firstLine="840" w:firstLineChars="35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投标人： （盖章）                                         </w:t>
      </w:r>
    </w:p>
    <w:p>
      <w:pPr>
        <w:spacing w:line="500" w:lineRule="exact"/>
        <w:ind w:firstLine="840" w:firstLineChars="350"/>
        <w:rPr>
          <w:rFonts w:asciiTheme="majorEastAsia" w:hAnsiTheme="majorEastAsia" w:eastAsiaTheme="majorEastAsia"/>
          <w:sz w:val="24"/>
          <w:szCs w:val="24"/>
        </w:rPr>
      </w:pPr>
    </w:p>
    <w:p>
      <w:pPr>
        <w:spacing w:line="500" w:lineRule="exact"/>
        <w:ind w:firstLine="840" w:firstLineChars="350"/>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法定代表人或其委托代理人： （签字或盖章）</w:t>
      </w:r>
    </w:p>
    <w:p>
      <w:pPr>
        <w:spacing w:line="500" w:lineRule="exact"/>
        <w:ind w:firstLine="840" w:firstLineChars="35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     </w:t>
      </w:r>
    </w:p>
    <w:p>
      <w:pPr>
        <w:spacing w:line="500" w:lineRule="exact"/>
        <w:ind w:firstLine="3240" w:firstLineChars="1350"/>
        <w:rPr>
          <w:rFonts w:asciiTheme="majorEastAsia" w:hAnsiTheme="majorEastAsia" w:eastAsiaTheme="majorEastAsia"/>
          <w:sz w:val="24"/>
          <w:szCs w:val="24"/>
        </w:rPr>
      </w:pPr>
      <w:r>
        <w:rPr>
          <w:rFonts w:hint="eastAsia" w:asciiTheme="majorEastAsia" w:hAnsiTheme="majorEastAsia" w:eastAsiaTheme="majorEastAsia"/>
          <w:sz w:val="24"/>
          <w:szCs w:val="24"/>
        </w:rPr>
        <w:t>日  期 :       年      月    日</w:t>
      </w:r>
    </w:p>
    <w:p>
      <w:pPr>
        <w:spacing w:line="520" w:lineRule="exact"/>
        <w:rPr>
          <w:rFonts w:asciiTheme="majorEastAsia" w:hAnsiTheme="majorEastAsia" w:eastAsiaTheme="majorEastAsia"/>
          <w:b/>
          <w:sz w:val="28"/>
          <w:szCs w:val="28"/>
        </w:rPr>
      </w:pPr>
    </w:p>
    <w:p>
      <w:pPr>
        <w:snapToGrid w:val="0"/>
        <w:spacing w:before="50" w:after="120" w:afterLines="50"/>
        <w:jc w:val="left"/>
        <w:rPr>
          <w:rFonts w:asciiTheme="majorEastAsia" w:hAnsiTheme="majorEastAsia" w:eastAsiaTheme="majorEastAsia"/>
          <w:sz w:val="24"/>
          <w:szCs w:val="20"/>
        </w:rPr>
      </w:pPr>
      <w:r>
        <w:rPr>
          <w:rFonts w:hint="eastAsia" w:asciiTheme="majorEastAsia" w:hAnsiTheme="majorEastAsia" w:eastAsiaTheme="majorEastAsia"/>
          <w:sz w:val="44"/>
        </w:rPr>
        <w:t xml:space="preserve">          </w:t>
      </w:r>
    </w:p>
    <w:p>
      <w:pPr>
        <w:snapToGrid w:val="0"/>
        <w:spacing w:before="50" w:after="50"/>
        <w:jc w:val="center"/>
        <w:rPr>
          <w:rFonts w:asciiTheme="majorEastAsia" w:hAnsiTheme="majorEastAsia" w:eastAsiaTheme="majorEastAsia"/>
          <w:sz w:val="32"/>
          <w:szCs w:val="32"/>
        </w:rPr>
      </w:pPr>
    </w:p>
    <w:p>
      <w:pPr>
        <w:pStyle w:val="6"/>
        <w:rPr>
          <w:rFonts w:asciiTheme="majorEastAsia" w:hAnsiTheme="majorEastAsia" w:eastAsiaTheme="majorEastAsia"/>
          <w:sz w:val="32"/>
          <w:szCs w:val="32"/>
        </w:rPr>
      </w:pPr>
      <w:r>
        <w:rPr>
          <w:rFonts w:asciiTheme="majorEastAsia" w:hAnsiTheme="majorEastAsia" w:eastAsiaTheme="majorEastAsia"/>
        </w:rPr>
        <w:br w:type="page"/>
      </w:r>
      <w:r>
        <w:rPr>
          <w:rFonts w:hint="eastAsia" w:asciiTheme="majorEastAsia" w:hAnsiTheme="majorEastAsia" w:eastAsiaTheme="majorEastAsia"/>
          <w:sz w:val="32"/>
          <w:szCs w:val="32"/>
        </w:rPr>
        <w:t>五、开标一览表（格式）</w:t>
      </w:r>
    </w:p>
    <w:p>
      <w:pPr>
        <w:snapToGrid w:val="0"/>
        <w:spacing w:before="50" w:after="50"/>
        <w:jc w:val="center"/>
        <w:rPr>
          <w:rFonts w:asciiTheme="majorEastAsia" w:hAnsiTheme="majorEastAsia" w:eastAsiaTheme="majorEastAsia"/>
          <w:sz w:val="32"/>
          <w:szCs w:val="32"/>
        </w:rPr>
      </w:pPr>
    </w:p>
    <w:tbl>
      <w:tblPr>
        <w:tblStyle w:val="45"/>
        <w:tblW w:w="10145"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7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6" w:hRule="atLeast"/>
        </w:trPr>
        <w:tc>
          <w:tcPr>
            <w:tcW w:w="2700" w:type="dxa"/>
            <w:vAlign w:val="center"/>
          </w:tcPr>
          <w:p>
            <w:pPr>
              <w:ind w:firstLine="420" w:firstLineChars="200"/>
              <w:rPr>
                <w:rFonts w:asciiTheme="majorEastAsia" w:hAnsiTheme="majorEastAsia" w:eastAsiaTheme="majorEastAsia"/>
                <w:szCs w:val="28"/>
              </w:rPr>
            </w:pPr>
            <w:r>
              <w:rPr>
                <w:rFonts w:hint="eastAsia" w:asciiTheme="majorEastAsia" w:hAnsiTheme="majorEastAsia" w:eastAsiaTheme="majorEastAsia"/>
                <w:szCs w:val="28"/>
              </w:rPr>
              <w:t>项 目 编 号</w:t>
            </w:r>
          </w:p>
        </w:tc>
        <w:tc>
          <w:tcPr>
            <w:tcW w:w="7445" w:type="dxa"/>
            <w:vAlign w:val="center"/>
          </w:tcPr>
          <w:p>
            <w:pPr>
              <w:pStyle w:val="6"/>
              <w:jc w:val="both"/>
              <w:rPr>
                <w:rFonts w:asciiTheme="majorEastAsia" w:hAnsiTheme="majorEastAsia" w:eastAsiaTheme="majorEastAsia"/>
                <w:b w:val="0"/>
                <w:sz w:val="24"/>
                <w:szCs w:val="24"/>
              </w:rPr>
            </w:pPr>
            <w:r>
              <w:rPr>
                <w:rFonts w:hint="eastAsia" w:asciiTheme="majorEastAsia" w:hAnsiTheme="majorEastAsia" w:eastAsiaTheme="majorEastAsia"/>
                <w:b w:val="0"/>
                <w:sz w:val="21"/>
                <w:szCs w:val="21"/>
              </w:rPr>
              <w:t xml:space="preserve"> </w:t>
            </w:r>
            <w:r>
              <w:rPr>
                <w:rFonts w:hint="eastAsia" w:asciiTheme="majorEastAsia" w:hAnsiTheme="majorEastAsia" w:eastAsiaTheme="majorEastAsia"/>
                <w:b w:val="0"/>
                <w:sz w:val="24"/>
                <w:szCs w:val="24"/>
              </w:rPr>
              <w:t>SY2021-076-GC-</w:t>
            </w:r>
            <w:r>
              <w:rPr>
                <w:rFonts w:asciiTheme="majorEastAsia" w:hAnsiTheme="majorEastAsia" w:eastAsiaTheme="majorEastAsia"/>
                <w:b w:val="0"/>
                <w:sz w:val="24"/>
                <w:szCs w:val="24"/>
              </w:rPr>
              <w:t>JC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trPr>
        <w:tc>
          <w:tcPr>
            <w:tcW w:w="2700" w:type="dxa"/>
            <w:vAlign w:val="center"/>
          </w:tcPr>
          <w:p>
            <w:pPr>
              <w:ind w:firstLine="420" w:firstLineChars="200"/>
              <w:rPr>
                <w:rFonts w:asciiTheme="majorEastAsia" w:hAnsiTheme="majorEastAsia" w:eastAsiaTheme="majorEastAsia"/>
                <w:szCs w:val="28"/>
              </w:rPr>
            </w:pPr>
            <w:r>
              <w:rPr>
                <w:rFonts w:hint="eastAsia" w:asciiTheme="majorEastAsia" w:hAnsiTheme="majorEastAsia" w:eastAsiaTheme="majorEastAsia"/>
                <w:szCs w:val="28"/>
              </w:rPr>
              <w:t>项 目 名 称</w:t>
            </w:r>
          </w:p>
        </w:tc>
        <w:tc>
          <w:tcPr>
            <w:tcW w:w="7445" w:type="dxa"/>
            <w:vAlign w:val="center"/>
          </w:tcPr>
          <w:p>
            <w:pPr>
              <w:pStyle w:val="6"/>
              <w:rPr>
                <w:rFonts w:asciiTheme="majorEastAsia" w:hAnsiTheme="majorEastAsia" w:eastAsiaTheme="majorEastAsia"/>
                <w:b w:val="0"/>
                <w:sz w:val="24"/>
                <w:szCs w:val="24"/>
              </w:rPr>
            </w:pPr>
            <w:r>
              <w:rPr>
                <w:rFonts w:hint="eastAsia" w:asciiTheme="majorEastAsia" w:hAnsiTheme="majorEastAsia" w:eastAsiaTheme="majorEastAsia"/>
                <w:b w:val="0"/>
                <w:sz w:val="24"/>
                <w:szCs w:val="24"/>
              </w:rPr>
              <w:t>江苏医药职业学院博士后基地C5楼外环境改造工程项目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rFonts w:asciiTheme="majorEastAsia" w:hAnsiTheme="majorEastAsia" w:eastAsiaTheme="majorEastAsia"/>
                <w:szCs w:val="28"/>
              </w:rPr>
            </w:pPr>
            <w:r>
              <w:rPr>
                <w:rFonts w:hint="eastAsia" w:asciiTheme="majorEastAsia" w:hAnsiTheme="majorEastAsia" w:eastAsiaTheme="majorEastAsia"/>
                <w:b/>
                <w:bCs/>
                <w:szCs w:val="28"/>
              </w:rPr>
              <w:t>项目投标报价：（大写）</w:t>
            </w:r>
            <w:r>
              <w:rPr>
                <w:rFonts w:hint="eastAsia" w:asciiTheme="majorEastAsia" w:hAnsiTheme="majorEastAsia" w:eastAsiaTheme="majorEastAsia"/>
                <w:b/>
                <w:bCs/>
                <w:szCs w:val="28"/>
                <w:u w:val="single"/>
              </w:rPr>
              <w:t xml:space="preserve">                       </w:t>
            </w:r>
            <w:r>
              <w:rPr>
                <w:rFonts w:hint="eastAsia" w:asciiTheme="majorEastAsia" w:hAnsiTheme="majorEastAsia" w:eastAsiaTheme="majorEastAsia"/>
                <w:b/>
                <w:bCs/>
                <w:szCs w:val="28"/>
              </w:rPr>
              <w:t>，小写：</w:t>
            </w:r>
            <w:r>
              <w:rPr>
                <w:rFonts w:hint="eastAsia" w:asciiTheme="majorEastAsia" w:hAnsiTheme="majorEastAsia" w:eastAsiaTheme="majorEastAsia"/>
                <w:b/>
                <w:bCs/>
                <w:szCs w:val="28"/>
                <w:u w:val="single"/>
              </w:rPr>
              <w:t xml:space="preserve">                     </w:t>
            </w:r>
            <w:r>
              <w:rPr>
                <w:rFonts w:hint="eastAsia" w:asciiTheme="majorEastAsia" w:hAnsiTheme="majorEastAsia" w:eastAsiaTheme="majorEastAsia"/>
                <w:b/>
                <w:bCs/>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rFonts w:asciiTheme="majorEastAsia" w:hAnsiTheme="majorEastAsia" w:eastAsiaTheme="majorEastAsia"/>
                <w:b/>
                <w:bCs/>
                <w:szCs w:val="28"/>
              </w:rPr>
            </w:pPr>
            <w:r>
              <w:rPr>
                <w:rFonts w:hint="eastAsia" w:asciiTheme="majorEastAsia" w:hAnsiTheme="majorEastAsia" w:eastAsiaTheme="majorEastAsia"/>
                <w:b/>
                <w:bCs/>
                <w:szCs w:val="28"/>
              </w:rPr>
              <w:t>是否提供《中小企业声明函》：</w:t>
            </w:r>
            <w:r>
              <w:rPr>
                <w:rFonts w:hint="eastAsia" w:asciiTheme="majorEastAsia" w:hAnsiTheme="majorEastAsia" w:eastAsiaTheme="majorEastAsia"/>
                <w:b/>
                <w:bCs/>
                <w:szCs w:val="28"/>
                <w:u w:val="single"/>
              </w:rPr>
              <w:t xml:space="preserve">  是/否   </w:t>
            </w:r>
            <w:r>
              <w:rPr>
                <w:rFonts w:hint="eastAsia" w:asciiTheme="majorEastAsia" w:hAnsiTheme="majorEastAsia" w:eastAsiaTheme="majorEastAsia"/>
                <w:b/>
                <w:bCs/>
                <w:szCs w:val="28"/>
              </w:rPr>
              <w:t xml:space="preserve">           见</w:t>
            </w:r>
            <w:r>
              <w:rPr>
                <w:rFonts w:hint="eastAsia" w:asciiTheme="majorEastAsia" w:hAnsiTheme="majorEastAsia" w:eastAsiaTheme="majorEastAsia"/>
                <w:b/>
                <w:bCs/>
                <w:szCs w:val="28"/>
                <w:u w:val="single"/>
              </w:rPr>
              <w:t>（          ）</w:t>
            </w:r>
            <w:r>
              <w:rPr>
                <w:rFonts w:hint="eastAsia" w:asciiTheme="majorEastAsia" w:hAnsiTheme="majorEastAsia" w:eastAsiaTheme="majorEastAsia"/>
                <w:b/>
                <w:bCs/>
                <w:szCs w:val="28"/>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rFonts w:asciiTheme="majorEastAsia" w:hAnsiTheme="majorEastAsia" w:eastAsiaTheme="majorEastAsia"/>
                <w:b/>
                <w:bCs/>
                <w:szCs w:val="28"/>
              </w:rPr>
            </w:pPr>
            <w:r>
              <w:rPr>
                <w:rFonts w:hint="eastAsia" w:asciiTheme="majorEastAsia" w:hAnsiTheme="majorEastAsia" w:eastAsiaTheme="majorEastAsia"/>
                <w:b/>
                <w:bCs/>
                <w:szCs w:val="28"/>
              </w:rPr>
              <w:t>本公司在本次政府采购活动中提供的小微型企业产品报价合计为人民币（大写）</w:t>
            </w:r>
            <w:r>
              <w:rPr>
                <w:rFonts w:hint="eastAsia" w:asciiTheme="majorEastAsia" w:hAnsiTheme="majorEastAsia" w:eastAsiaTheme="majorEastAsia"/>
                <w:b/>
                <w:bCs/>
                <w:szCs w:val="28"/>
                <w:u w:val="single"/>
              </w:rPr>
              <w:t xml:space="preserve">      </w:t>
            </w:r>
            <w:r>
              <w:rPr>
                <w:rFonts w:hint="eastAsia" w:asciiTheme="majorEastAsia" w:hAnsiTheme="majorEastAsia" w:eastAsiaTheme="majorEastAsia"/>
                <w:b/>
                <w:bCs/>
                <w:szCs w:val="28"/>
              </w:rPr>
              <w:t>元整（￥：</w:t>
            </w:r>
            <w:r>
              <w:rPr>
                <w:rFonts w:hint="eastAsia" w:asciiTheme="majorEastAsia" w:hAnsiTheme="majorEastAsia" w:eastAsiaTheme="majorEastAsia"/>
                <w:b/>
                <w:bCs/>
                <w:szCs w:val="28"/>
                <w:u w:val="single"/>
              </w:rPr>
              <w:t xml:space="preserve">       </w:t>
            </w:r>
            <w:r>
              <w:rPr>
                <w:rFonts w:hint="eastAsia" w:asciiTheme="majorEastAsia" w:hAnsiTheme="majorEastAsia" w:eastAsiaTheme="majorEastAsia"/>
                <w:b/>
                <w:bCs/>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rFonts w:asciiTheme="majorEastAsia" w:hAnsiTheme="majorEastAsia" w:eastAsiaTheme="majorEastAsia"/>
                <w:b/>
                <w:bCs/>
                <w:szCs w:val="28"/>
              </w:rPr>
            </w:pPr>
            <w:r>
              <w:rPr>
                <w:rFonts w:hint="eastAsia" w:asciiTheme="majorEastAsia" w:hAnsiTheme="majorEastAsia" w:eastAsiaTheme="majorEastAsia"/>
                <w:b/>
                <w:bCs/>
                <w:szCs w:val="28"/>
              </w:rPr>
              <w:t>项目实施时间（供期或工期）：                        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10145" w:type="dxa"/>
            <w:gridSpan w:val="2"/>
            <w:vAlign w:val="center"/>
          </w:tcPr>
          <w:p>
            <w:pPr>
              <w:rPr>
                <w:rFonts w:asciiTheme="majorEastAsia" w:hAnsiTheme="majorEastAsia" w:eastAsiaTheme="majorEastAsia"/>
                <w:b/>
                <w:bCs/>
                <w:szCs w:val="28"/>
              </w:rPr>
            </w:pPr>
            <w:r>
              <w:rPr>
                <w:rFonts w:hint="eastAsia" w:asciiTheme="majorEastAsia" w:hAnsiTheme="majorEastAsia" w:eastAsiaTheme="majorEastAsia"/>
                <w:b/>
                <w:bCs/>
                <w:szCs w:val="28"/>
              </w:rPr>
              <w:t>项目负责人项目：                                    联系电话：</w:t>
            </w:r>
          </w:p>
        </w:tc>
      </w:tr>
    </w:tbl>
    <w:p>
      <w:pPr>
        <w:spacing w:line="180" w:lineRule="atLeast"/>
        <w:rPr>
          <w:rFonts w:asciiTheme="majorEastAsia" w:hAnsiTheme="majorEastAsia" w:eastAsiaTheme="majorEastAsia"/>
          <w:szCs w:val="28"/>
        </w:rPr>
      </w:pPr>
      <w:r>
        <w:rPr>
          <w:rFonts w:hint="eastAsia" w:asciiTheme="majorEastAsia" w:hAnsiTheme="majorEastAsia" w:eastAsiaTheme="majorEastAsia"/>
          <w:szCs w:val="28"/>
        </w:rPr>
        <w:t>填写说明：</w:t>
      </w:r>
    </w:p>
    <w:p>
      <w:pPr>
        <w:numPr>
          <w:ilvl w:val="0"/>
          <w:numId w:val="2"/>
        </w:numPr>
        <w:rPr>
          <w:rFonts w:asciiTheme="majorEastAsia" w:hAnsiTheme="majorEastAsia" w:eastAsiaTheme="majorEastAsia"/>
          <w:sz w:val="24"/>
        </w:rPr>
      </w:pPr>
      <w:r>
        <w:rPr>
          <w:rFonts w:hint="eastAsia" w:asciiTheme="majorEastAsia" w:hAnsiTheme="majorEastAsia" w:eastAsiaTheme="majorEastAsia"/>
          <w:sz w:val="24"/>
        </w:rPr>
        <w:t>开标一览表不得填报选择性报价，否则将作为无效投标；</w:t>
      </w:r>
    </w:p>
    <w:p>
      <w:pPr>
        <w:numPr>
          <w:ilvl w:val="0"/>
          <w:numId w:val="2"/>
        </w:numPr>
        <w:rPr>
          <w:rFonts w:asciiTheme="majorEastAsia" w:hAnsiTheme="majorEastAsia" w:eastAsiaTheme="majorEastAsia"/>
          <w:sz w:val="24"/>
        </w:rPr>
      </w:pPr>
      <w:r>
        <w:rPr>
          <w:rFonts w:hint="eastAsia" w:asciiTheme="majorEastAsia" w:hAnsiTheme="majorEastAsia" w:eastAsiaTheme="majorEastAsia"/>
          <w:sz w:val="24"/>
        </w:rPr>
        <w:t>开标一览表中报价与投标分项明细报价表中不符时时，以开标一览表为准；</w:t>
      </w:r>
    </w:p>
    <w:p>
      <w:pPr>
        <w:ind w:firstLine="2640" w:firstLineChars="600"/>
        <w:rPr>
          <w:rFonts w:asciiTheme="majorEastAsia" w:hAnsiTheme="majorEastAsia" w:eastAsiaTheme="majorEastAsia"/>
          <w:sz w:val="44"/>
        </w:rPr>
      </w:pPr>
    </w:p>
    <w:p>
      <w:pPr>
        <w:ind w:firstLine="480"/>
        <w:rPr>
          <w:rFonts w:asciiTheme="majorEastAsia" w:hAnsiTheme="majorEastAsia" w:eastAsiaTheme="majorEastAsia"/>
          <w:sz w:val="24"/>
        </w:rPr>
      </w:pPr>
    </w:p>
    <w:p>
      <w:pPr>
        <w:ind w:firstLine="480"/>
        <w:rPr>
          <w:rFonts w:asciiTheme="majorEastAsia" w:hAnsiTheme="majorEastAsia" w:eastAsiaTheme="majorEastAsia"/>
          <w:sz w:val="24"/>
        </w:rPr>
      </w:pPr>
    </w:p>
    <w:p>
      <w:pPr>
        <w:ind w:right="480" w:firstLine="480"/>
        <w:jc w:val="center"/>
        <w:rPr>
          <w:rFonts w:asciiTheme="majorEastAsia" w:hAnsiTheme="majorEastAsia" w:eastAsiaTheme="majorEastAsia"/>
          <w:sz w:val="24"/>
        </w:rPr>
      </w:pPr>
      <w:r>
        <w:rPr>
          <w:rFonts w:hint="eastAsia" w:asciiTheme="majorEastAsia" w:hAnsiTheme="majorEastAsia" w:eastAsiaTheme="majorEastAsia"/>
          <w:bCs/>
          <w:sz w:val="24"/>
        </w:rPr>
        <w:t xml:space="preserve">                                                 投标人（公章）：</w:t>
      </w:r>
    </w:p>
    <w:p>
      <w:pPr>
        <w:ind w:firstLine="480"/>
        <w:rPr>
          <w:rFonts w:asciiTheme="majorEastAsia" w:hAnsiTheme="majorEastAsia" w:eastAsiaTheme="majorEastAsia"/>
          <w:sz w:val="24"/>
        </w:rPr>
      </w:pPr>
      <w:r>
        <w:rPr>
          <w:rFonts w:hint="eastAsia" w:asciiTheme="majorEastAsia" w:hAnsiTheme="majorEastAsia" w:eastAsiaTheme="majorEastAsia"/>
          <w:sz w:val="24"/>
        </w:rPr>
        <w:t xml:space="preserve">                                              日期：  </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年</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月</w:t>
      </w:r>
      <w:r>
        <w:rPr>
          <w:rFonts w:hint="eastAsia" w:asciiTheme="majorEastAsia" w:hAnsiTheme="majorEastAsia" w:eastAsiaTheme="majorEastAsia"/>
          <w:sz w:val="24"/>
          <w:u w:val="single"/>
        </w:rPr>
        <w:t xml:space="preserve">   </w:t>
      </w:r>
      <w:r>
        <w:rPr>
          <w:rFonts w:hint="eastAsia" w:asciiTheme="majorEastAsia" w:hAnsiTheme="majorEastAsia" w:eastAsiaTheme="majorEastAsia"/>
          <w:sz w:val="24"/>
        </w:rPr>
        <w:t>日</w:t>
      </w:r>
    </w:p>
    <w:p>
      <w:pPr>
        <w:pStyle w:val="44"/>
        <w:ind w:firstLine="0" w:firstLineChars="0"/>
        <w:rPr>
          <w:rFonts w:asciiTheme="majorEastAsia" w:hAnsiTheme="majorEastAsia" w:eastAsiaTheme="majorEastAsia"/>
        </w:rPr>
      </w:pPr>
    </w:p>
    <w:p>
      <w:pPr>
        <w:pStyle w:val="6"/>
        <w:rPr>
          <w:rFonts w:asciiTheme="majorEastAsia" w:hAnsiTheme="majorEastAsia" w:eastAsiaTheme="majorEastAsia"/>
          <w:sz w:val="24"/>
          <w:szCs w:val="24"/>
        </w:rPr>
      </w:pPr>
      <w:r>
        <w:rPr>
          <w:rFonts w:asciiTheme="majorEastAsia" w:hAnsiTheme="majorEastAsia" w:eastAsiaTheme="majorEastAsia"/>
        </w:rPr>
        <w:br w:type="page"/>
      </w:r>
    </w:p>
    <w:p>
      <w:pPr>
        <w:spacing w:line="460" w:lineRule="exact"/>
        <w:jc w:val="center"/>
        <w:rPr>
          <w:rFonts w:asciiTheme="majorEastAsia" w:hAnsiTheme="majorEastAsia" w:eastAsiaTheme="majorEastAsia"/>
          <w:sz w:val="24"/>
          <w:szCs w:val="24"/>
        </w:rPr>
      </w:pPr>
    </w:p>
    <w:p>
      <w:pPr>
        <w:widowControl/>
        <w:ind w:firstLine="2249" w:firstLineChars="700"/>
        <w:jc w:val="left"/>
        <w:rPr>
          <w:rFonts w:asciiTheme="majorEastAsia" w:hAnsiTheme="majorEastAsia" w:eastAsiaTheme="majorEastAsia"/>
          <w:b/>
          <w:bCs/>
          <w:sz w:val="32"/>
          <w:szCs w:val="32"/>
        </w:rPr>
      </w:pPr>
      <w:r>
        <w:rPr>
          <w:rFonts w:hint="eastAsia" w:asciiTheme="majorEastAsia" w:hAnsiTheme="majorEastAsia" w:eastAsiaTheme="majorEastAsia"/>
          <w:b/>
          <w:bCs/>
          <w:sz w:val="32"/>
          <w:szCs w:val="32"/>
        </w:rPr>
        <w:t>中小企业声明函（工程、服务）</w:t>
      </w:r>
    </w:p>
    <w:p>
      <w:pPr>
        <w:pStyle w:val="2"/>
        <w:rPr>
          <w:rFonts w:asciiTheme="majorEastAsia" w:hAnsiTheme="majorEastAsia" w:eastAsiaTheme="majorEastAsia"/>
        </w:rPr>
      </w:pPr>
    </w:p>
    <w:p>
      <w:pPr>
        <w:widowControl/>
        <w:spacing w:line="480" w:lineRule="exact"/>
        <w:ind w:firstLine="480" w:firstLineChars="200"/>
        <w:jc w:val="left"/>
        <w:rPr>
          <w:rFonts w:cs="宋体" w:asciiTheme="majorEastAsia" w:hAnsiTheme="majorEastAsia" w:eastAsiaTheme="majorEastAsia"/>
          <w:sz w:val="24"/>
          <w:szCs w:val="28"/>
        </w:rPr>
      </w:pPr>
      <w:r>
        <w:rPr>
          <w:rFonts w:hint="eastAsia" w:cs="宋体" w:asciiTheme="majorEastAsia" w:hAnsiTheme="majorEastAsia" w:eastAsiaTheme="majorEastAsia"/>
          <w:sz w:val="24"/>
          <w:szCs w:val="28"/>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480" w:lineRule="exact"/>
        <w:ind w:firstLine="480" w:firstLineChars="200"/>
        <w:jc w:val="left"/>
        <w:rPr>
          <w:rFonts w:cs="宋体" w:asciiTheme="majorEastAsia" w:hAnsiTheme="majorEastAsia" w:eastAsiaTheme="majorEastAsia"/>
          <w:sz w:val="24"/>
          <w:szCs w:val="28"/>
        </w:rPr>
      </w:pPr>
      <w:r>
        <w:rPr>
          <w:rFonts w:hint="eastAsia" w:cs="宋体" w:asciiTheme="majorEastAsia" w:hAnsiTheme="majorEastAsia" w:eastAsiaTheme="majorEastAsia"/>
          <w:sz w:val="24"/>
          <w:szCs w:val="28"/>
        </w:rPr>
        <w:t>1.</w:t>
      </w:r>
      <w:r>
        <w:rPr>
          <w:rFonts w:hint="eastAsia" w:cs="宋体" w:asciiTheme="majorEastAsia" w:hAnsiTheme="majorEastAsia" w:eastAsiaTheme="majorEastAsia"/>
          <w:i/>
          <w:iCs/>
          <w:sz w:val="24"/>
          <w:szCs w:val="28"/>
          <w:u w:val="single"/>
        </w:rPr>
        <w:t xml:space="preserve">（标的名称） </w:t>
      </w:r>
      <w:r>
        <w:rPr>
          <w:rFonts w:hint="eastAsia" w:cs="宋体" w:asciiTheme="majorEastAsia" w:hAnsiTheme="majorEastAsia" w:eastAsiaTheme="majorEastAsia"/>
          <w:sz w:val="24"/>
          <w:szCs w:val="28"/>
        </w:rPr>
        <w:t>，属于</w:t>
      </w:r>
      <w:r>
        <w:rPr>
          <w:rFonts w:hint="eastAsia" w:cs="宋体" w:asciiTheme="majorEastAsia" w:hAnsiTheme="majorEastAsia" w:eastAsiaTheme="majorEastAsia"/>
          <w:i/>
          <w:iCs/>
          <w:sz w:val="24"/>
          <w:szCs w:val="28"/>
          <w:u w:val="single"/>
        </w:rPr>
        <w:t>（采购文件中明确的所属行业）</w:t>
      </w:r>
      <w:r>
        <w:rPr>
          <w:rFonts w:hint="eastAsia" w:cs="宋体" w:asciiTheme="majorEastAsia" w:hAnsiTheme="majorEastAsia" w:eastAsiaTheme="majorEastAsia"/>
          <w:sz w:val="24"/>
          <w:szCs w:val="28"/>
        </w:rPr>
        <w:t>行业；制造商为</w:t>
      </w:r>
      <w:r>
        <w:rPr>
          <w:rFonts w:hint="eastAsia" w:cs="宋体" w:asciiTheme="majorEastAsia" w:hAnsiTheme="majorEastAsia" w:eastAsiaTheme="majorEastAsia"/>
          <w:i/>
          <w:iCs/>
          <w:sz w:val="24"/>
          <w:szCs w:val="28"/>
          <w:u w:val="single"/>
        </w:rPr>
        <w:t>（企业名称）</w:t>
      </w:r>
      <w:r>
        <w:rPr>
          <w:rFonts w:hint="eastAsia" w:cs="宋体" w:asciiTheme="majorEastAsia" w:hAnsiTheme="majorEastAsia" w:eastAsiaTheme="majorEastAsia"/>
          <w:sz w:val="24"/>
          <w:szCs w:val="28"/>
        </w:rPr>
        <w:t>，从业人员</w:t>
      </w:r>
      <w:r>
        <w:rPr>
          <w:rFonts w:hint="eastAsia" w:cs="宋体" w:asciiTheme="majorEastAsia" w:hAnsiTheme="majorEastAsia" w:eastAsiaTheme="majorEastAsia"/>
          <w:i/>
          <w:iCs/>
          <w:sz w:val="24"/>
          <w:szCs w:val="28"/>
          <w:u w:val="single"/>
        </w:rPr>
        <w:t xml:space="preserve">        </w:t>
      </w:r>
      <w:r>
        <w:rPr>
          <w:rFonts w:hint="eastAsia" w:cs="宋体" w:asciiTheme="majorEastAsia" w:hAnsiTheme="majorEastAsia" w:eastAsiaTheme="majorEastAsia"/>
          <w:sz w:val="24"/>
          <w:szCs w:val="28"/>
        </w:rPr>
        <w:t>人，营业收入为</w:t>
      </w:r>
      <w:r>
        <w:rPr>
          <w:rFonts w:hint="eastAsia" w:cs="宋体" w:asciiTheme="majorEastAsia" w:hAnsiTheme="majorEastAsia" w:eastAsiaTheme="majorEastAsia"/>
          <w:i/>
          <w:iCs/>
          <w:sz w:val="24"/>
          <w:szCs w:val="28"/>
          <w:u w:val="single"/>
        </w:rPr>
        <w:t xml:space="preserve">        </w:t>
      </w:r>
      <w:r>
        <w:rPr>
          <w:rFonts w:hint="eastAsia" w:cs="宋体" w:asciiTheme="majorEastAsia" w:hAnsiTheme="majorEastAsia" w:eastAsiaTheme="majorEastAsia"/>
          <w:sz w:val="24"/>
          <w:szCs w:val="28"/>
        </w:rPr>
        <w:t>万元，资产总额为</w:t>
      </w:r>
      <w:r>
        <w:rPr>
          <w:rFonts w:hint="eastAsia" w:cs="宋体" w:asciiTheme="majorEastAsia" w:hAnsiTheme="majorEastAsia" w:eastAsiaTheme="majorEastAsia"/>
          <w:i/>
          <w:iCs/>
          <w:sz w:val="24"/>
          <w:szCs w:val="28"/>
          <w:u w:val="single"/>
        </w:rPr>
        <w:t xml:space="preserve">        </w:t>
      </w:r>
      <w:r>
        <w:rPr>
          <w:rFonts w:hint="eastAsia" w:cs="宋体" w:asciiTheme="majorEastAsia" w:hAnsiTheme="majorEastAsia" w:eastAsiaTheme="majorEastAsia"/>
          <w:sz w:val="24"/>
          <w:szCs w:val="28"/>
        </w:rPr>
        <w:t>万元，属于</w:t>
      </w:r>
      <w:r>
        <w:rPr>
          <w:rFonts w:hint="eastAsia" w:cs="宋体" w:asciiTheme="majorEastAsia" w:hAnsiTheme="majorEastAsia" w:eastAsiaTheme="majorEastAsia"/>
          <w:i/>
          <w:iCs/>
          <w:sz w:val="24"/>
          <w:szCs w:val="28"/>
          <w:u w:val="single"/>
        </w:rPr>
        <w:t>（中型企业、小型企业、微型企业）</w:t>
      </w:r>
      <w:r>
        <w:rPr>
          <w:rFonts w:hint="eastAsia" w:cs="宋体" w:asciiTheme="majorEastAsia" w:hAnsiTheme="majorEastAsia" w:eastAsiaTheme="majorEastAsia"/>
          <w:sz w:val="24"/>
          <w:szCs w:val="28"/>
        </w:rPr>
        <w:t>；</w:t>
      </w:r>
    </w:p>
    <w:p>
      <w:pPr>
        <w:widowControl/>
        <w:numPr>
          <w:ilvl w:val="0"/>
          <w:numId w:val="3"/>
        </w:numPr>
        <w:spacing w:line="480" w:lineRule="exact"/>
        <w:ind w:firstLine="480" w:firstLineChars="200"/>
        <w:jc w:val="left"/>
        <w:rPr>
          <w:rFonts w:cs="宋体" w:asciiTheme="majorEastAsia" w:hAnsiTheme="majorEastAsia" w:eastAsiaTheme="majorEastAsia"/>
          <w:sz w:val="24"/>
          <w:szCs w:val="28"/>
        </w:rPr>
      </w:pPr>
      <w:r>
        <w:rPr>
          <w:rFonts w:hint="eastAsia" w:cs="宋体" w:asciiTheme="majorEastAsia" w:hAnsiTheme="majorEastAsia" w:eastAsiaTheme="majorEastAsia"/>
          <w:i/>
          <w:iCs/>
          <w:sz w:val="24"/>
          <w:szCs w:val="28"/>
          <w:u w:val="single"/>
        </w:rPr>
        <w:t xml:space="preserve">（标的名称） </w:t>
      </w:r>
      <w:r>
        <w:rPr>
          <w:rFonts w:hint="eastAsia" w:cs="宋体" w:asciiTheme="majorEastAsia" w:hAnsiTheme="majorEastAsia" w:eastAsiaTheme="majorEastAsia"/>
          <w:sz w:val="24"/>
          <w:szCs w:val="28"/>
        </w:rPr>
        <w:t>，属于</w:t>
      </w:r>
      <w:r>
        <w:rPr>
          <w:rFonts w:hint="eastAsia" w:cs="宋体" w:asciiTheme="majorEastAsia" w:hAnsiTheme="majorEastAsia" w:eastAsiaTheme="majorEastAsia"/>
          <w:i/>
          <w:iCs/>
          <w:sz w:val="24"/>
          <w:szCs w:val="28"/>
          <w:u w:val="single"/>
        </w:rPr>
        <w:t>（采购文件中明确的所属行业）</w:t>
      </w:r>
      <w:r>
        <w:rPr>
          <w:rFonts w:hint="eastAsia" w:cs="宋体" w:asciiTheme="majorEastAsia" w:hAnsiTheme="majorEastAsia" w:eastAsiaTheme="majorEastAsia"/>
          <w:sz w:val="24"/>
          <w:szCs w:val="28"/>
        </w:rPr>
        <w:t>行业；制造商为</w:t>
      </w:r>
      <w:r>
        <w:rPr>
          <w:rFonts w:hint="eastAsia" w:cs="宋体" w:asciiTheme="majorEastAsia" w:hAnsiTheme="majorEastAsia" w:eastAsiaTheme="majorEastAsia"/>
          <w:i/>
          <w:iCs/>
          <w:sz w:val="24"/>
          <w:szCs w:val="28"/>
          <w:u w:val="single"/>
        </w:rPr>
        <w:t>（企业名称）</w:t>
      </w:r>
      <w:r>
        <w:rPr>
          <w:rFonts w:hint="eastAsia" w:cs="宋体" w:asciiTheme="majorEastAsia" w:hAnsiTheme="majorEastAsia" w:eastAsiaTheme="majorEastAsia"/>
          <w:sz w:val="24"/>
          <w:szCs w:val="28"/>
        </w:rPr>
        <w:t>，从业人员</w:t>
      </w:r>
      <w:r>
        <w:rPr>
          <w:rFonts w:hint="eastAsia" w:cs="宋体" w:asciiTheme="majorEastAsia" w:hAnsiTheme="majorEastAsia" w:eastAsiaTheme="majorEastAsia"/>
          <w:i/>
          <w:iCs/>
          <w:sz w:val="24"/>
          <w:szCs w:val="28"/>
          <w:u w:val="single"/>
        </w:rPr>
        <w:t xml:space="preserve">        </w:t>
      </w:r>
      <w:r>
        <w:rPr>
          <w:rFonts w:hint="eastAsia" w:cs="宋体" w:asciiTheme="majorEastAsia" w:hAnsiTheme="majorEastAsia" w:eastAsiaTheme="majorEastAsia"/>
          <w:sz w:val="24"/>
          <w:szCs w:val="28"/>
        </w:rPr>
        <w:t>人，营业收入为</w:t>
      </w:r>
      <w:r>
        <w:rPr>
          <w:rFonts w:hint="eastAsia" w:cs="宋体" w:asciiTheme="majorEastAsia" w:hAnsiTheme="majorEastAsia" w:eastAsiaTheme="majorEastAsia"/>
          <w:i/>
          <w:iCs/>
          <w:sz w:val="24"/>
          <w:szCs w:val="28"/>
          <w:u w:val="single"/>
        </w:rPr>
        <w:t xml:space="preserve">        </w:t>
      </w:r>
      <w:r>
        <w:rPr>
          <w:rFonts w:hint="eastAsia" w:cs="宋体" w:asciiTheme="majorEastAsia" w:hAnsiTheme="majorEastAsia" w:eastAsiaTheme="majorEastAsia"/>
          <w:sz w:val="24"/>
          <w:szCs w:val="28"/>
        </w:rPr>
        <w:t>万元，资产总额为</w:t>
      </w:r>
      <w:r>
        <w:rPr>
          <w:rFonts w:hint="eastAsia" w:cs="宋体" w:asciiTheme="majorEastAsia" w:hAnsiTheme="majorEastAsia" w:eastAsiaTheme="majorEastAsia"/>
          <w:i/>
          <w:iCs/>
          <w:sz w:val="24"/>
          <w:szCs w:val="28"/>
          <w:u w:val="single"/>
        </w:rPr>
        <w:t xml:space="preserve">        </w:t>
      </w:r>
      <w:r>
        <w:rPr>
          <w:rFonts w:hint="eastAsia" w:cs="宋体" w:asciiTheme="majorEastAsia" w:hAnsiTheme="majorEastAsia" w:eastAsiaTheme="majorEastAsia"/>
          <w:sz w:val="24"/>
          <w:szCs w:val="28"/>
        </w:rPr>
        <w:t>万元，属于</w:t>
      </w:r>
      <w:r>
        <w:rPr>
          <w:rFonts w:hint="eastAsia" w:cs="宋体" w:asciiTheme="majorEastAsia" w:hAnsiTheme="majorEastAsia" w:eastAsiaTheme="majorEastAsia"/>
          <w:i/>
          <w:iCs/>
          <w:sz w:val="24"/>
          <w:szCs w:val="28"/>
          <w:u w:val="single"/>
        </w:rPr>
        <w:t>（中型企业、小型企业、微型企业）</w:t>
      </w:r>
      <w:r>
        <w:rPr>
          <w:rFonts w:hint="eastAsia" w:cs="宋体" w:asciiTheme="majorEastAsia" w:hAnsiTheme="majorEastAsia" w:eastAsiaTheme="majorEastAsia"/>
          <w:sz w:val="24"/>
          <w:szCs w:val="28"/>
        </w:rPr>
        <w:t>；</w:t>
      </w:r>
    </w:p>
    <w:p>
      <w:pPr>
        <w:widowControl/>
        <w:spacing w:line="480" w:lineRule="exact"/>
        <w:ind w:firstLine="480" w:firstLineChars="200"/>
        <w:jc w:val="left"/>
        <w:rPr>
          <w:rFonts w:cs="宋体" w:asciiTheme="majorEastAsia" w:hAnsiTheme="majorEastAsia" w:eastAsiaTheme="majorEastAsia"/>
          <w:sz w:val="24"/>
          <w:szCs w:val="28"/>
        </w:rPr>
      </w:pPr>
      <w:r>
        <w:rPr>
          <w:rFonts w:hint="eastAsia" w:cs="宋体" w:asciiTheme="majorEastAsia" w:hAnsiTheme="majorEastAsia" w:eastAsiaTheme="majorEastAsia"/>
          <w:sz w:val="24"/>
          <w:szCs w:val="28"/>
        </w:rPr>
        <w:t>……</w:t>
      </w:r>
    </w:p>
    <w:p>
      <w:pPr>
        <w:widowControl/>
        <w:spacing w:line="480" w:lineRule="exact"/>
        <w:ind w:firstLine="480" w:firstLineChars="200"/>
        <w:jc w:val="left"/>
        <w:rPr>
          <w:rFonts w:cs="宋体" w:asciiTheme="majorEastAsia" w:hAnsiTheme="majorEastAsia" w:eastAsiaTheme="majorEastAsia"/>
          <w:sz w:val="24"/>
          <w:szCs w:val="28"/>
        </w:rPr>
      </w:pPr>
      <w:r>
        <w:rPr>
          <w:rFonts w:hint="eastAsia" w:cs="宋体" w:asciiTheme="majorEastAsia" w:hAnsiTheme="majorEastAsia" w:eastAsiaTheme="majorEastAsia"/>
          <w:sz w:val="24"/>
          <w:szCs w:val="28"/>
        </w:rPr>
        <w:t>以上企业，不属于大企业的分支机构，不存在控股股东为大企业的情形，也不存在与大企业的负责人为同一人的情形。</w:t>
      </w:r>
    </w:p>
    <w:p>
      <w:pPr>
        <w:widowControl/>
        <w:spacing w:line="480" w:lineRule="exact"/>
        <w:ind w:firstLine="480" w:firstLineChars="200"/>
        <w:jc w:val="left"/>
        <w:rPr>
          <w:rFonts w:cs="宋体" w:asciiTheme="majorEastAsia" w:hAnsiTheme="majorEastAsia" w:eastAsiaTheme="majorEastAsia"/>
          <w:sz w:val="24"/>
          <w:szCs w:val="28"/>
        </w:rPr>
      </w:pPr>
      <w:r>
        <w:rPr>
          <w:rFonts w:hint="eastAsia" w:cs="宋体" w:asciiTheme="majorEastAsia" w:hAnsiTheme="majorEastAsia" w:eastAsiaTheme="majorEastAsia"/>
          <w:sz w:val="24"/>
          <w:szCs w:val="28"/>
        </w:rPr>
        <w:t>本企业对上述声明内容的真实性负责。如有虚假，将依法承担相应责任。</w:t>
      </w:r>
    </w:p>
    <w:p>
      <w:pPr>
        <w:widowControl/>
        <w:spacing w:line="480" w:lineRule="exact"/>
        <w:ind w:firstLine="4080" w:firstLineChars="1700"/>
        <w:jc w:val="left"/>
        <w:rPr>
          <w:rFonts w:cs="宋体" w:asciiTheme="majorEastAsia" w:hAnsiTheme="majorEastAsia" w:eastAsiaTheme="majorEastAsia"/>
          <w:sz w:val="24"/>
          <w:szCs w:val="28"/>
        </w:rPr>
      </w:pPr>
    </w:p>
    <w:p>
      <w:pPr>
        <w:widowControl/>
        <w:ind w:firstLine="4760" w:firstLineChars="1700"/>
        <w:jc w:val="left"/>
        <w:rPr>
          <w:rFonts w:cs="宋体" w:asciiTheme="majorEastAsia" w:hAnsiTheme="majorEastAsia" w:eastAsiaTheme="majorEastAsia"/>
          <w:sz w:val="28"/>
          <w:szCs w:val="28"/>
        </w:rPr>
      </w:pPr>
    </w:p>
    <w:p>
      <w:pPr>
        <w:widowControl/>
        <w:ind w:firstLine="4760" w:firstLineChars="1700"/>
        <w:jc w:val="left"/>
        <w:rPr>
          <w:rFonts w:cs="宋体" w:asciiTheme="majorEastAsia" w:hAnsiTheme="majorEastAsia" w:eastAsiaTheme="majorEastAsia"/>
          <w:sz w:val="28"/>
          <w:szCs w:val="28"/>
        </w:rPr>
      </w:pPr>
      <w:r>
        <w:rPr>
          <w:rFonts w:hint="eastAsia" w:cs="宋体" w:asciiTheme="majorEastAsia" w:hAnsiTheme="majorEastAsia" w:eastAsiaTheme="majorEastAsia"/>
          <w:sz w:val="28"/>
          <w:szCs w:val="28"/>
        </w:rPr>
        <w:t>企业名称（盖章）：</w:t>
      </w:r>
    </w:p>
    <w:p>
      <w:pPr>
        <w:widowControl/>
        <w:ind w:firstLine="4760" w:firstLineChars="1700"/>
        <w:jc w:val="left"/>
        <w:rPr>
          <w:rFonts w:cs="宋体" w:asciiTheme="majorEastAsia" w:hAnsiTheme="majorEastAsia" w:eastAsiaTheme="majorEastAsia"/>
          <w:sz w:val="28"/>
          <w:szCs w:val="28"/>
        </w:rPr>
      </w:pPr>
      <w:r>
        <w:rPr>
          <w:rFonts w:hint="eastAsia" w:cs="宋体" w:asciiTheme="majorEastAsia" w:hAnsiTheme="majorEastAsia" w:eastAsiaTheme="majorEastAsia"/>
          <w:sz w:val="28"/>
          <w:szCs w:val="28"/>
        </w:rPr>
        <w:t>日期：</w:t>
      </w:r>
    </w:p>
    <w:p>
      <w:pPr>
        <w:pStyle w:val="2"/>
        <w:rPr>
          <w:rFonts w:asciiTheme="majorEastAsia" w:hAnsiTheme="majorEastAsia" w:eastAsiaTheme="majorEastAsia"/>
        </w:rPr>
      </w:pPr>
    </w:p>
    <w:p>
      <w:pPr>
        <w:pStyle w:val="2"/>
        <w:rPr>
          <w:rFonts w:asciiTheme="majorEastAsia" w:hAnsiTheme="majorEastAsia" w:eastAsiaTheme="majorEastAsia"/>
        </w:rPr>
      </w:pPr>
    </w:p>
    <w:p>
      <w:pPr>
        <w:pStyle w:val="2"/>
        <w:rPr>
          <w:rFonts w:asciiTheme="majorEastAsia" w:hAnsiTheme="majorEastAsia" w:eastAsiaTheme="majorEastAsia"/>
        </w:rPr>
      </w:pPr>
    </w:p>
    <w:p>
      <w:pPr>
        <w:pStyle w:val="2"/>
        <w:rPr>
          <w:rFonts w:asciiTheme="majorEastAsia" w:hAnsiTheme="majorEastAsia" w:eastAsiaTheme="majorEastAsia"/>
        </w:rPr>
      </w:pPr>
    </w:p>
    <w:p>
      <w:pPr>
        <w:autoSpaceDE w:val="0"/>
        <w:autoSpaceDN w:val="0"/>
        <w:adjustRightInd w:val="0"/>
        <w:spacing w:line="276" w:lineRule="auto"/>
        <w:jc w:val="left"/>
        <w:rPr>
          <w:rFonts w:cs="Noto Sans Mono CJK JP Bold" w:asciiTheme="majorEastAsia" w:hAnsiTheme="majorEastAsia" w:eastAsiaTheme="majorEastAsia"/>
          <w:b/>
          <w:color w:val="000000" w:themeColor="text1"/>
          <w:kern w:val="0"/>
          <w:sz w:val="22"/>
          <w:szCs w:val="22"/>
        </w:rPr>
      </w:pPr>
      <w:r>
        <w:rPr>
          <w:rFonts w:hint="eastAsia" w:cs="Noto Sans Mono CJK JP Bold" w:asciiTheme="majorEastAsia" w:hAnsiTheme="majorEastAsia" w:eastAsiaTheme="majorEastAsia"/>
          <w:b/>
          <w:color w:val="000000" w:themeColor="text1"/>
          <w:kern w:val="0"/>
          <w:sz w:val="22"/>
          <w:szCs w:val="22"/>
        </w:rPr>
        <w:t>注：</w:t>
      </w:r>
    </w:p>
    <w:p>
      <w:pPr>
        <w:pStyle w:val="2"/>
        <w:ind w:firstLine="442"/>
        <w:rPr>
          <w:rFonts w:cs="Noto Sans Mono CJK JP Bold" w:asciiTheme="majorEastAsia" w:hAnsiTheme="majorEastAsia" w:eastAsiaTheme="majorEastAsia"/>
          <w:b/>
          <w:color w:val="000000" w:themeColor="text1"/>
          <w:kern w:val="0"/>
          <w:sz w:val="22"/>
          <w:szCs w:val="22"/>
        </w:rPr>
      </w:pPr>
      <w:r>
        <w:rPr>
          <w:rFonts w:hint="eastAsia" w:cs="Noto Sans Mono CJK JP Bold" w:asciiTheme="majorEastAsia" w:hAnsiTheme="majorEastAsia" w:eastAsiaTheme="majorEastAsia"/>
          <w:b/>
          <w:color w:val="000000" w:themeColor="text1"/>
          <w:kern w:val="0"/>
          <w:sz w:val="22"/>
          <w:szCs w:val="22"/>
        </w:rPr>
        <w:t>1、从业人员、营业收入、资产总额填报上一年度数据，无上一年度数据的新成立企业可不填报</w:t>
      </w:r>
    </w:p>
    <w:p>
      <w:pPr>
        <w:pStyle w:val="2"/>
        <w:ind w:firstLine="442"/>
        <w:rPr>
          <w:rFonts w:cs="Noto Sans Mono CJK JP Bold" w:asciiTheme="majorEastAsia" w:hAnsiTheme="majorEastAsia" w:eastAsiaTheme="majorEastAsia"/>
          <w:b/>
          <w:color w:val="000000" w:themeColor="text1"/>
          <w:kern w:val="0"/>
          <w:sz w:val="22"/>
          <w:szCs w:val="22"/>
        </w:rPr>
      </w:pPr>
      <w:r>
        <w:rPr>
          <w:rFonts w:hint="eastAsia" w:cs="Noto Sans Mono CJK JP Bold" w:asciiTheme="majorEastAsia" w:hAnsiTheme="majorEastAsia" w:eastAsiaTheme="majorEastAsia"/>
          <w:b/>
          <w:color w:val="000000" w:themeColor="text1"/>
          <w:kern w:val="0"/>
          <w:sz w:val="22"/>
          <w:szCs w:val="2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widowControl/>
        <w:jc w:val="left"/>
        <w:rPr>
          <w:rFonts w:cs="宋体" w:asciiTheme="majorEastAsia" w:hAnsiTheme="majorEastAsia" w:eastAsiaTheme="majorEastAsia"/>
          <w:sz w:val="28"/>
          <w:szCs w:val="28"/>
        </w:rPr>
      </w:pPr>
    </w:p>
    <w:p>
      <w:pPr>
        <w:spacing w:line="460" w:lineRule="exact"/>
        <w:rPr>
          <w:rFonts w:asciiTheme="majorEastAsia" w:hAnsiTheme="majorEastAsia" w:eastAsiaTheme="majorEastAsia"/>
          <w:sz w:val="28"/>
          <w:szCs w:val="28"/>
        </w:rPr>
      </w:pPr>
      <w:r>
        <w:rPr>
          <w:rFonts w:hint="eastAsia" w:asciiTheme="majorEastAsia" w:hAnsiTheme="majorEastAsia" w:eastAsiaTheme="majorEastAsia"/>
          <w:sz w:val="28"/>
          <w:szCs w:val="28"/>
        </w:rPr>
        <w:t xml:space="preserve">                 </w:t>
      </w:r>
    </w:p>
    <w:p>
      <w:pPr>
        <w:pStyle w:val="2"/>
        <w:ind w:firstLine="0" w:firstLineChars="0"/>
        <w:rPr>
          <w:rFonts w:asciiTheme="majorEastAsia" w:hAnsiTheme="majorEastAsia" w:eastAsiaTheme="majorEastAsia"/>
        </w:rPr>
      </w:pPr>
    </w:p>
    <w:p>
      <w:pPr>
        <w:spacing w:line="460" w:lineRule="exact"/>
        <w:jc w:val="center"/>
        <w:rPr>
          <w:rFonts w:asciiTheme="majorEastAsia" w:hAnsiTheme="majorEastAsia" w:eastAsiaTheme="majorEastAsia"/>
          <w:b/>
          <w:bCs/>
          <w:sz w:val="32"/>
          <w:szCs w:val="32"/>
        </w:rPr>
      </w:pPr>
      <w:r>
        <w:rPr>
          <w:rFonts w:hint="eastAsia" w:asciiTheme="majorEastAsia" w:hAnsiTheme="majorEastAsia" w:eastAsiaTheme="majorEastAsia"/>
          <w:b/>
          <w:bCs/>
          <w:sz w:val="32"/>
          <w:szCs w:val="32"/>
        </w:rPr>
        <w:t>小微型企业生产制造的投标产品明细及报价汇总表（格式）</w:t>
      </w:r>
    </w:p>
    <w:p>
      <w:pPr>
        <w:widowControl/>
        <w:shd w:val="clear" w:color="auto" w:fill="FFFFFF"/>
        <w:jc w:val="center"/>
        <w:rPr>
          <w:rFonts w:asciiTheme="majorEastAsia" w:hAnsiTheme="majorEastAsia" w:eastAsiaTheme="majorEastAsia"/>
          <w:bCs/>
          <w:sz w:val="24"/>
        </w:rPr>
      </w:pPr>
      <w:r>
        <w:rPr>
          <w:rFonts w:hint="eastAsia" w:asciiTheme="majorEastAsia" w:hAnsiTheme="majorEastAsia" w:eastAsiaTheme="majorEastAsia"/>
          <w:bCs/>
          <w:sz w:val="24"/>
        </w:rPr>
        <w:t> </w:t>
      </w:r>
    </w:p>
    <w:tbl>
      <w:tblPr>
        <w:tblStyle w:val="45"/>
        <w:tblW w:w="5000" w:type="pct"/>
        <w:tblInd w:w="0" w:type="dxa"/>
        <w:tblLayout w:type="autofit"/>
        <w:tblCellMar>
          <w:top w:w="0" w:type="dxa"/>
          <w:left w:w="0" w:type="dxa"/>
          <w:bottom w:w="0" w:type="dxa"/>
          <w:right w:w="0" w:type="dxa"/>
        </w:tblCellMar>
      </w:tblPr>
      <w:tblGrid>
        <w:gridCol w:w="2100"/>
        <w:gridCol w:w="1680"/>
        <w:gridCol w:w="1680"/>
        <w:gridCol w:w="1259"/>
        <w:gridCol w:w="1541"/>
        <w:gridCol w:w="1398"/>
      </w:tblGrid>
      <w:tr>
        <w:tblPrEx>
          <w:tblCellMar>
            <w:top w:w="0" w:type="dxa"/>
            <w:left w:w="0" w:type="dxa"/>
            <w:bottom w:w="0" w:type="dxa"/>
            <w:right w:w="0" w:type="dxa"/>
          </w:tblCellMar>
        </w:tblPrEx>
        <w:trPr>
          <w:trHeight w:val="950" w:hRule="atLeast"/>
        </w:trPr>
        <w:tc>
          <w:tcPr>
            <w:tcW w:w="1087" w:type="pct"/>
            <w:tcBorders>
              <w:top w:val="single" w:color="auto" w:sz="8" w:space="0"/>
              <w:left w:val="single" w:color="auto" w:sz="8" w:space="0"/>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货物名称及</w:t>
            </w:r>
          </w:p>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规格、型号</w:t>
            </w:r>
          </w:p>
        </w:tc>
        <w:tc>
          <w:tcPr>
            <w:tcW w:w="870" w:type="pct"/>
            <w:tcBorders>
              <w:top w:val="single" w:color="auto" w:sz="8" w:space="0"/>
              <w:left w:val="nil"/>
              <w:bottom w:val="single" w:color="auto" w:sz="8" w:space="0"/>
              <w:right w:val="single" w:color="auto" w:sz="8" w:space="0"/>
            </w:tcBorders>
            <w:tcMar>
              <w:top w:w="0" w:type="dxa"/>
              <w:left w:w="10" w:type="dxa"/>
              <w:bottom w:w="0" w:type="dxa"/>
              <w:right w:w="10" w:type="dxa"/>
            </w:tcMar>
            <w:vAlign w:val="center"/>
          </w:tcPr>
          <w:p>
            <w:pPr>
              <w:widowControl/>
              <w:ind w:firstLine="468"/>
              <w:jc w:val="left"/>
              <w:rPr>
                <w:rFonts w:asciiTheme="majorEastAsia" w:hAnsiTheme="majorEastAsia" w:eastAsiaTheme="majorEastAsia"/>
                <w:bCs/>
                <w:sz w:val="24"/>
              </w:rPr>
            </w:pPr>
            <w:r>
              <w:rPr>
                <w:rFonts w:hint="eastAsia" w:asciiTheme="majorEastAsia" w:hAnsiTheme="majorEastAsia" w:eastAsiaTheme="majorEastAsia"/>
                <w:bCs/>
                <w:sz w:val="24"/>
              </w:rPr>
              <w:t>品牌</w:t>
            </w:r>
          </w:p>
        </w:tc>
        <w:tc>
          <w:tcPr>
            <w:tcW w:w="870" w:type="pct"/>
            <w:tcBorders>
              <w:top w:val="single" w:color="auto" w:sz="8" w:space="0"/>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单位</w:t>
            </w:r>
          </w:p>
        </w:tc>
        <w:tc>
          <w:tcPr>
            <w:tcW w:w="652" w:type="pct"/>
            <w:tcBorders>
              <w:top w:val="single" w:color="auto" w:sz="8" w:space="0"/>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数量</w:t>
            </w:r>
          </w:p>
        </w:tc>
        <w:tc>
          <w:tcPr>
            <w:tcW w:w="798" w:type="pct"/>
            <w:tcBorders>
              <w:top w:val="single" w:color="auto" w:sz="8" w:space="0"/>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单价</w:t>
            </w:r>
          </w:p>
        </w:tc>
        <w:tc>
          <w:tcPr>
            <w:tcW w:w="724" w:type="pct"/>
            <w:tcBorders>
              <w:top w:val="single" w:color="auto" w:sz="8" w:space="0"/>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总价</w:t>
            </w:r>
          </w:p>
        </w:tc>
      </w:tr>
      <w:tr>
        <w:tblPrEx>
          <w:tblCellMar>
            <w:top w:w="0" w:type="dxa"/>
            <w:left w:w="0" w:type="dxa"/>
            <w:bottom w:w="0" w:type="dxa"/>
            <w:right w:w="0" w:type="dxa"/>
          </w:tblCellMar>
        </w:tblPrEx>
        <w:trPr>
          <w:trHeight w:val="724" w:hRule="atLeast"/>
        </w:trPr>
        <w:tc>
          <w:tcPr>
            <w:tcW w:w="1087" w:type="pct"/>
            <w:tcBorders>
              <w:top w:val="nil"/>
              <w:left w:val="single" w:color="auto" w:sz="8" w:space="0"/>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1</w:t>
            </w:r>
          </w:p>
        </w:tc>
        <w:tc>
          <w:tcPr>
            <w:tcW w:w="870"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870"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652"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798"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724"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r>
      <w:tr>
        <w:tblPrEx>
          <w:tblCellMar>
            <w:top w:w="0" w:type="dxa"/>
            <w:left w:w="0" w:type="dxa"/>
            <w:bottom w:w="0" w:type="dxa"/>
            <w:right w:w="0" w:type="dxa"/>
          </w:tblCellMar>
        </w:tblPrEx>
        <w:trPr>
          <w:trHeight w:val="706" w:hRule="atLeast"/>
        </w:trPr>
        <w:tc>
          <w:tcPr>
            <w:tcW w:w="1087" w:type="pct"/>
            <w:tcBorders>
              <w:top w:val="nil"/>
              <w:left w:val="single" w:color="auto" w:sz="8" w:space="0"/>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2</w:t>
            </w:r>
          </w:p>
        </w:tc>
        <w:tc>
          <w:tcPr>
            <w:tcW w:w="870"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870"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652"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798"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724"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r>
      <w:tr>
        <w:tblPrEx>
          <w:tblCellMar>
            <w:top w:w="0" w:type="dxa"/>
            <w:left w:w="0" w:type="dxa"/>
            <w:bottom w:w="0" w:type="dxa"/>
            <w:right w:w="0" w:type="dxa"/>
          </w:tblCellMar>
        </w:tblPrEx>
        <w:trPr>
          <w:trHeight w:val="688" w:hRule="atLeast"/>
        </w:trPr>
        <w:tc>
          <w:tcPr>
            <w:tcW w:w="1087" w:type="pct"/>
            <w:tcBorders>
              <w:top w:val="nil"/>
              <w:left w:val="single" w:color="auto" w:sz="8" w:space="0"/>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3</w:t>
            </w:r>
          </w:p>
        </w:tc>
        <w:tc>
          <w:tcPr>
            <w:tcW w:w="870"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870"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652"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798"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724"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r>
      <w:tr>
        <w:tblPrEx>
          <w:tblCellMar>
            <w:top w:w="0" w:type="dxa"/>
            <w:left w:w="0" w:type="dxa"/>
            <w:bottom w:w="0" w:type="dxa"/>
            <w:right w:w="0" w:type="dxa"/>
          </w:tblCellMar>
        </w:tblPrEx>
        <w:trPr>
          <w:trHeight w:val="615" w:hRule="atLeast"/>
        </w:trPr>
        <w:tc>
          <w:tcPr>
            <w:tcW w:w="1087" w:type="pct"/>
            <w:tcBorders>
              <w:top w:val="nil"/>
              <w:left w:val="single" w:color="auto" w:sz="8" w:space="0"/>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asciiTheme="majorEastAsia" w:hAnsiTheme="majorEastAsia" w:eastAsiaTheme="majorEastAsia"/>
                <w:bCs/>
                <w:sz w:val="24"/>
              </w:rPr>
              <w:t>……</w:t>
            </w:r>
          </w:p>
        </w:tc>
        <w:tc>
          <w:tcPr>
            <w:tcW w:w="870"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870"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652"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798"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c>
          <w:tcPr>
            <w:tcW w:w="724" w:type="pct"/>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r>
      <w:tr>
        <w:tblPrEx>
          <w:tblCellMar>
            <w:top w:w="0" w:type="dxa"/>
            <w:left w:w="0" w:type="dxa"/>
            <w:bottom w:w="0" w:type="dxa"/>
            <w:right w:w="0" w:type="dxa"/>
          </w:tblCellMar>
        </w:tblPrEx>
        <w:trPr>
          <w:trHeight w:val="910" w:hRule="atLeast"/>
        </w:trPr>
        <w:tc>
          <w:tcPr>
            <w:tcW w:w="1087" w:type="pct"/>
            <w:tcBorders>
              <w:top w:val="nil"/>
              <w:left w:val="single" w:color="auto" w:sz="8" w:space="0"/>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合计</w:t>
            </w:r>
          </w:p>
        </w:tc>
        <w:tc>
          <w:tcPr>
            <w:tcW w:w="3913" w:type="pct"/>
            <w:gridSpan w:val="5"/>
            <w:tcBorders>
              <w:top w:val="nil"/>
              <w:left w:val="nil"/>
              <w:bottom w:val="single" w:color="auto" w:sz="8" w:space="0"/>
              <w:right w:val="single" w:color="auto" w:sz="8" w:space="0"/>
            </w:tcBorders>
            <w:tcMar>
              <w:top w:w="0" w:type="dxa"/>
              <w:left w:w="10" w:type="dxa"/>
              <w:bottom w:w="0" w:type="dxa"/>
              <w:right w:w="10" w:type="dxa"/>
            </w:tcMar>
            <w:vAlign w:val="center"/>
          </w:tcPr>
          <w:p>
            <w:pPr>
              <w:widowControl/>
              <w:jc w:val="center"/>
              <w:rPr>
                <w:rFonts w:asciiTheme="majorEastAsia" w:hAnsiTheme="majorEastAsia" w:eastAsiaTheme="majorEastAsia"/>
                <w:bCs/>
                <w:sz w:val="24"/>
              </w:rPr>
            </w:pPr>
            <w:r>
              <w:rPr>
                <w:rFonts w:hint="eastAsia" w:asciiTheme="majorEastAsia" w:hAnsiTheme="majorEastAsia" w:eastAsiaTheme="majorEastAsia"/>
                <w:bCs/>
                <w:sz w:val="24"/>
              </w:rPr>
              <w:t> </w:t>
            </w:r>
          </w:p>
        </w:tc>
      </w:tr>
    </w:tbl>
    <w:p>
      <w:pPr>
        <w:widowControl/>
        <w:shd w:val="clear" w:color="auto" w:fill="FFFFFF"/>
        <w:spacing w:line="420" w:lineRule="atLeast"/>
        <w:jc w:val="left"/>
        <w:rPr>
          <w:rFonts w:asciiTheme="majorEastAsia" w:hAnsiTheme="majorEastAsia" w:eastAsiaTheme="majorEastAsia"/>
          <w:bCs/>
          <w:sz w:val="24"/>
        </w:rPr>
      </w:pPr>
      <w:r>
        <w:rPr>
          <w:rFonts w:hint="eastAsia" w:asciiTheme="majorEastAsia" w:hAnsiTheme="majorEastAsia" w:eastAsiaTheme="majorEastAsia"/>
          <w:bCs/>
          <w:sz w:val="24"/>
        </w:rPr>
        <w:t>1、此表可以根据需要自行增减行数。</w:t>
      </w:r>
    </w:p>
    <w:p>
      <w:pPr>
        <w:spacing w:line="360" w:lineRule="auto"/>
        <w:rPr>
          <w:rFonts w:asciiTheme="majorEastAsia" w:hAnsiTheme="majorEastAsia" w:eastAsiaTheme="majorEastAsia"/>
          <w:b/>
        </w:rPr>
      </w:pPr>
      <w:r>
        <w:rPr>
          <w:rFonts w:hint="eastAsia" w:asciiTheme="majorEastAsia" w:hAnsiTheme="majorEastAsia" w:eastAsiaTheme="majorEastAsia"/>
          <w:bCs/>
          <w:sz w:val="24"/>
        </w:rPr>
        <w:t>2、项目如有分包，请各供应商按投报的分包分别列表。</w:t>
      </w:r>
    </w:p>
    <w:p>
      <w:pPr>
        <w:widowControl/>
        <w:spacing w:before="100" w:beforeAutospacing="1" w:after="100" w:afterAutospacing="1" w:line="360" w:lineRule="auto"/>
        <w:jc w:val="left"/>
        <w:rPr>
          <w:rFonts w:cs="宋体" w:asciiTheme="majorEastAsia" w:hAnsiTheme="majorEastAsia" w:eastAsiaTheme="majorEastAsia"/>
          <w:kern w:val="0"/>
          <w:sz w:val="24"/>
          <w:szCs w:val="24"/>
        </w:rPr>
      </w:pPr>
    </w:p>
    <w:p>
      <w:pPr>
        <w:widowControl/>
        <w:spacing w:before="100" w:beforeAutospacing="1" w:after="100" w:afterAutospacing="1" w:line="360" w:lineRule="auto"/>
        <w:ind w:firstLine="3120" w:firstLineChars="1300"/>
        <w:jc w:val="left"/>
        <w:rPr>
          <w:rFonts w:cs="宋体" w:asciiTheme="majorEastAsia" w:hAnsiTheme="majorEastAsia" w:eastAsiaTheme="majorEastAsia"/>
          <w:kern w:val="0"/>
          <w:sz w:val="24"/>
          <w:szCs w:val="24"/>
          <w:u w:val="single" w:color="FFFFFF"/>
        </w:rPr>
      </w:pPr>
    </w:p>
    <w:p>
      <w:pPr>
        <w:widowControl/>
        <w:spacing w:before="100" w:beforeAutospacing="1" w:after="100" w:afterAutospacing="1" w:line="360" w:lineRule="auto"/>
        <w:ind w:firstLine="3120" w:firstLineChars="1300"/>
        <w:jc w:val="left"/>
        <w:rPr>
          <w:rFonts w:cs="宋体" w:asciiTheme="majorEastAsia" w:hAnsiTheme="majorEastAsia" w:eastAsiaTheme="majorEastAsia"/>
          <w:kern w:val="0"/>
          <w:sz w:val="24"/>
          <w:szCs w:val="24"/>
          <w:u w:val="single" w:color="FFFFFF"/>
        </w:rPr>
      </w:pPr>
    </w:p>
    <w:p>
      <w:pPr>
        <w:widowControl/>
        <w:spacing w:before="100" w:beforeAutospacing="1" w:after="100" w:afterAutospacing="1" w:line="360" w:lineRule="auto"/>
        <w:ind w:firstLine="3120" w:firstLineChars="1300"/>
        <w:jc w:val="left"/>
        <w:rPr>
          <w:rFonts w:cs="宋体" w:asciiTheme="majorEastAsia" w:hAnsiTheme="majorEastAsia" w:eastAsiaTheme="majorEastAsia"/>
          <w:kern w:val="0"/>
          <w:sz w:val="24"/>
          <w:szCs w:val="24"/>
          <w:u w:val="single" w:color="FFFFFF"/>
        </w:rPr>
      </w:pPr>
    </w:p>
    <w:p>
      <w:pPr>
        <w:widowControl/>
        <w:spacing w:before="100" w:beforeAutospacing="1" w:after="100" w:afterAutospacing="1" w:line="360" w:lineRule="auto"/>
        <w:ind w:firstLine="3120" w:firstLineChars="1300"/>
        <w:jc w:val="left"/>
        <w:rPr>
          <w:rFonts w:cs="宋体" w:asciiTheme="majorEastAsia" w:hAnsiTheme="majorEastAsia" w:eastAsiaTheme="majorEastAsia"/>
          <w:kern w:val="0"/>
          <w:sz w:val="24"/>
          <w:szCs w:val="24"/>
          <w:u w:val="single" w:color="FFFFFF"/>
        </w:rPr>
      </w:pPr>
    </w:p>
    <w:p>
      <w:pPr>
        <w:widowControl/>
        <w:spacing w:before="100" w:beforeAutospacing="1" w:after="100" w:afterAutospacing="1" w:line="360" w:lineRule="auto"/>
        <w:ind w:firstLine="3120" w:firstLineChars="1300"/>
        <w:jc w:val="left"/>
        <w:rPr>
          <w:rFonts w:cs="宋体" w:asciiTheme="majorEastAsia" w:hAnsiTheme="majorEastAsia" w:eastAsiaTheme="majorEastAsia"/>
          <w:kern w:val="0"/>
          <w:sz w:val="24"/>
          <w:szCs w:val="24"/>
          <w:u w:val="single" w:color="FFFFFF"/>
        </w:rPr>
      </w:pPr>
    </w:p>
    <w:p>
      <w:pPr>
        <w:widowControl/>
        <w:spacing w:before="100" w:beforeAutospacing="1" w:after="100" w:afterAutospacing="1" w:line="360" w:lineRule="auto"/>
        <w:ind w:firstLine="3120" w:firstLineChars="1300"/>
        <w:jc w:val="left"/>
        <w:rPr>
          <w:rFonts w:cs="宋体" w:asciiTheme="majorEastAsia" w:hAnsiTheme="majorEastAsia" w:eastAsiaTheme="majorEastAsia"/>
          <w:kern w:val="0"/>
          <w:sz w:val="24"/>
          <w:szCs w:val="24"/>
          <w:u w:val="single" w:color="FFFFFF"/>
        </w:rPr>
      </w:pPr>
    </w:p>
    <w:p>
      <w:pPr>
        <w:pStyle w:val="2"/>
        <w:rPr>
          <w:rFonts w:asciiTheme="majorEastAsia" w:hAnsiTheme="majorEastAsia" w:eastAsiaTheme="majorEastAsia"/>
        </w:rPr>
      </w:pPr>
    </w:p>
    <w:p>
      <w:pPr>
        <w:pStyle w:val="2"/>
        <w:rPr>
          <w:rFonts w:asciiTheme="majorEastAsia" w:hAnsiTheme="majorEastAsia" w:eastAsiaTheme="majorEastAsia"/>
        </w:rPr>
      </w:pPr>
    </w:p>
    <w:p>
      <w:pPr>
        <w:pStyle w:val="2"/>
        <w:rPr>
          <w:rFonts w:asciiTheme="majorEastAsia" w:hAnsiTheme="majorEastAsia" w:eastAsiaTheme="majorEastAsia"/>
        </w:rPr>
      </w:pPr>
    </w:p>
    <w:p>
      <w:pPr>
        <w:pStyle w:val="24"/>
        <w:rPr>
          <w:rFonts w:asciiTheme="majorEastAsia" w:hAnsiTheme="majorEastAsia" w:eastAsiaTheme="majorEastAsia"/>
        </w:rPr>
      </w:pPr>
    </w:p>
    <w:p>
      <w:pPr>
        <w:pStyle w:val="6"/>
        <w:rPr>
          <w:rFonts w:asciiTheme="majorEastAsia" w:hAnsiTheme="majorEastAsia" w:eastAsiaTheme="majorEastAsia"/>
          <w:sz w:val="32"/>
          <w:szCs w:val="32"/>
        </w:rPr>
      </w:pPr>
      <w:r>
        <w:rPr>
          <w:rFonts w:hint="eastAsia" w:asciiTheme="majorEastAsia" w:hAnsiTheme="majorEastAsia" w:eastAsiaTheme="majorEastAsia"/>
          <w:sz w:val="32"/>
          <w:szCs w:val="32"/>
        </w:rPr>
        <w:t>七、技术参数响应及偏离表（如有）</w:t>
      </w:r>
    </w:p>
    <w:p>
      <w:pPr>
        <w:jc w:val="center"/>
        <w:rPr>
          <w:rFonts w:asciiTheme="majorEastAsia" w:hAnsiTheme="majorEastAsia" w:eastAsiaTheme="majorEastAsia"/>
          <w:sz w:val="24"/>
          <w:szCs w:val="24"/>
        </w:rPr>
      </w:pPr>
    </w:p>
    <w:p>
      <w:pPr>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投标人全称（加盖公章）：       </w:t>
      </w: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
        <w:gridCol w:w="2852"/>
        <w:gridCol w:w="2852"/>
        <w:gridCol w:w="1308"/>
        <w:gridCol w:w="1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84"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2852"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招标要求</w:t>
            </w:r>
          </w:p>
        </w:tc>
        <w:tc>
          <w:tcPr>
            <w:tcW w:w="2852"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投标响应</w:t>
            </w:r>
          </w:p>
        </w:tc>
        <w:tc>
          <w:tcPr>
            <w:tcW w:w="130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超出、符合或偏离</w:t>
            </w:r>
          </w:p>
        </w:tc>
        <w:tc>
          <w:tcPr>
            <w:tcW w:w="1173"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1308" w:type="dxa"/>
          </w:tcPr>
          <w:p>
            <w:pPr>
              <w:jc w:val="center"/>
              <w:rPr>
                <w:rFonts w:asciiTheme="majorEastAsia" w:hAnsiTheme="majorEastAsia" w:eastAsiaTheme="majorEastAsia"/>
                <w:sz w:val="24"/>
                <w:szCs w:val="24"/>
              </w:rPr>
            </w:pPr>
          </w:p>
        </w:tc>
        <w:tc>
          <w:tcPr>
            <w:tcW w:w="1173" w:type="dxa"/>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1308" w:type="dxa"/>
          </w:tcPr>
          <w:p>
            <w:pPr>
              <w:jc w:val="center"/>
              <w:rPr>
                <w:rFonts w:asciiTheme="majorEastAsia" w:hAnsiTheme="majorEastAsia" w:eastAsiaTheme="majorEastAsia"/>
                <w:sz w:val="24"/>
                <w:szCs w:val="24"/>
              </w:rPr>
            </w:pPr>
          </w:p>
        </w:tc>
        <w:tc>
          <w:tcPr>
            <w:tcW w:w="1173" w:type="dxa"/>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1308" w:type="dxa"/>
          </w:tcPr>
          <w:p>
            <w:pPr>
              <w:jc w:val="center"/>
              <w:rPr>
                <w:rFonts w:asciiTheme="majorEastAsia" w:hAnsiTheme="majorEastAsia" w:eastAsiaTheme="majorEastAsia"/>
                <w:sz w:val="24"/>
                <w:szCs w:val="24"/>
              </w:rPr>
            </w:pPr>
          </w:p>
        </w:tc>
        <w:tc>
          <w:tcPr>
            <w:tcW w:w="1173" w:type="dxa"/>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1308" w:type="dxa"/>
          </w:tcPr>
          <w:p>
            <w:pPr>
              <w:jc w:val="center"/>
              <w:rPr>
                <w:rFonts w:asciiTheme="majorEastAsia" w:hAnsiTheme="majorEastAsia" w:eastAsiaTheme="majorEastAsia"/>
                <w:sz w:val="24"/>
                <w:szCs w:val="24"/>
              </w:rPr>
            </w:pPr>
          </w:p>
        </w:tc>
        <w:tc>
          <w:tcPr>
            <w:tcW w:w="1173" w:type="dxa"/>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1308" w:type="dxa"/>
          </w:tcPr>
          <w:p>
            <w:pPr>
              <w:jc w:val="center"/>
              <w:rPr>
                <w:rFonts w:asciiTheme="majorEastAsia" w:hAnsiTheme="majorEastAsia" w:eastAsiaTheme="majorEastAsia"/>
                <w:sz w:val="24"/>
                <w:szCs w:val="24"/>
              </w:rPr>
            </w:pPr>
          </w:p>
        </w:tc>
        <w:tc>
          <w:tcPr>
            <w:tcW w:w="1173" w:type="dxa"/>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1308" w:type="dxa"/>
          </w:tcPr>
          <w:p>
            <w:pPr>
              <w:jc w:val="center"/>
              <w:rPr>
                <w:rFonts w:asciiTheme="majorEastAsia" w:hAnsiTheme="majorEastAsia" w:eastAsiaTheme="majorEastAsia"/>
                <w:sz w:val="24"/>
                <w:szCs w:val="24"/>
              </w:rPr>
            </w:pPr>
          </w:p>
        </w:tc>
        <w:tc>
          <w:tcPr>
            <w:tcW w:w="1173" w:type="dxa"/>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1308" w:type="dxa"/>
          </w:tcPr>
          <w:p>
            <w:pPr>
              <w:jc w:val="center"/>
              <w:rPr>
                <w:rFonts w:asciiTheme="majorEastAsia" w:hAnsiTheme="majorEastAsia" w:eastAsiaTheme="majorEastAsia"/>
                <w:sz w:val="24"/>
                <w:szCs w:val="24"/>
              </w:rPr>
            </w:pPr>
          </w:p>
        </w:tc>
        <w:tc>
          <w:tcPr>
            <w:tcW w:w="1173" w:type="dxa"/>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trPr>
        <w:tc>
          <w:tcPr>
            <w:tcW w:w="984"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2852" w:type="dxa"/>
          </w:tcPr>
          <w:p>
            <w:pPr>
              <w:jc w:val="center"/>
              <w:rPr>
                <w:rFonts w:asciiTheme="majorEastAsia" w:hAnsiTheme="majorEastAsia" w:eastAsiaTheme="majorEastAsia"/>
                <w:sz w:val="24"/>
                <w:szCs w:val="24"/>
              </w:rPr>
            </w:pPr>
          </w:p>
        </w:tc>
        <w:tc>
          <w:tcPr>
            <w:tcW w:w="1308" w:type="dxa"/>
          </w:tcPr>
          <w:p>
            <w:pPr>
              <w:jc w:val="center"/>
              <w:rPr>
                <w:rFonts w:asciiTheme="majorEastAsia" w:hAnsiTheme="majorEastAsia" w:eastAsiaTheme="majorEastAsia"/>
                <w:sz w:val="24"/>
                <w:szCs w:val="24"/>
              </w:rPr>
            </w:pPr>
          </w:p>
        </w:tc>
        <w:tc>
          <w:tcPr>
            <w:tcW w:w="1173" w:type="dxa"/>
          </w:tcPr>
          <w:p>
            <w:pPr>
              <w:jc w:val="center"/>
              <w:rPr>
                <w:rFonts w:asciiTheme="majorEastAsia" w:hAnsiTheme="majorEastAsia" w:eastAsiaTheme="majorEastAsia"/>
                <w:sz w:val="24"/>
                <w:szCs w:val="24"/>
              </w:rPr>
            </w:pPr>
          </w:p>
        </w:tc>
      </w:tr>
    </w:tbl>
    <w:p>
      <w:pPr>
        <w:rPr>
          <w:rFonts w:asciiTheme="majorEastAsia" w:hAnsiTheme="majorEastAsia" w:eastAsiaTheme="majorEastAsia"/>
          <w:sz w:val="24"/>
          <w:szCs w:val="24"/>
        </w:rPr>
      </w:pPr>
    </w:p>
    <w:p>
      <w:pPr>
        <w:spacing w:line="36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注：1、按照基本技术要求详细填列。</w:t>
      </w:r>
    </w:p>
    <w:p>
      <w:pPr>
        <w:numPr>
          <w:ilvl w:val="0"/>
          <w:numId w:val="4"/>
        </w:numPr>
        <w:spacing w:line="360" w:lineRule="auto"/>
        <w:rPr>
          <w:rFonts w:asciiTheme="majorEastAsia" w:hAnsiTheme="majorEastAsia" w:eastAsiaTheme="majorEastAsia"/>
          <w:sz w:val="24"/>
          <w:szCs w:val="24"/>
        </w:rPr>
      </w:pPr>
      <w:r>
        <w:rPr>
          <w:rFonts w:hint="eastAsia" w:asciiTheme="majorEastAsia" w:hAnsiTheme="majorEastAsia" w:eastAsiaTheme="majorEastAsia"/>
          <w:sz w:val="24"/>
          <w:szCs w:val="24"/>
        </w:rPr>
        <w:t>行数不够，可自行添加。</w:t>
      </w:r>
    </w:p>
    <w:p>
      <w:pPr>
        <w:spacing w:line="360" w:lineRule="auto"/>
        <w:ind w:firstLine="480"/>
        <w:rPr>
          <w:rFonts w:asciiTheme="majorEastAsia" w:hAnsiTheme="majorEastAsia" w:eastAsiaTheme="majorEastAsia"/>
          <w:bCs/>
          <w:sz w:val="24"/>
        </w:rPr>
      </w:pPr>
      <w:r>
        <w:rPr>
          <w:rFonts w:hint="eastAsia" w:asciiTheme="majorEastAsia" w:hAnsiTheme="majorEastAsia" w:eastAsiaTheme="majorEastAsia"/>
          <w:bCs/>
          <w:sz w:val="24"/>
        </w:rPr>
        <w:t>3、技术偏离表应针对项目需求逐条应答。</w:t>
      </w:r>
    </w:p>
    <w:p>
      <w:pPr>
        <w:spacing w:line="360" w:lineRule="auto"/>
        <w:jc w:val="center"/>
        <w:rPr>
          <w:rFonts w:asciiTheme="majorEastAsia" w:hAnsiTheme="majorEastAsia" w:eastAsiaTheme="majorEastAsia"/>
          <w:b/>
          <w:sz w:val="36"/>
        </w:rPr>
      </w:pPr>
    </w:p>
    <w:bookmarkEnd w:id="177"/>
    <w:p>
      <w:pPr>
        <w:spacing w:line="360" w:lineRule="auto"/>
        <w:ind w:firstLine="2400" w:firstLineChars="1000"/>
        <w:rPr>
          <w:rFonts w:asciiTheme="majorEastAsia" w:hAnsiTheme="majorEastAsia" w:eastAsiaTheme="majorEastAsia"/>
          <w:sz w:val="24"/>
          <w:szCs w:val="24"/>
        </w:rPr>
      </w:pPr>
      <w:bookmarkStart w:id="178" w:name="_Hlt26955054"/>
      <w:bookmarkEnd w:id="178"/>
      <w:r>
        <w:rPr>
          <w:rFonts w:hint="eastAsia" w:asciiTheme="majorEastAsia" w:hAnsiTheme="majorEastAsia" w:eastAsiaTheme="majorEastAsia"/>
          <w:sz w:val="24"/>
          <w:szCs w:val="24"/>
        </w:rPr>
        <w:t>法定代表人或授权代表签字：</w:t>
      </w:r>
    </w:p>
    <w:p>
      <w:pPr>
        <w:pStyle w:val="125"/>
      </w:pPr>
      <w:r>
        <w:br w:type="page"/>
      </w:r>
      <w:r>
        <w:rPr>
          <w:rFonts w:hint="eastAsia"/>
        </w:rPr>
        <w:t>八、商务条款响应及偏离表（如有）</w:t>
      </w:r>
    </w:p>
    <w:p>
      <w:pPr>
        <w:jc w:val="center"/>
        <w:rPr>
          <w:rFonts w:asciiTheme="majorEastAsia" w:hAnsiTheme="majorEastAsia" w:eastAsiaTheme="majorEastAsia"/>
          <w:sz w:val="24"/>
          <w:szCs w:val="24"/>
        </w:rPr>
      </w:pP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投标人全称（加盖公章）：        </w:t>
      </w:r>
    </w:p>
    <w:tbl>
      <w:tblPr>
        <w:tblStyle w:val="45"/>
        <w:tblW w:w="0" w:type="auto"/>
        <w:tblInd w:w="56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jc w:val="center"/>
              <w:rPr>
                <w:rFonts w:asciiTheme="majorEastAsia" w:hAnsiTheme="majorEastAsia" w:eastAsiaTheme="majorEastAsia"/>
                <w:sz w:val="24"/>
                <w:szCs w:val="20"/>
              </w:rPr>
            </w:pPr>
            <w:r>
              <w:rPr>
                <w:rFonts w:hint="eastAsia" w:asciiTheme="majorEastAsia" w:hAnsiTheme="majorEastAsia" w:eastAsiaTheme="majorEastAsia"/>
                <w:sz w:val="24"/>
              </w:rPr>
              <w:t>项目</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20" w:beforeLines="50"/>
              <w:jc w:val="center"/>
              <w:rPr>
                <w:rFonts w:asciiTheme="majorEastAsia" w:hAnsiTheme="majorEastAsia" w:eastAsiaTheme="majorEastAsia"/>
                <w:sz w:val="24"/>
                <w:szCs w:val="20"/>
              </w:rPr>
            </w:pPr>
            <w:r>
              <w:rPr>
                <w:rFonts w:hint="eastAsia" w:asciiTheme="majorEastAsia" w:hAnsiTheme="majorEastAsia" w:eastAsiaTheme="majorEastAsia"/>
                <w:sz w:val="24"/>
              </w:rPr>
              <w:t>招标文件要求</w:t>
            </w: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jc w:val="center"/>
              <w:rPr>
                <w:rFonts w:asciiTheme="majorEastAsia" w:hAnsiTheme="majorEastAsia" w:eastAsiaTheme="majorEastAsia"/>
                <w:sz w:val="24"/>
                <w:szCs w:val="20"/>
              </w:rPr>
            </w:pPr>
            <w:r>
              <w:rPr>
                <w:rFonts w:hint="eastAsia" w:asciiTheme="majorEastAsia" w:hAnsiTheme="majorEastAsia" w:eastAsiaTheme="majorEastAsia"/>
                <w:sz w:val="24"/>
              </w:rPr>
              <w:t>是否响应</w:t>
            </w: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jc w:val="center"/>
              <w:rPr>
                <w:rFonts w:asciiTheme="majorEastAsia" w:hAnsiTheme="majorEastAsia" w:eastAsiaTheme="majorEastAsia"/>
                <w:sz w:val="24"/>
                <w:szCs w:val="20"/>
              </w:rPr>
            </w:pPr>
            <w:r>
              <w:rPr>
                <w:rFonts w:hint="eastAsia" w:asciiTheme="majorEastAsia" w:hAnsiTheme="majorEastAsia" w:eastAsiaTheme="majorEastAsia"/>
                <w:sz w:val="24"/>
              </w:rPr>
              <w:t>投标人的承诺或说明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r>
              <w:rPr>
                <w:rFonts w:hint="eastAsia" w:asciiTheme="majorEastAsia" w:hAnsiTheme="majorEastAsia" w:eastAsiaTheme="majorEastAsia"/>
                <w:sz w:val="24"/>
              </w:rPr>
              <w:t>质保期</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r>
              <w:rPr>
                <w:rFonts w:hint="eastAsia" w:asciiTheme="majorEastAsia" w:hAnsiTheme="majorEastAsia" w:eastAsiaTheme="majorEastAsia"/>
                <w:sz w:val="24"/>
              </w:rPr>
              <w:t>售后技术服务要求</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r>
              <w:rPr>
                <w:rFonts w:hint="eastAsia" w:asciiTheme="majorEastAsia" w:hAnsiTheme="majorEastAsia" w:eastAsiaTheme="majorEastAsia"/>
                <w:sz w:val="24"/>
              </w:rPr>
              <w:t>交货时间</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r>
              <w:rPr>
                <w:rFonts w:hint="eastAsia" w:asciiTheme="majorEastAsia" w:hAnsiTheme="majorEastAsia" w:eastAsiaTheme="majorEastAsia"/>
                <w:sz w:val="24"/>
              </w:rPr>
              <w:t>合同签订后</w:t>
            </w:r>
            <w:r>
              <w:rPr>
                <w:rFonts w:hint="eastAsia" w:asciiTheme="majorEastAsia" w:hAnsiTheme="majorEastAsia" w:eastAsiaTheme="majorEastAsia"/>
                <w:sz w:val="24"/>
                <w:u w:val="single"/>
              </w:rPr>
              <w:t xml:space="preserve">     </w:t>
            </w:r>
            <w:r>
              <w:rPr>
                <w:rFonts w:asciiTheme="majorEastAsia" w:hAnsiTheme="majorEastAsia" w:eastAsiaTheme="majorEastAsia"/>
                <w:sz w:val="24"/>
              </w:rPr>
              <w:t>天内</w:t>
            </w:r>
            <w:r>
              <w:rPr>
                <w:rFonts w:asciiTheme="majorEastAsia" w:hAnsiTheme="majorEastAsia" w:eastAsiaTheme="majorEastAsia"/>
                <w:sz w:val="24"/>
                <w:u w:val="single"/>
              </w:rPr>
              <w:t xml:space="preserve"> </w:t>
            </w: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ind w:left="43"/>
              <w:rPr>
                <w:rFonts w:asciiTheme="majorEastAsia" w:hAnsiTheme="majorEastAsia" w:eastAsiaTheme="majorEastAsia"/>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ind w:left="43"/>
              <w:rPr>
                <w:rFonts w:asciiTheme="majorEastAsia" w:hAnsiTheme="majorEastAsia" w:eastAsiaTheme="majorEastAsia"/>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rPr>
            </w:pPr>
            <w:r>
              <w:rPr>
                <w:rFonts w:hint="eastAsia" w:asciiTheme="majorEastAsia" w:hAnsiTheme="majorEastAsia" w:eastAsiaTheme="majorEastAsia"/>
                <w:sz w:val="24"/>
              </w:rPr>
              <w:t>交货方式</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rPr>
            </w:pPr>
          </w:p>
          <w:p>
            <w:pPr>
              <w:snapToGrid w:val="0"/>
              <w:spacing w:before="120" w:beforeLines="50"/>
              <w:rPr>
                <w:rFonts w:asciiTheme="majorEastAsia" w:hAnsiTheme="majorEastAsia" w:eastAsiaTheme="majorEastAsia"/>
                <w:sz w:val="24"/>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ind w:left="43"/>
              <w:rPr>
                <w:rFonts w:asciiTheme="majorEastAsia" w:hAnsiTheme="majorEastAsia" w:eastAsiaTheme="majorEastAsia"/>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ind w:left="43"/>
              <w:rPr>
                <w:rFonts w:asciiTheme="majorEastAsia" w:hAnsiTheme="majorEastAsia" w:eastAsiaTheme="majorEastAsia"/>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rPr>
            </w:pPr>
            <w:r>
              <w:rPr>
                <w:rFonts w:hint="eastAsia" w:asciiTheme="majorEastAsia" w:hAnsiTheme="majorEastAsia" w:eastAsiaTheme="majorEastAsia"/>
                <w:sz w:val="24"/>
              </w:rPr>
              <w:t>交货地点</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rPr>
            </w:pPr>
          </w:p>
          <w:p>
            <w:pPr>
              <w:snapToGrid w:val="0"/>
              <w:spacing w:before="120" w:beforeLines="50"/>
              <w:rPr>
                <w:rFonts w:asciiTheme="majorEastAsia" w:hAnsiTheme="majorEastAsia" w:eastAsiaTheme="majorEastAsia"/>
                <w:sz w:val="24"/>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ind w:left="43"/>
              <w:rPr>
                <w:rFonts w:asciiTheme="majorEastAsia" w:hAnsiTheme="majorEastAsia" w:eastAsiaTheme="majorEastAsia"/>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ind w:left="43"/>
              <w:rPr>
                <w:rFonts w:asciiTheme="majorEastAsia" w:hAnsiTheme="majorEastAsia" w:eastAsiaTheme="majorEastAsia"/>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r>
              <w:rPr>
                <w:rFonts w:hint="eastAsia" w:asciiTheme="majorEastAsia" w:hAnsiTheme="majorEastAsia" w:eastAsiaTheme="majorEastAsia"/>
                <w:sz w:val="24"/>
              </w:rPr>
              <w:t>付款方式</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r>
              <w:rPr>
                <w:rFonts w:hint="eastAsia" w:asciiTheme="majorEastAsia" w:hAnsiTheme="majorEastAsia" w:eastAsiaTheme="majorEastAsia"/>
                <w:sz w:val="24"/>
                <w:szCs w:val="20"/>
              </w:rPr>
              <w:t>投标货币</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p>
            <w:pPr>
              <w:snapToGrid w:val="0"/>
              <w:spacing w:before="120" w:beforeLines="50"/>
              <w:rPr>
                <w:rFonts w:asciiTheme="majorEastAsia" w:hAnsiTheme="majorEastAsia" w:eastAsiaTheme="majorEastAsia"/>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rPr>
            </w:pPr>
            <w:r>
              <w:rPr>
                <w:rFonts w:hint="eastAsia" w:asciiTheme="majorEastAsia" w:hAnsiTheme="majorEastAsia" w:eastAsiaTheme="majorEastAsia"/>
                <w:sz w:val="24"/>
              </w:rPr>
              <w:t>备品备件及耗材等要求</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1548"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r>
              <w:rPr>
                <w:rFonts w:hint="eastAsia" w:asciiTheme="majorEastAsia" w:hAnsiTheme="majorEastAsia" w:eastAsiaTheme="majorEastAsia"/>
                <w:sz w:val="24"/>
              </w:rPr>
              <w:t>其他</w:t>
            </w:r>
          </w:p>
        </w:tc>
        <w:tc>
          <w:tcPr>
            <w:tcW w:w="270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126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c>
          <w:tcPr>
            <w:tcW w:w="3020" w:type="dxa"/>
            <w:tcBorders>
              <w:top w:val="single" w:color="auto" w:sz="4" w:space="0"/>
              <w:left w:val="single" w:color="auto" w:sz="4" w:space="0"/>
              <w:bottom w:val="single" w:color="auto" w:sz="4" w:space="0"/>
              <w:right w:val="single" w:color="auto" w:sz="4" w:space="0"/>
            </w:tcBorders>
          </w:tcPr>
          <w:p>
            <w:pPr>
              <w:snapToGrid w:val="0"/>
              <w:spacing w:before="120" w:beforeLines="50"/>
              <w:rPr>
                <w:rFonts w:asciiTheme="majorEastAsia" w:hAnsiTheme="majorEastAsia" w:eastAsiaTheme="majorEastAsia"/>
                <w:sz w:val="24"/>
                <w:szCs w:val="20"/>
              </w:rPr>
            </w:pPr>
          </w:p>
        </w:tc>
      </w:tr>
    </w:tbl>
    <w:p>
      <w:pPr>
        <w:ind w:firstLine="480" w:firstLineChars="200"/>
        <w:rPr>
          <w:rFonts w:asciiTheme="majorEastAsia" w:hAnsiTheme="majorEastAsia" w:eastAsiaTheme="majorEastAsia"/>
          <w:sz w:val="24"/>
          <w:szCs w:val="24"/>
        </w:rPr>
      </w:pPr>
    </w:p>
    <w:p>
      <w:pPr>
        <w:ind w:firstLine="480" w:firstLineChars="200"/>
        <w:rPr>
          <w:rFonts w:asciiTheme="majorEastAsia" w:hAnsiTheme="majorEastAsia" w:eastAsiaTheme="majorEastAsia"/>
          <w:sz w:val="24"/>
          <w:szCs w:val="24"/>
        </w:rPr>
      </w:pPr>
    </w:p>
    <w:p>
      <w:pPr>
        <w:ind w:firstLine="480" w:firstLineChars="200"/>
        <w:rPr>
          <w:rFonts w:asciiTheme="majorEastAsia" w:hAnsiTheme="majorEastAsia" w:eastAsiaTheme="majorEastAsia"/>
          <w:sz w:val="24"/>
          <w:szCs w:val="24"/>
        </w:rPr>
      </w:pPr>
      <w:r>
        <w:rPr>
          <w:rFonts w:hint="eastAsia" w:asciiTheme="majorEastAsia" w:hAnsiTheme="majorEastAsia" w:eastAsiaTheme="majorEastAsia"/>
          <w:sz w:val="24"/>
          <w:szCs w:val="24"/>
        </w:rPr>
        <w:t>法定代表人或授权代表签字：</w:t>
      </w:r>
    </w:p>
    <w:p>
      <w:pPr>
        <w:pStyle w:val="44"/>
        <w:ind w:firstLine="600"/>
        <w:rPr>
          <w:rFonts w:asciiTheme="majorEastAsia" w:hAnsiTheme="majorEastAsia" w:eastAsiaTheme="majorEastAsia"/>
        </w:rPr>
      </w:pPr>
    </w:p>
    <w:bookmarkEnd w:id="165"/>
    <w:bookmarkEnd w:id="166"/>
    <w:p>
      <w:pPr>
        <w:pStyle w:val="125"/>
      </w:pPr>
    </w:p>
    <w:p>
      <w:pPr>
        <w:pStyle w:val="125"/>
      </w:pPr>
    </w:p>
    <w:p>
      <w:pPr>
        <w:pStyle w:val="125"/>
      </w:pPr>
    </w:p>
    <w:p>
      <w:pPr>
        <w:pStyle w:val="125"/>
      </w:pPr>
    </w:p>
    <w:p>
      <w:pPr>
        <w:pStyle w:val="2"/>
      </w:pPr>
    </w:p>
    <w:p>
      <w:pPr>
        <w:pStyle w:val="2"/>
      </w:pPr>
    </w:p>
    <w:p>
      <w:pPr>
        <w:pStyle w:val="2"/>
      </w:pPr>
    </w:p>
    <w:p>
      <w:pPr>
        <w:pStyle w:val="2"/>
      </w:pPr>
    </w:p>
    <w:p>
      <w:pPr>
        <w:pStyle w:val="6"/>
        <w:rPr>
          <w:rFonts w:asciiTheme="majorEastAsia" w:hAnsiTheme="majorEastAsia" w:eastAsiaTheme="majorEastAsia"/>
          <w:sz w:val="32"/>
          <w:szCs w:val="32"/>
        </w:rPr>
      </w:pPr>
      <w:r>
        <w:rPr>
          <w:rFonts w:hint="eastAsia" w:asciiTheme="majorEastAsia" w:hAnsiTheme="majorEastAsia" w:eastAsiaTheme="majorEastAsia"/>
          <w:sz w:val="32"/>
          <w:szCs w:val="32"/>
        </w:rPr>
        <w:t>九、施工方案</w:t>
      </w:r>
    </w:p>
    <w:p>
      <w:pPr>
        <w:spacing w:line="500" w:lineRule="exact"/>
        <w:rPr>
          <w:rFonts w:asciiTheme="majorEastAsia" w:hAnsiTheme="majorEastAsia" w:eastAsiaTheme="majorEastAsia"/>
          <w:sz w:val="32"/>
          <w:szCs w:val="32"/>
        </w:rPr>
      </w:pPr>
    </w:p>
    <w:sectPr>
      <w:pgSz w:w="11906" w:h="16838"/>
      <w:pgMar w:top="1134" w:right="1134" w:bottom="1134" w:left="1134" w:header="851" w:footer="680" w:gutter="0"/>
      <w:pgNumType w:fmt="numberInDash"/>
      <w:cols w:space="720" w:num="1"/>
      <w:docGrid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幼圆">
    <w:panose1 w:val="02010509060101010101"/>
    <w:charset w:val="86"/>
    <w:family w:val="modern"/>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方正黑体_GBK">
    <w:altName w:val="Arial Unicode MS"/>
    <w:panose1 w:val="00000000000000000000"/>
    <w:charset w:val="86"/>
    <w:family w:val="script"/>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 w:name="新宋体">
    <w:panose1 w:val="02010609030101010101"/>
    <w:charset w:val="86"/>
    <w:family w:val="modern"/>
    <w:pitch w:val="default"/>
    <w:sig w:usb0="00000283" w:usb1="288F0000" w:usb2="00000006" w:usb3="00000000" w:csb0="00040001" w:csb1="00000000"/>
  </w:font>
  <w:font w:name="Noto Sans Mono CJK JP Bold">
    <w:altName w:val="Arial"/>
    <w:panose1 w:val="00000000000000000000"/>
    <w:charset w:val="00"/>
    <w:family w:val="swiss"/>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02389262"/>
    </w:sdtPr>
    <w:sdtContent>
      <w:p>
        <w:pPr>
          <w:pStyle w:val="29"/>
          <w:jc w:val="center"/>
        </w:pPr>
        <w:r>
          <w:fldChar w:fldCharType="begin"/>
        </w:r>
        <w:r>
          <w:instrText xml:space="preserve">PAGE   \* MERGEFORMAT</w:instrText>
        </w:r>
        <w:r>
          <w:fldChar w:fldCharType="separate"/>
        </w:r>
        <w:r>
          <w:rPr>
            <w:rFonts w:hint="eastAsia"/>
            <w:lang w:val="zh-CN"/>
          </w:rPr>
          <w:t>１</w:t>
        </w:r>
        <w:r>
          <w:rPr>
            <w:lang w:val="zh-CN"/>
          </w:rPr>
          <w:fldChar w:fldCharType="end"/>
        </w:r>
      </w:p>
    </w:sdtContent>
  </w:sdt>
  <w:p>
    <w:pPr>
      <w:pStyle w:val="29"/>
      <w:jc w:val="center"/>
      <w:rPr>
        <w:b/>
        <w: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framePr w:wrap="around" w:vAnchor="text" w:hAnchor="margin" w:xAlign="center" w:y="1"/>
      <w:rPr>
        <w:rStyle w:val="49"/>
      </w:rPr>
    </w:pPr>
    <w:r>
      <w:fldChar w:fldCharType="begin"/>
    </w:r>
    <w:r>
      <w:rPr>
        <w:rStyle w:val="49"/>
      </w:rPr>
      <w:instrText xml:space="preserve">PAGE  </w:instrText>
    </w:r>
    <w:r>
      <w:fldChar w:fldCharType="separate"/>
    </w:r>
    <w:r>
      <w:rPr>
        <w:rStyle w:val="49"/>
      </w:rPr>
      <w:t>1</w:t>
    </w:r>
    <w:r>
      <w:fldChar w:fldCharType="end"/>
    </w:r>
  </w:p>
  <w:p>
    <w:pPr>
      <w:pStyle w:val="2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rPr>
        <w:b/>
        <w:i/>
      </w:rPr>
    </w:pPr>
    <w:r>
      <w:rPr>
        <w:sz w:val="20"/>
      </w:rPr>
      <w:pict>
        <v:shape id="文本框 2" o:spid="_x0000_s2049" o:spt="202" type="#_x0000_t202" style="position:absolute;left:0pt;margin-top:0pt;height:10.35pt;width:27.65pt;mso-position-horizontal:center;mso-position-horizontal-relative:margin;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">
          <v:path/>
          <v:fill on="f" focussize="0,0"/>
          <v:stroke on="f" joinstyle="miter"/>
          <v:imagedata o:title=""/>
          <o:lock v:ext="edit"/>
          <v:textbox inset="0mm,0mm,0mm,0mm" style="mso-fit-shape-to-text:t;">
            <w:txbxContent>
              <w:p>
                <w:pPr>
                  <w:pStyle w:val="29"/>
                </w:pPr>
                <w:r>
                  <w:fldChar w:fldCharType="begin"/>
                </w:r>
                <w:r>
                  <w:instrText xml:space="preserve"> PAGE  \* MERGEFORMAT </w:instrText>
                </w:r>
                <w:r>
                  <w:fldChar w:fldCharType="separate"/>
                </w:r>
                <w:r>
                  <w:t>- 8 -</w:t>
                </w:r>
                <w:r>
                  <w:fldChar w:fldCharType="end"/>
                </w:r>
              </w:p>
            </w:txbxContent>
          </v:textbox>
        </v:shape>
      </w:pict>
    </w:r>
    <w:r>
      <w:rPr>
        <w:b/>
        <w:i/>
        <w:kern w:val="0"/>
        <w:sz w:val="20"/>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rPr>
        <w:rFonts w:hint="eastAsia"/>
      </w:rPr>
      <w:t>江苏医药职业学院</w:t>
    </w:r>
    <w:r>
      <w:t>SY2021-0</w:t>
    </w:r>
    <w:r>
      <w:rPr>
        <w:rFonts w:hint="eastAsia"/>
      </w:rPr>
      <w:t xml:space="preserve">76 </w:t>
    </w:r>
    <w:r>
      <w:t>-</w:t>
    </w:r>
    <w:r>
      <w:rPr>
        <w:rFonts w:hint="eastAsia"/>
      </w:rPr>
      <w:t>GC</w:t>
    </w:r>
    <w:r>
      <w:t>-JC</w:t>
    </w:r>
    <w:r>
      <w:rPr>
        <w:rFonts w:hint="eastAsia"/>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rPr>
        <w:b/>
      </w:rPr>
    </w:pPr>
    <w:r>
      <w:rPr>
        <w:rFonts w:hint="eastAsia"/>
        <w:b/>
      </w:rPr>
      <w:t>江苏医药职业学院</w:t>
    </w:r>
    <w:r>
      <w:rPr>
        <w:b/>
      </w:rPr>
      <w:t>SY2021-0</w:t>
    </w:r>
    <w:r>
      <w:rPr>
        <w:rFonts w:hint="eastAsia"/>
        <w:b/>
      </w:rPr>
      <w:t>76</w:t>
    </w:r>
    <w:r>
      <w:rPr>
        <w:b/>
      </w:rPr>
      <w:t>-</w:t>
    </w:r>
    <w:r>
      <w:rPr>
        <w:rFonts w:hint="eastAsia"/>
        <w:b/>
      </w:rPr>
      <w:t>GC</w:t>
    </w:r>
    <w:r>
      <w:rPr>
        <w:b/>
      </w:rPr>
      <w:t>-</w:t>
    </w:r>
    <w:r>
      <w:rPr>
        <w:rFonts w:hint="eastAsia"/>
        <w:b/>
      </w:rPr>
      <w:t>JC招标文件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AB285A"/>
    <w:multiLevelType w:val="multilevel"/>
    <w:tmpl w:val="08AB285A"/>
    <w:lvl w:ilvl="0" w:tentative="0">
      <w:start w:val="2"/>
      <w:numFmt w:val="decimal"/>
      <w:lvlText w:val="%1、"/>
      <w:lvlJc w:val="left"/>
      <w:pPr>
        <w:tabs>
          <w:tab w:val="left" w:pos="840"/>
        </w:tabs>
        <w:ind w:left="840" w:hanging="360"/>
      </w:pPr>
      <w:rPr>
        <w:rFonts w:hint="default"/>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1">
    <w:nsid w:val="1571B291"/>
    <w:multiLevelType w:val="singleLevel"/>
    <w:tmpl w:val="1571B291"/>
    <w:lvl w:ilvl="0" w:tentative="0">
      <w:start w:val="6"/>
      <w:numFmt w:val="chineseCounting"/>
      <w:suff w:val="nothing"/>
      <w:lvlText w:val="%1、"/>
      <w:lvlJc w:val="left"/>
      <w:rPr>
        <w:rFonts w:hint="eastAsia"/>
      </w:rPr>
    </w:lvl>
  </w:abstractNum>
  <w:abstractNum w:abstractNumId="2">
    <w:nsid w:val="23CA3DFE"/>
    <w:multiLevelType w:val="singleLevel"/>
    <w:tmpl w:val="23CA3DFE"/>
    <w:lvl w:ilvl="0" w:tentative="0">
      <w:start w:val="1"/>
      <w:numFmt w:val="decimal"/>
      <w:lvlText w:val="%1、"/>
      <w:lvlJc w:val="left"/>
      <w:pPr>
        <w:tabs>
          <w:tab w:val="left" w:pos="480"/>
        </w:tabs>
        <w:ind w:left="480" w:hanging="480"/>
      </w:pPr>
    </w:lvl>
  </w:abstractNum>
  <w:abstractNum w:abstractNumId="3">
    <w:nsid w:val="5A2B9532"/>
    <w:multiLevelType w:val="singleLevel"/>
    <w:tmpl w:val="5A2B9532"/>
    <w:lvl w:ilvl="0" w:tentative="0">
      <w:start w:val="2"/>
      <w:numFmt w:val="decimal"/>
      <w:suff w:val="space"/>
      <w:lvlText w:val="%1."/>
      <w:lvlJc w:val="left"/>
      <w:pPr>
        <w:ind w:left="0" w:firstLine="0"/>
      </w:pPr>
    </w:lvl>
  </w:abstractNum>
  <w:num w:numId="1">
    <w:abstractNumId w:val="1"/>
  </w:num>
  <w:num w:numId="2">
    <w:abstractNumId w:val="2"/>
  </w:num>
  <w:num w:numId="3">
    <w:abstractNumId w:val="3"/>
    <w:lvlOverride w:ilvl="0">
      <w:startOverride w:val="2"/>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45"/>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940C2"/>
    <w:rsid w:val="00003269"/>
    <w:rsid w:val="00006E03"/>
    <w:rsid w:val="00007F0D"/>
    <w:rsid w:val="00011F0E"/>
    <w:rsid w:val="0001283C"/>
    <w:rsid w:val="00012911"/>
    <w:rsid w:val="00012FC1"/>
    <w:rsid w:val="00014A42"/>
    <w:rsid w:val="000151CC"/>
    <w:rsid w:val="00015C6B"/>
    <w:rsid w:val="00022708"/>
    <w:rsid w:val="00022EA0"/>
    <w:rsid w:val="00025342"/>
    <w:rsid w:val="000324C7"/>
    <w:rsid w:val="000329C5"/>
    <w:rsid w:val="00033CCE"/>
    <w:rsid w:val="00034A56"/>
    <w:rsid w:val="00035751"/>
    <w:rsid w:val="00050739"/>
    <w:rsid w:val="00051179"/>
    <w:rsid w:val="00053B7A"/>
    <w:rsid w:val="00055468"/>
    <w:rsid w:val="00057E9F"/>
    <w:rsid w:val="00063C1C"/>
    <w:rsid w:val="00065B48"/>
    <w:rsid w:val="000664C5"/>
    <w:rsid w:val="00067C76"/>
    <w:rsid w:val="00067C78"/>
    <w:rsid w:val="00071BB2"/>
    <w:rsid w:val="000767A9"/>
    <w:rsid w:val="00080FB5"/>
    <w:rsid w:val="00084135"/>
    <w:rsid w:val="000861E1"/>
    <w:rsid w:val="000914E8"/>
    <w:rsid w:val="0009688D"/>
    <w:rsid w:val="000969CC"/>
    <w:rsid w:val="000A285B"/>
    <w:rsid w:val="000A45EB"/>
    <w:rsid w:val="000A460B"/>
    <w:rsid w:val="000A4F3A"/>
    <w:rsid w:val="000A60F4"/>
    <w:rsid w:val="000A64AA"/>
    <w:rsid w:val="000A69CB"/>
    <w:rsid w:val="000B63E8"/>
    <w:rsid w:val="000B79A8"/>
    <w:rsid w:val="000B7A95"/>
    <w:rsid w:val="000B7D0C"/>
    <w:rsid w:val="000C068B"/>
    <w:rsid w:val="000C1AAD"/>
    <w:rsid w:val="000C3B44"/>
    <w:rsid w:val="000C3CA7"/>
    <w:rsid w:val="000C3F40"/>
    <w:rsid w:val="000C4A0C"/>
    <w:rsid w:val="000C6CC0"/>
    <w:rsid w:val="000C73E6"/>
    <w:rsid w:val="000C78D4"/>
    <w:rsid w:val="000D1003"/>
    <w:rsid w:val="000D148A"/>
    <w:rsid w:val="000D7A3B"/>
    <w:rsid w:val="000E663D"/>
    <w:rsid w:val="000F14D5"/>
    <w:rsid w:val="000F3053"/>
    <w:rsid w:val="000F4F4F"/>
    <w:rsid w:val="000F6C2D"/>
    <w:rsid w:val="00101305"/>
    <w:rsid w:val="00105664"/>
    <w:rsid w:val="001056B4"/>
    <w:rsid w:val="00116BD6"/>
    <w:rsid w:val="001170E2"/>
    <w:rsid w:val="001175FD"/>
    <w:rsid w:val="0012177E"/>
    <w:rsid w:val="00121D98"/>
    <w:rsid w:val="001310C3"/>
    <w:rsid w:val="0013304C"/>
    <w:rsid w:val="00133DC3"/>
    <w:rsid w:val="00136002"/>
    <w:rsid w:val="00147D93"/>
    <w:rsid w:val="00151939"/>
    <w:rsid w:val="00155AD4"/>
    <w:rsid w:val="00156BE9"/>
    <w:rsid w:val="00161F4E"/>
    <w:rsid w:val="00163C1B"/>
    <w:rsid w:val="0016741C"/>
    <w:rsid w:val="00167D9E"/>
    <w:rsid w:val="00170AC5"/>
    <w:rsid w:val="00171747"/>
    <w:rsid w:val="001761A3"/>
    <w:rsid w:val="0018253A"/>
    <w:rsid w:val="00182FB4"/>
    <w:rsid w:val="00186A71"/>
    <w:rsid w:val="00186FAF"/>
    <w:rsid w:val="00187E3C"/>
    <w:rsid w:val="00197488"/>
    <w:rsid w:val="001A2DCE"/>
    <w:rsid w:val="001A441F"/>
    <w:rsid w:val="001A49F5"/>
    <w:rsid w:val="001A6F65"/>
    <w:rsid w:val="001B0148"/>
    <w:rsid w:val="001B56EE"/>
    <w:rsid w:val="001C2CEE"/>
    <w:rsid w:val="001D0084"/>
    <w:rsid w:val="001D06FC"/>
    <w:rsid w:val="001D50A4"/>
    <w:rsid w:val="001E0CFF"/>
    <w:rsid w:val="001E3F05"/>
    <w:rsid w:val="001E4668"/>
    <w:rsid w:val="001E5788"/>
    <w:rsid w:val="001E5B55"/>
    <w:rsid w:val="001F479F"/>
    <w:rsid w:val="001F6AFF"/>
    <w:rsid w:val="00201074"/>
    <w:rsid w:val="00204A2F"/>
    <w:rsid w:val="00207E96"/>
    <w:rsid w:val="002179B3"/>
    <w:rsid w:val="00223E75"/>
    <w:rsid w:val="002248EA"/>
    <w:rsid w:val="002270D5"/>
    <w:rsid w:val="00227ABC"/>
    <w:rsid w:val="00231542"/>
    <w:rsid w:val="00243EED"/>
    <w:rsid w:val="00245547"/>
    <w:rsid w:val="0025368D"/>
    <w:rsid w:val="00254FE7"/>
    <w:rsid w:val="00256EEB"/>
    <w:rsid w:val="0026202D"/>
    <w:rsid w:val="00262E1F"/>
    <w:rsid w:val="002636A6"/>
    <w:rsid w:val="002678E3"/>
    <w:rsid w:val="00274524"/>
    <w:rsid w:val="00276378"/>
    <w:rsid w:val="002765EE"/>
    <w:rsid w:val="0027782E"/>
    <w:rsid w:val="0028050E"/>
    <w:rsid w:val="002825D5"/>
    <w:rsid w:val="00286B91"/>
    <w:rsid w:val="00287832"/>
    <w:rsid w:val="00293AF9"/>
    <w:rsid w:val="00295646"/>
    <w:rsid w:val="002A03D0"/>
    <w:rsid w:val="002A0C29"/>
    <w:rsid w:val="002A6C21"/>
    <w:rsid w:val="002A744B"/>
    <w:rsid w:val="002B0C54"/>
    <w:rsid w:val="002B190F"/>
    <w:rsid w:val="002B3403"/>
    <w:rsid w:val="002B7081"/>
    <w:rsid w:val="002B7AEB"/>
    <w:rsid w:val="002B7B13"/>
    <w:rsid w:val="002C0718"/>
    <w:rsid w:val="002C678A"/>
    <w:rsid w:val="002C6D16"/>
    <w:rsid w:val="002C71EC"/>
    <w:rsid w:val="002D0D69"/>
    <w:rsid w:val="002D0ED2"/>
    <w:rsid w:val="002D2B47"/>
    <w:rsid w:val="002D3438"/>
    <w:rsid w:val="002D7AA0"/>
    <w:rsid w:val="002E3379"/>
    <w:rsid w:val="002E667B"/>
    <w:rsid w:val="002F6F52"/>
    <w:rsid w:val="003011B6"/>
    <w:rsid w:val="00301EB0"/>
    <w:rsid w:val="003048F2"/>
    <w:rsid w:val="0030544F"/>
    <w:rsid w:val="00305A13"/>
    <w:rsid w:val="00306D29"/>
    <w:rsid w:val="00306F2F"/>
    <w:rsid w:val="00317D83"/>
    <w:rsid w:val="003202C3"/>
    <w:rsid w:val="00330B9D"/>
    <w:rsid w:val="00335F90"/>
    <w:rsid w:val="003408D2"/>
    <w:rsid w:val="00344330"/>
    <w:rsid w:val="00344E78"/>
    <w:rsid w:val="0034641A"/>
    <w:rsid w:val="0035165F"/>
    <w:rsid w:val="00353D28"/>
    <w:rsid w:val="00355720"/>
    <w:rsid w:val="00355ABF"/>
    <w:rsid w:val="003562A8"/>
    <w:rsid w:val="00361B77"/>
    <w:rsid w:val="00363491"/>
    <w:rsid w:val="00367C21"/>
    <w:rsid w:val="0037091B"/>
    <w:rsid w:val="00373685"/>
    <w:rsid w:val="00373939"/>
    <w:rsid w:val="003766AE"/>
    <w:rsid w:val="003766BB"/>
    <w:rsid w:val="00380868"/>
    <w:rsid w:val="0038100D"/>
    <w:rsid w:val="00382D7B"/>
    <w:rsid w:val="003845AE"/>
    <w:rsid w:val="00385123"/>
    <w:rsid w:val="00387D5F"/>
    <w:rsid w:val="00392FD7"/>
    <w:rsid w:val="0039631F"/>
    <w:rsid w:val="003B09AE"/>
    <w:rsid w:val="003B1B8E"/>
    <w:rsid w:val="003B2844"/>
    <w:rsid w:val="003C1B2A"/>
    <w:rsid w:val="003D4749"/>
    <w:rsid w:val="003E4A6F"/>
    <w:rsid w:val="003E4FE4"/>
    <w:rsid w:val="003F3D88"/>
    <w:rsid w:val="003F6370"/>
    <w:rsid w:val="00402FE7"/>
    <w:rsid w:val="0040377F"/>
    <w:rsid w:val="00404DD3"/>
    <w:rsid w:val="00406DF2"/>
    <w:rsid w:val="0040793E"/>
    <w:rsid w:val="00422C3E"/>
    <w:rsid w:val="00423DCD"/>
    <w:rsid w:val="0042460F"/>
    <w:rsid w:val="00425C2C"/>
    <w:rsid w:val="0042796F"/>
    <w:rsid w:val="004317BA"/>
    <w:rsid w:val="004320D7"/>
    <w:rsid w:val="00432D31"/>
    <w:rsid w:val="00433CED"/>
    <w:rsid w:val="004400E7"/>
    <w:rsid w:val="00442019"/>
    <w:rsid w:val="00442090"/>
    <w:rsid w:val="0044232C"/>
    <w:rsid w:val="00444D84"/>
    <w:rsid w:val="004552B0"/>
    <w:rsid w:val="00462A6D"/>
    <w:rsid w:val="004635C9"/>
    <w:rsid w:val="00467900"/>
    <w:rsid w:val="00472925"/>
    <w:rsid w:val="00472D8E"/>
    <w:rsid w:val="00472FFE"/>
    <w:rsid w:val="0047365D"/>
    <w:rsid w:val="0047592B"/>
    <w:rsid w:val="004773D6"/>
    <w:rsid w:val="00480BDC"/>
    <w:rsid w:val="00481174"/>
    <w:rsid w:val="00481E8C"/>
    <w:rsid w:val="00486839"/>
    <w:rsid w:val="0049493D"/>
    <w:rsid w:val="004A1528"/>
    <w:rsid w:val="004A2C07"/>
    <w:rsid w:val="004A3B01"/>
    <w:rsid w:val="004A4519"/>
    <w:rsid w:val="004A4C4E"/>
    <w:rsid w:val="004A70BD"/>
    <w:rsid w:val="004B07CC"/>
    <w:rsid w:val="004B09ED"/>
    <w:rsid w:val="004B219D"/>
    <w:rsid w:val="004B48CC"/>
    <w:rsid w:val="004B75B9"/>
    <w:rsid w:val="004B77D9"/>
    <w:rsid w:val="004C02CE"/>
    <w:rsid w:val="004C210E"/>
    <w:rsid w:val="004C3EB5"/>
    <w:rsid w:val="004C4E44"/>
    <w:rsid w:val="004C4E9F"/>
    <w:rsid w:val="004D456A"/>
    <w:rsid w:val="004E416D"/>
    <w:rsid w:val="004E417E"/>
    <w:rsid w:val="004E6F25"/>
    <w:rsid w:val="004F2394"/>
    <w:rsid w:val="004F7288"/>
    <w:rsid w:val="004F73CE"/>
    <w:rsid w:val="004F7761"/>
    <w:rsid w:val="005014A2"/>
    <w:rsid w:val="00504855"/>
    <w:rsid w:val="005070D6"/>
    <w:rsid w:val="0051022C"/>
    <w:rsid w:val="00510A37"/>
    <w:rsid w:val="00511B9E"/>
    <w:rsid w:val="0052157B"/>
    <w:rsid w:val="005251BF"/>
    <w:rsid w:val="00525754"/>
    <w:rsid w:val="00533C43"/>
    <w:rsid w:val="00534587"/>
    <w:rsid w:val="005358CC"/>
    <w:rsid w:val="00546920"/>
    <w:rsid w:val="00550677"/>
    <w:rsid w:val="005507A1"/>
    <w:rsid w:val="005509CB"/>
    <w:rsid w:val="00550A52"/>
    <w:rsid w:val="005547E7"/>
    <w:rsid w:val="00555C54"/>
    <w:rsid w:val="005575E9"/>
    <w:rsid w:val="00560C1E"/>
    <w:rsid w:val="00560E7E"/>
    <w:rsid w:val="00563D48"/>
    <w:rsid w:val="005646D6"/>
    <w:rsid w:val="00571B07"/>
    <w:rsid w:val="00573971"/>
    <w:rsid w:val="00573FF9"/>
    <w:rsid w:val="00574EAE"/>
    <w:rsid w:val="005759A4"/>
    <w:rsid w:val="00580100"/>
    <w:rsid w:val="005808BA"/>
    <w:rsid w:val="00592324"/>
    <w:rsid w:val="00594824"/>
    <w:rsid w:val="0059757C"/>
    <w:rsid w:val="005A2354"/>
    <w:rsid w:val="005A3223"/>
    <w:rsid w:val="005B12E0"/>
    <w:rsid w:val="005B18DA"/>
    <w:rsid w:val="005B5C97"/>
    <w:rsid w:val="005B7A03"/>
    <w:rsid w:val="005C04AF"/>
    <w:rsid w:val="005C0A21"/>
    <w:rsid w:val="005C1D2F"/>
    <w:rsid w:val="005C1FFB"/>
    <w:rsid w:val="005C21BC"/>
    <w:rsid w:val="005C33D2"/>
    <w:rsid w:val="005C358E"/>
    <w:rsid w:val="005C6EB7"/>
    <w:rsid w:val="005D2771"/>
    <w:rsid w:val="005D2B81"/>
    <w:rsid w:val="005D33DF"/>
    <w:rsid w:val="005D42F8"/>
    <w:rsid w:val="005D46D8"/>
    <w:rsid w:val="005E415C"/>
    <w:rsid w:val="005E48EF"/>
    <w:rsid w:val="005E49BA"/>
    <w:rsid w:val="005E72D7"/>
    <w:rsid w:val="005F0417"/>
    <w:rsid w:val="005F0F1D"/>
    <w:rsid w:val="005F4DAA"/>
    <w:rsid w:val="005F553B"/>
    <w:rsid w:val="005F555E"/>
    <w:rsid w:val="005F5BB6"/>
    <w:rsid w:val="005F6D48"/>
    <w:rsid w:val="0060255F"/>
    <w:rsid w:val="0060314B"/>
    <w:rsid w:val="00614C4B"/>
    <w:rsid w:val="00616D11"/>
    <w:rsid w:val="00617BE9"/>
    <w:rsid w:val="00620693"/>
    <w:rsid w:val="00621B84"/>
    <w:rsid w:val="006310CB"/>
    <w:rsid w:val="00631AB2"/>
    <w:rsid w:val="00631D4E"/>
    <w:rsid w:val="0063277F"/>
    <w:rsid w:val="00637950"/>
    <w:rsid w:val="00642AAE"/>
    <w:rsid w:val="00642E70"/>
    <w:rsid w:val="00643AEE"/>
    <w:rsid w:val="006442EC"/>
    <w:rsid w:val="0064494A"/>
    <w:rsid w:val="00650A72"/>
    <w:rsid w:val="00650C39"/>
    <w:rsid w:val="00655A9D"/>
    <w:rsid w:val="00657BEE"/>
    <w:rsid w:val="006605DE"/>
    <w:rsid w:val="00663C5F"/>
    <w:rsid w:val="00664390"/>
    <w:rsid w:val="006644D1"/>
    <w:rsid w:val="00667B5C"/>
    <w:rsid w:val="006716F8"/>
    <w:rsid w:val="00672F06"/>
    <w:rsid w:val="00674555"/>
    <w:rsid w:val="00675610"/>
    <w:rsid w:val="00677B37"/>
    <w:rsid w:val="00680B0C"/>
    <w:rsid w:val="006908F3"/>
    <w:rsid w:val="00690C93"/>
    <w:rsid w:val="00693276"/>
    <w:rsid w:val="006A1D3D"/>
    <w:rsid w:val="006A42F0"/>
    <w:rsid w:val="006A540F"/>
    <w:rsid w:val="006B498E"/>
    <w:rsid w:val="006B7485"/>
    <w:rsid w:val="006C3B63"/>
    <w:rsid w:val="006D27E6"/>
    <w:rsid w:val="006D2DC6"/>
    <w:rsid w:val="006E4C71"/>
    <w:rsid w:val="006E5AEE"/>
    <w:rsid w:val="006F1BE6"/>
    <w:rsid w:val="006F49DB"/>
    <w:rsid w:val="006F6A43"/>
    <w:rsid w:val="007017CC"/>
    <w:rsid w:val="00704534"/>
    <w:rsid w:val="0070592F"/>
    <w:rsid w:val="00705A5B"/>
    <w:rsid w:val="0071102C"/>
    <w:rsid w:val="00711668"/>
    <w:rsid w:val="0071285F"/>
    <w:rsid w:val="007132E1"/>
    <w:rsid w:val="00715F9D"/>
    <w:rsid w:val="0071610D"/>
    <w:rsid w:val="00725012"/>
    <w:rsid w:val="00725C21"/>
    <w:rsid w:val="007270F0"/>
    <w:rsid w:val="00731067"/>
    <w:rsid w:val="007343AE"/>
    <w:rsid w:val="00741045"/>
    <w:rsid w:val="00741C60"/>
    <w:rsid w:val="007434E6"/>
    <w:rsid w:val="0074664B"/>
    <w:rsid w:val="00746F12"/>
    <w:rsid w:val="00750568"/>
    <w:rsid w:val="00750F3C"/>
    <w:rsid w:val="00750FFA"/>
    <w:rsid w:val="007544AF"/>
    <w:rsid w:val="00766356"/>
    <w:rsid w:val="00767BF9"/>
    <w:rsid w:val="00770ED5"/>
    <w:rsid w:val="00773056"/>
    <w:rsid w:val="00773851"/>
    <w:rsid w:val="00776DFB"/>
    <w:rsid w:val="00777D8D"/>
    <w:rsid w:val="0079019A"/>
    <w:rsid w:val="007932BA"/>
    <w:rsid w:val="00796EDC"/>
    <w:rsid w:val="00797780"/>
    <w:rsid w:val="007A279B"/>
    <w:rsid w:val="007A74A1"/>
    <w:rsid w:val="007B19D8"/>
    <w:rsid w:val="007B1AAC"/>
    <w:rsid w:val="007B32D5"/>
    <w:rsid w:val="007C41E8"/>
    <w:rsid w:val="007D208F"/>
    <w:rsid w:val="007D2125"/>
    <w:rsid w:val="007D674D"/>
    <w:rsid w:val="007D7BD6"/>
    <w:rsid w:val="007E1AA9"/>
    <w:rsid w:val="007E67F4"/>
    <w:rsid w:val="007F22AF"/>
    <w:rsid w:val="007F22C2"/>
    <w:rsid w:val="007F63DD"/>
    <w:rsid w:val="008033D2"/>
    <w:rsid w:val="00804453"/>
    <w:rsid w:val="00806271"/>
    <w:rsid w:val="00806418"/>
    <w:rsid w:val="008118DC"/>
    <w:rsid w:val="00813C1A"/>
    <w:rsid w:val="0081445F"/>
    <w:rsid w:val="008217EB"/>
    <w:rsid w:val="00822070"/>
    <w:rsid w:val="0083005C"/>
    <w:rsid w:val="00833A9D"/>
    <w:rsid w:val="00844979"/>
    <w:rsid w:val="00844A54"/>
    <w:rsid w:val="00846694"/>
    <w:rsid w:val="008474FF"/>
    <w:rsid w:val="00856337"/>
    <w:rsid w:val="008574AE"/>
    <w:rsid w:val="008579B3"/>
    <w:rsid w:val="00870F4E"/>
    <w:rsid w:val="00871EB1"/>
    <w:rsid w:val="00873541"/>
    <w:rsid w:val="00876F10"/>
    <w:rsid w:val="008867FB"/>
    <w:rsid w:val="0088726E"/>
    <w:rsid w:val="00890EA1"/>
    <w:rsid w:val="008935C7"/>
    <w:rsid w:val="0089773A"/>
    <w:rsid w:val="008A0F74"/>
    <w:rsid w:val="008A2E43"/>
    <w:rsid w:val="008A300B"/>
    <w:rsid w:val="008A3077"/>
    <w:rsid w:val="008A4125"/>
    <w:rsid w:val="008A656E"/>
    <w:rsid w:val="008B38E2"/>
    <w:rsid w:val="008B6609"/>
    <w:rsid w:val="008B68A3"/>
    <w:rsid w:val="008B7BBD"/>
    <w:rsid w:val="008C06FA"/>
    <w:rsid w:val="008C47A9"/>
    <w:rsid w:val="008C5B5D"/>
    <w:rsid w:val="008D0C1B"/>
    <w:rsid w:val="008D62D6"/>
    <w:rsid w:val="008E4663"/>
    <w:rsid w:val="008E516D"/>
    <w:rsid w:val="008E7283"/>
    <w:rsid w:val="008F2465"/>
    <w:rsid w:val="008F3110"/>
    <w:rsid w:val="008F3CD3"/>
    <w:rsid w:val="009007F9"/>
    <w:rsid w:val="00900E3E"/>
    <w:rsid w:val="00903E6D"/>
    <w:rsid w:val="00905DA7"/>
    <w:rsid w:val="00912436"/>
    <w:rsid w:val="0091285A"/>
    <w:rsid w:val="0091571D"/>
    <w:rsid w:val="00916B0C"/>
    <w:rsid w:val="00920154"/>
    <w:rsid w:val="0092021D"/>
    <w:rsid w:val="00926D8C"/>
    <w:rsid w:val="00940713"/>
    <w:rsid w:val="0094258C"/>
    <w:rsid w:val="00946B25"/>
    <w:rsid w:val="00950551"/>
    <w:rsid w:val="00952A91"/>
    <w:rsid w:val="00953DB8"/>
    <w:rsid w:val="00955AA1"/>
    <w:rsid w:val="00957AC3"/>
    <w:rsid w:val="009624B5"/>
    <w:rsid w:val="00963D25"/>
    <w:rsid w:val="0096417C"/>
    <w:rsid w:val="00967544"/>
    <w:rsid w:val="00967F1D"/>
    <w:rsid w:val="00974069"/>
    <w:rsid w:val="00974ADC"/>
    <w:rsid w:val="00981F78"/>
    <w:rsid w:val="00982551"/>
    <w:rsid w:val="00982D94"/>
    <w:rsid w:val="00983704"/>
    <w:rsid w:val="00985D4F"/>
    <w:rsid w:val="00991C1B"/>
    <w:rsid w:val="00992C7F"/>
    <w:rsid w:val="00996737"/>
    <w:rsid w:val="009A0177"/>
    <w:rsid w:val="009A1E45"/>
    <w:rsid w:val="009A2C1A"/>
    <w:rsid w:val="009A4A7E"/>
    <w:rsid w:val="009A582C"/>
    <w:rsid w:val="009B0372"/>
    <w:rsid w:val="009B28D1"/>
    <w:rsid w:val="009B5793"/>
    <w:rsid w:val="009B7D05"/>
    <w:rsid w:val="009C2D14"/>
    <w:rsid w:val="009C5BCE"/>
    <w:rsid w:val="009E1C38"/>
    <w:rsid w:val="009E4921"/>
    <w:rsid w:val="009E4EA1"/>
    <w:rsid w:val="009E52B8"/>
    <w:rsid w:val="009E5DC6"/>
    <w:rsid w:val="009F122E"/>
    <w:rsid w:val="009F41AE"/>
    <w:rsid w:val="009F5638"/>
    <w:rsid w:val="009F6816"/>
    <w:rsid w:val="009F70D3"/>
    <w:rsid w:val="009F7F1C"/>
    <w:rsid w:val="00A0184A"/>
    <w:rsid w:val="00A04D48"/>
    <w:rsid w:val="00A050AD"/>
    <w:rsid w:val="00A1075E"/>
    <w:rsid w:val="00A10B64"/>
    <w:rsid w:val="00A1676E"/>
    <w:rsid w:val="00A218A5"/>
    <w:rsid w:val="00A2610C"/>
    <w:rsid w:val="00A27BF3"/>
    <w:rsid w:val="00A30455"/>
    <w:rsid w:val="00A32700"/>
    <w:rsid w:val="00A34430"/>
    <w:rsid w:val="00A43396"/>
    <w:rsid w:val="00A53E8B"/>
    <w:rsid w:val="00A542A1"/>
    <w:rsid w:val="00A573F1"/>
    <w:rsid w:val="00A632B3"/>
    <w:rsid w:val="00A63D0E"/>
    <w:rsid w:val="00A64E8D"/>
    <w:rsid w:val="00A7297E"/>
    <w:rsid w:val="00A7517D"/>
    <w:rsid w:val="00A755C1"/>
    <w:rsid w:val="00A765E6"/>
    <w:rsid w:val="00A77069"/>
    <w:rsid w:val="00A83756"/>
    <w:rsid w:val="00A85362"/>
    <w:rsid w:val="00A855B1"/>
    <w:rsid w:val="00A86A55"/>
    <w:rsid w:val="00A91406"/>
    <w:rsid w:val="00A91A65"/>
    <w:rsid w:val="00A93D94"/>
    <w:rsid w:val="00A96B30"/>
    <w:rsid w:val="00AA0B5F"/>
    <w:rsid w:val="00AA3044"/>
    <w:rsid w:val="00AA3449"/>
    <w:rsid w:val="00AA4A70"/>
    <w:rsid w:val="00AA659E"/>
    <w:rsid w:val="00AA681A"/>
    <w:rsid w:val="00AB5731"/>
    <w:rsid w:val="00AB6723"/>
    <w:rsid w:val="00AB7C31"/>
    <w:rsid w:val="00AC0BE6"/>
    <w:rsid w:val="00AC7D1E"/>
    <w:rsid w:val="00AD370C"/>
    <w:rsid w:val="00AD41CC"/>
    <w:rsid w:val="00AE13FC"/>
    <w:rsid w:val="00AE1453"/>
    <w:rsid w:val="00AE2E87"/>
    <w:rsid w:val="00AE44E9"/>
    <w:rsid w:val="00AE53EC"/>
    <w:rsid w:val="00AE56C6"/>
    <w:rsid w:val="00AF50B0"/>
    <w:rsid w:val="00AF7507"/>
    <w:rsid w:val="00B00630"/>
    <w:rsid w:val="00B01A15"/>
    <w:rsid w:val="00B05545"/>
    <w:rsid w:val="00B056AF"/>
    <w:rsid w:val="00B135A9"/>
    <w:rsid w:val="00B1425F"/>
    <w:rsid w:val="00B21DB4"/>
    <w:rsid w:val="00B2553F"/>
    <w:rsid w:val="00B30828"/>
    <w:rsid w:val="00B33673"/>
    <w:rsid w:val="00B3469C"/>
    <w:rsid w:val="00B41971"/>
    <w:rsid w:val="00B41C4A"/>
    <w:rsid w:val="00B44E42"/>
    <w:rsid w:val="00B51463"/>
    <w:rsid w:val="00B51FAE"/>
    <w:rsid w:val="00B5276B"/>
    <w:rsid w:val="00B55032"/>
    <w:rsid w:val="00B55F67"/>
    <w:rsid w:val="00B629FD"/>
    <w:rsid w:val="00B66D77"/>
    <w:rsid w:val="00B740E6"/>
    <w:rsid w:val="00B809DE"/>
    <w:rsid w:val="00B85681"/>
    <w:rsid w:val="00B91952"/>
    <w:rsid w:val="00B9386E"/>
    <w:rsid w:val="00B93D33"/>
    <w:rsid w:val="00B94ED7"/>
    <w:rsid w:val="00B956B1"/>
    <w:rsid w:val="00BA01E8"/>
    <w:rsid w:val="00BA2C45"/>
    <w:rsid w:val="00BA3765"/>
    <w:rsid w:val="00BA5502"/>
    <w:rsid w:val="00BA5FD8"/>
    <w:rsid w:val="00BB15D7"/>
    <w:rsid w:val="00BB56B8"/>
    <w:rsid w:val="00BC0190"/>
    <w:rsid w:val="00BC07E2"/>
    <w:rsid w:val="00BC0952"/>
    <w:rsid w:val="00BC11F0"/>
    <w:rsid w:val="00BC144D"/>
    <w:rsid w:val="00BC18C3"/>
    <w:rsid w:val="00BC41AA"/>
    <w:rsid w:val="00BC4692"/>
    <w:rsid w:val="00BC7078"/>
    <w:rsid w:val="00BD1266"/>
    <w:rsid w:val="00BD4F0B"/>
    <w:rsid w:val="00BD68BB"/>
    <w:rsid w:val="00BD7230"/>
    <w:rsid w:val="00BE193D"/>
    <w:rsid w:val="00BF2FA9"/>
    <w:rsid w:val="00BF4C4F"/>
    <w:rsid w:val="00BF5041"/>
    <w:rsid w:val="00BF56B6"/>
    <w:rsid w:val="00C04130"/>
    <w:rsid w:val="00C0588D"/>
    <w:rsid w:val="00C067CF"/>
    <w:rsid w:val="00C06C9C"/>
    <w:rsid w:val="00C112F3"/>
    <w:rsid w:val="00C120C8"/>
    <w:rsid w:val="00C13602"/>
    <w:rsid w:val="00C13C8B"/>
    <w:rsid w:val="00C169E6"/>
    <w:rsid w:val="00C20F5A"/>
    <w:rsid w:val="00C225FD"/>
    <w:rsid w:val="00C251B6"/>
    <w:rsid w:val="00C2525B"/>
    <w:rsid w:val="00C324B6"/>
    <w:rsid w:val="00C34235"/>
    <w:rsid w:val="00C412A7"/>
    <w:rsid w:val="00C41EB5"/>
    <w:rsid w:val="00C4381B"/>
    <w:rsid w:val="00C46307"/>
    <w:rsid w:val="00C5307F"/>
    <w:rsid w:val="00C53EFB"/>
    <w:rsid w:val="00C5694A"/>
    <w:rsid w:val="00C56985"/>
    <w:rsid w:val="00C57E43"/>
    <w:rsid w:val="00C62921"/>
    <w:rsid w:val="00C63580"/>
    <w:rsid w:val="00C63598"/>
    <w:rsid w:val="00C65C47"/>
    <w:rsid w:val="00C70C2A"/>
    <w:rsid w:val="00C74F28"/>
    <w:rsid w:val="00C80292"/>
    <w:rsid w:val="00C812BD"/>
    <w:rsid w:val="00C835B8"/>
    <w:rsid w:val="00C849FA"/>
    <w:rsid w:val="00C90B40"/>
    <w:rsid w:val="00C9770E"/>
    <w:rsid w:val="00CA6AD2"/>
    <w:rsid w:val="00CA748F"/>
    <w:rsid w:val="00CB0869"/>
    <w:rsid w:val="00CB0AB8"/>
    <w:rsid w:val="00CB14CD"/>
    <w:rsid w:val="00CB18A5"/>
    <w:rsid w:val="00CB1BE6"/>
    <w:rsid w:val="00CB38C6"/>
    <w:rsid w:val="00CB740B"/>
    <w:rsid w:val="00CC0C0A"/>
    <w:rsid w:val="00CC171C"/>
    <w:rsid w:val="00CC1843"/>
    <w:rsid w:val="00CC6C9B"/>
    <w:rsid w:val="00CD0338"/>
    <w:rsid w:val="00CD7C77"/>
    <w:rsid w:val="00CE3E63"/>
    <w:rsid w:val="00CE471C"/>
    <w:rsid w:val="00CE5A71"/>
    <w:rsid w:val="00CE5BD1"/>
    <w:rsid w:val="00CE79A7"/>
    <w:rsid w:val="00CE7CD8"/>
    <w:rsid w:val="00CF1F7F"/>
    <w:rsid w:val="00CF4047"/>
    <w:rsid w:val="00D0623B"/>
    <w:rsid w:val="00D11472"/>
    <w:rsid w:val="00D17E5B"/>
    <w:rsid w:val="00D20AE3"/>
    <w:rsid w:val="00D224ED"/>
    <w:rsid w:val="00D267E9"/>
    <w:rsid w:val="00D26DEE"/>
    <w:rsid w:val="00D27E8D"/>
    <w:rsid w:val="00D362CA"/>
    <w:rsid w:val="00D37B22"/>
    <w:rsid w:val="00D41ED7"/>
    <w:rsid w:val="00D43DA3"/>
    <w:rsid w:val="00D50A48"/>
    <w:rsid w:val="00D524AB"/>
    <w:rsid w:val="00D5594C"/>
    <w:rsid w:val="00D57CF7"/>
    <w:rsid w:val="00D6172F"/>
    <w:rsid w:val="00D71C61"/>
    <w:rsid w:val="00D76172"/>
    <w:rsid w:val="00D77646"/>
    <w:rsid w:val="00D805D0"/>
    <w:rsid w:val="00D80711"/>
    <w:rsid w:val="00D82C07"/>
    <w:rsid w:val="00D904DD"/>
    <w:rsid w:val="00DA4D53"/>
    <w:rsid w:val="00DA7070"/>
    <w:rsid w:val="00DB2B41"/>
    <w:rsid w:val="00DB6441"/>
    <w:rsid w:val="00DC1066"/>
    <w:rsid w:val="00DC55AD"/>
    <w:rsid w:val="00DC5797"/>
    <w:rsid w:val="00DD0E7D"/>
    <w:rsid w:val="00DD3104"/>
    <w:rsid w:val="00DD4B71"/>
    <w:rsid w:val="00DD784D"/>
    <w:rsid w:val="00DE12F9"/>
    <w:rsid w:val="00DE184C"/>
    <w:rsid w:val="00DE4AAF"/>
    <w:rsid w:val="00DF0627"/>
    <w:rsid w:val="00DF06E8"/>
    <w:rsid w:val="00DF230B"/>
    <w:rsid w:val="00DF26AB"/>
    <w:rsid w:val="00DF2E12"/>
    <w:rsid w:val="00DF630B"/>
    <w:rsid w:val="00DF6497"/>
    <w:rsid w:val="00E001CF"/>
    <w:rsid w:val="00E00E8C"/>
    <w:rsid w:val="00E0111E"/>
    <w:rsid w:val="00E01C51"/>
    <w:rsid w:val="00E1124F"/>
    <w:rsid w:val="00E114FA"/>
    <w:rsid w:val="00E141A7"/>
    <w:rsid w:val="00E14575"/>
    <w:rsid w:val="00E14A75"/>
    <w:rsid w:val="00E17F2E"/>
    <w:rsid w:val="00E22672"/>
    <w:rsid w:val="00E30073"/>
    <w:rsid w:val="00E346D9"/>
    <w:rsid w:val="00E35C82"/>
    <w:rsid w:val="00E40069"/>
    <w:rsid w:val="00E55871"/>
    <w:rsid w:val="00E60237"/>
    <w:rsid w:val="00E635CA"/>
    <w:rsid w:val="00E64AFF"/>
    <w:rsid w:val="00E73125"/>
    <w:rsid w:val="00E735A9"/>
    <w:rsid w:val="00E8176C"/>
    <w:rsid w:val="00E857FD"/>
    <w:rsid w:val="00E86F38"/>
    <w:rsid w:val="00E87347"/>
    <w:rsid w:val="00E940C2"/>
    <w:rsid w:val="00E94CF8"/>
    <w:rsid w:val="00EA04B7"/>
    <w:rsid w:val="00EA53CD"/>
    <w:rsid w:val="00EA5F79"/>
    <w:rsid w:val="00EA65AD"/>
    <w:rsid w:val="00EB436F"/>
    <w:rsid w:val="00EB63F1"/>
    <w:rsid w:val="00EB77B5"/>
    <w:rsid w:val="00EC112C"/>
    <w:rsid w:val="00EC4534"/>
    <w:rsid w:val="00ED2D9F"/>
    <w:rsid w:val="00ED720A"/>
    <w:rsid w:val="00ED78AE"/>
    <w:rsid w:val="00ED7BA2"/>
    <w:rsid w:val="00EE0A65"/>
    <w:rsid w:val="00EE3D38"/>
    <w:rsid w:val="00EE6ED0"/>
    <w:rsid w:val="00EE7C30"/>
    <w:rsid w:val="00EF2170"/>
    <w:rsid w:val="00EF5DAA"/>
    <w:rsid w:val="00F0721B"/>
    <w:rsid w:val="00F07C60"/>
    <w:rsid w:val="00F07FEF"/>
    <w:rsid w:val="00F1010A"/>
    <w:rsid w:val="00F1273C"/>
    <w:rsid w:val="00F12B2F"/>
    <w:rsid w:val="00F141ED"/>
    <w:rsid w:val="00F151E6"/>
    <w:rsid w:val="00F1701D"/>
    <w:rsid w:val="00F224F7"/>
    <w:rsid w:val="00F328A1"/>
    <w:rsid w:val="00F403BB"/>
    <w:rsid w:val="00F43DAD"/>
    <w:rsid w:val="00F44265"/>
    <w:rsid w:val="00F506E5"/>
    <w:rsid w:val="00F51DDA"/>
    <w:rsid w:val="00F53DA1"/>
    <w:rsid w:val="00F54155"/>
    <w:rsid w:val="00F56A1A"/>
    <w:rsid w:val="00F7034D"/>
    <w:rsid w:val="00F77120"/>
    <w:rsid w:val="00F77D0B"/>
    <w:rsid w:val="00F80CFF"/>
    <w:rsid w:val="00F81821"/>
    <w:rsid w:val="00F8340D"/>
    <w:rsid w:val="00F837B2"/>
    <w:rsid w:val="00F9615C"/>
    <w:rsid w:val="00FA3516"/>
    <w:rsid w:val="00FA47CD"/>
    <w:rsid w:val="00FB4230"/>
    <w:rsid w:val="00FB4D3A"/>
    <w:rsid w:val="00FB64C0"/>
    <w:rsid w:val="00FD0FB1"/>
    <w:rsid w:val="00FD1B39"/>
    <w:rsid w:val="00FD6275"/>
    <w:rsid w:val="00FE0E12"/>
    <w:rsid w:val="00FE2856"/>
    <w:rsid w:val="00FE54B1"/>
    <w:rsid w:val="00FF4AF1"/>
    <w:rsid w:val="00FF4C51"/>
    <w:rsid w:val="00FF6933"/>
    <w:rsid w:val="00FF6A14"/>
    <w:rsid w:val="02F43E1B"/>
    <w:rsid w:val="0E7E39AF"/>
    <w:rsid w:val="0ECB6F11"/>
    <w:rsid w:val="126B4AE9"/>
    <w:rsid w:val="1B3D7E0D"/>
    <w:rsid w:val="1D196F61"/>
    <w:rsid w:val="1E5958C0"/>
    <w:rsid w:val="37983FF3"/>
    <w:rsid w:val="3AC44BA8"/>
    <w:rsid w:val="495C50B7"/>
    <w:rsid w:val="62126874"/>
    <w:rsid w:val="6C520331"/>
    <w:rsid w:val="6CF42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iPriority="35" w:name="caption"/>
    <w:lsdException w:qFormat="1" w:unhideWhenUsed="0" w:uiPriority="0" w:name="table of figures"/>
    <w:lsdException w:uiPriority="99" w:name="envelope address"/>
    <w:lsdException w:qFormat="1" w:uiPriority="99" w:semiHidden="0" w:name="envelope return"/>
    <w:lsdException w:uiPriority="99" w:name="footnote reference"/>
    <w:lsdException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5">
    <w:name w:val="heading 1"/>
    <w:basedOn w:val="1"/>
    <w:next w:val="1"/>
    <w:link w:val="55"/>
    <w:qFormat/>
    <w:uiPriority w:val="0"/>
    <w:pPr>
      <w:keepNext/>
      <w:jc w:val="center"/>
      <w:outlineLvl w:val="0"/>
    </w:pPr>
    <w:rPr>
      <w:rFonts w:ascii="楷体_GB2312" w:eastAsia="楷体_GB2312"/>
      <w:sz w:val="28"/>
      <w:szCs w:val="28"/>
    </w:rPr>
  </w:style>
  <w:style w:type="paragraph" w:styleId="6">
    <w:name w:val="heading 2"/>
    <w:basedOn w:val="1"/>
    <w:next w:val="1"/>
    <w:link w:val="56"/>
    <w:qFormat/>
    <w:uiPriority w:val="0"/>
    <w:pPr>
      <w:keepNext/>
      <w:keepLines/>
      <w:spacing w:before="260" w:after="260" w:line="416" w:lineRule="auto"/>
      <w:jc w:val="center"/>
      <w:outlineLvl w:val="1"/>
    </w:pPr>
    <w:rPr>
      <w:rFonts w:ascii="Arial" w:hAnsi="Arial" w:eastAsia="幼圆" w:cs="Arial"/>
      <w:b/>
      <w:bCs/>
      <w:sz w:val="44"/>
      <w:szCs w:val="44"/>
    </w:rPr>
  </w:style>
  <w:style w:type="paragraph" w:styleId="7">
    <w:name w:val="heading 3"/>
    <w:basedOn w:val="1"/>
    <w:next w:val="8"/>
    <w:link w:val="57"/>
    <w:qFormat/>
    <w:uiPriority w:val="0"/>
    <w:pPr>
      <w:keepNext/>
      <w:keepLines/>
      <w:spacing w:before="260" w:after="260" w:line="416" w:lineRule="auto"/>
      <w:outlineLvl w:val="2"/>
    </w:pPr>
    <w:rPr>
      <w:b/>
      <w:bCs/>
      <w:sz w:val="32"/>
      <w:szCs w:val="32"/>
    </w:rPr>
  </w:style>
  <w:style w:type="paragraph" w:styleId="9">
    <w:name w:val="heading 4"/>
    <w:basedOn w:val="1"/>
    <w:next w:val="1"/>
    <w:link w:val="58"/>
    <w:qFormat/>
    <w:uiPriority w:val="0"/>
    <w:pPr>
      <w:keepNext/>
      <w:keepLines/>
      <w:spacing w:before="280" w:after="290" w:line="376" w:lineRule="auto"/>
      <w:outlineLvl w:val="3"/>
    </w:pPr>
    <w:rPr>
      <w:rFonts w:ascii="Arial" w:hAnsi="Arial" w:eastAsia="黑体" w:cs="Arial"/>
      <w:b/>
      <w:bCs/>
      <w:sz w:val="28"/>
      <w:szCs w:val="28"/>
    </w:rPr>
  </w:style>
  <w:style w:type="paragraph" w:styleId="10">
    <w:name w:val="heading 5"/>
    <w:basedOn w:val="1"/>
    <w:next w:val="8"/>
    <w:link w:val="59"/>
    <w:qFormat/>
    <w:uiPriority w:val="0"/>
    <w:pPr>
      <w:keepNext/>
      <w:autoSpaceDE w:val="0"/>
      <w:autoSpaceDN w:val="0"/>
      <w:adjustRightInd w:val="0"/>
      <w:outlineLvl w:val="4"/>
    </w:pPr>
    <w:rPr>
      <w:rFonts w:ascii="宋体"/>
      <w:color w:val="000000"/>
      <w:kern w:val="0"/>
      <w:sz w:val="28"/>
      <w:szCs w:val="28"/>
    </w:rPr>
  </w:style>
  <w:style w:type="paragraph" w:styleId="11">
    <w:name w:val="heading 6"/>
    <w:basedOn w:val="1"/>
    <w:next w:val="1"/>
    <w:link w:val="60"/>
    <w:qFormat/>
    <w:uiPriority w:val="0"/>
    <w:pPr>
      <w:keepNext/>
      <w:keepLines/>
      <w:spacing w:before="240" w:after="64" w:line="320" w:lineRule="auto"/>
      <w:outlineLvl w:val="5"/>
    </w:pPr>
    <w:rPr>
      <w:rFonts w:ascii="Arial" w:hAnsi="Arial" w:eastAsia="黑体"/>
      <w:b/>
      <w:bCs/>
      <w:sz w:val="24"/>
      <w:szCs w:val="24"/>
    </w:rPr>
  </w:style>
  <w:style w:type="paragraph" w:styleId="12">
    <w:name w:val="heading 7"/>
    <w:basedOn w:val="1"/>
    <w:next w:val="1"/>
    <w:link w:val="61"/>
    <w:qFormat/>
    <w:uiPriority w:val="0"/>
    <w:pPr>
      <w:keepNext/>
      <w:keepLines/>
      <w:spacing w:before="240" w:after="64" w:line="320" w:lineRule="auto"/>
      <w:outlineLvl w:val="6"/>
    </w:pPr>
    <w:rPr>
      <w:b/>
      <w:bCs/>
      <w:sz w:val="24"/>
      <w:szCs w:val="24"/>
    </w:rPr>
  </w:style>
  <w:style w:type="paragraph" w:styleId="13">
    <w:name w:val="heading 8"/>
    <w:basedOn w:val="1"/>
    <w:next w:val="1"/>
    <w:link w:val="62"/>
    <w:qFormat/>
    <w:uiPriority w:val="0"/>
    <w:pPr>
      <w:keepNext/>
      <w:keepLines/>
      <w:spacing w:before="240" w:after="64" w:line="320" w:lineRule="auto"/>
      <w:outlineLvl w:val="7"/>
    </w:pPr>
    <w:rPr>
      <w:rFonts w:ascii="Arial" w:hAnsi="Arial" w:eastAsia="黑体"/>
      <w:sz w:val="24"/>
      <w:szCs w:val="24"/>
    </w:rPr>
  </w:style>
  <w:style w:type="paragraph" w:styleId="14">
    <w:name w:val="heading 9"/>
    <w:basedOn w:val="1"/>
    <w:next w:val="1"/>
    <w:link w:val="63"/>
    <w:qFormat/>
    <w:uiPriority w:val="0"/>
    <w:pPr>
      <w:keepNext/>
      <w:keepLines/>
      <w:spacing w:before="240" w:after="64" w:line="320" w:lineRule="auto"/>
      <w:outlineLvl w:val="8"/>
    </w:pPr>
    <w:rPr>
      <w:rFonts w:ascii="Arial" w:hAnsi="Arial" w:eastAsia="黑体"/>
    </w:rPr>
  </w:style>
  <w:style w:type="character" w:default="1" w:styleId="47">
    <w:name w:val="Default Paragraph Font"/>
    <w:semiHidden/>
    <w:unhideWhenUsed/>
    <w:uiPriority w:val="1"/>
  </w:style>
  <w:style w:type="table" w:default="1" w:styleId="45">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link w:val="98"/>
    <w:qFormat/>
    <w:uiPriority w:val="0"/>
    <w:pPr>
      <w:spacing w:line="360" w:lineRule="auto"/>
      <w:ind w:firstLine="420" w:firstLineChars="200"/>
    </w:pPr>
    <w:rPr>
      <w:rFonts w:ascii="宋体" w:hAnsi="宋体" w:eastAsia="宋体"/>
      <w:sz w:val="21"/>
      <w:szCs w:val="20"/>
    </w:rPr>
  </w:style>
  <w:style w:type="paragraph" w:styleId="3">
    <w:name w:val="Body Text Indent"/>
    <w:basedOn w:val="1"/>
    <w:next w:val="4"/>
    <w:link w:val="95"/>
    <w:qFormat/>
    <w:uiPriority w:val="0"/>
    <w:pPr>
      <w:ind w:firstLine="645"/>
    </w:pPr>
    <w:rPr>
      <w:rFonts w:ascii="楷体_GB2312" w:eastAsia="楷体_GB2312"/>
      <w:sz w:val="32"/>
      <w:szCs w:val="32"/>
    </w:rPr>
  </w:style>
  <w:style w:type="paragraph" w:styleId="4">
    <w:name w:val="envelope return"/>
    <w:basedOn w:val="1"/>
    <w:unhideWhenUsed/>
    <w:qFormat/>
    <w:uiPriority w:val="99"/>
    <w:pPr>
      <w:snapToGrid w:val="0"/>
    </w:pPr>
    <w:rPr>
      <w:rFonts w:ascii="Arial" w:hAnsi="Arial"/>
    </w:rPr>
  </w:style>
  <w:style w:type="paragraph" w:styleId="8">
    <w:name w:val="Normal Indent"/>
    <w:basedOn w:val="1"/>
    <w:link w:val="74"/>
    <w:qFormat/>
    <w:uiPriority w:val="0"/>
    <w:pPr>
      <w:ind w:firstLine="420"/>
    </w:pPr>
    <w:rPr>
      <w:rFonts w:asciiTheme="minorHAnsi" w:hAnsiTheme="minorHAnsi" w:eastAsiaTheme="minorEastAsia" w:cstheme="minorBidi"/>
    </w:rPr>
  </w:style>
  <w:style w:type="paragraph" w:styleId="15">
    <w:name w:val="List 3"/>
    <w:basedOn w:val="1"/>
    <w:qFormat/>
    <w:uiPriority w:val="0"/>
    <w:pPr>
      <w:ind w:left="100" w:leftChars="400" w:hanging="200" w:hangingChars="200"/>
    </w:pPr>
  </w:style>
  <w:style w:type="paragraph" w:styleId="16">
    <w:name w:val="toc 7"/>
    <w:basedOn w:val="1"/>
    <w:next w:val="1"/>
    <w:semiHidden/>
    <w:uiPriority w:val="0"/>
    <w:pPr>
      <w:ind w:left="1260"/>
      <w:jc w:val="left"/>
    </w:pPr>
  </w:style>
  <w:style w:type="paragraph" w:styleId="17">
    <w:name w:val="Document Map"/>
    <w:basedOn w:val="1"/>
    <w:link w:val="65"/>
    <w:semiHidden/>
    <w:uiPriority w:val="0"/>
    <w:pPr>
      <w:shd w:val="clear" w:color="auto" w:fill="000080"/>
    </w:pPr>
    <w:rPr>
      <w:rFonts w:asciiTheme="minorHAnsi" w:hAnsiTheme="minorHAnsi" w:cstheme="minorBidi"/>
    </w:rPr>
  </w:style>
  <w:style w:type="paragraph" w:styleId="18">
    <w:name w:val="annotation text"/>
    <w:basedOn w:val="1"/>
    <w:link w:val="83"/>
    <w:semiHidden/>
    <w:unhideWhenUsed/>
    <w:qFormat/>
    <w:uiPriority w:val="0"/>
    <w:pPr>
      <w:jc w:val="left"/>
    </w:pPr>
  </w:style>
  <w:style w:type="paragraph" w:styleId="19">
    <w:name w:val="Body Text 3"/>
    <w:basedOn w:val="1"/>
    <w:link w:val="99"/>
    <w:qFormat/>
    <w:uiPriority w:val="0"/>
    <w:rPr>
      <w:rFonts w:ascii="仿宋_GB2312" w:hAnsi="Arial" w:eastAsia="仿宋_GB2312"/>
      <w:sz w:val="32"/>
      <w:szCs w:val="32"/>
    </w:rPr>
  </w:style>
  <w:style w:type="paragraph" w:styleId="20">
    <w:name w:val="Body Text"/>
    <w:basedOn w:val="1"/>
    <w:link w:val="80"/>
    <w:unhideWhenUsed/>
    <w:uiPriority w:val="0"/>
    <w:pPr>
      <w:spacing w:after="120"/>
    </w:pPr>
  </w:style>
  <w:style w:type="paragraph" w:styleId="21">
    <w:name w:val="List 2"/>
    <w:basedOn w:val="1"/>
    <w:qFormat/>
    <w:uiPriority w:val="0"/>
    <w:pPr>
      <w:ind w:left="100" w:leftChars="200" w:hanging="200" w:hangingChars="200"/>
    </w:pPr>
  </w:style>
  <w:style w:type="paragraph" w:styleId="22">
    <w:name w:val="toc 5"/>
    <w:basedOn w:val="1"/>
    <w:next w:val="1"/>
    <w:semiHidden/>
    <w:qFormat/>
    <w:uiPriority w:val="0"/>
    <w:pPr>
      <w:ind w:left="840"/>
      <w:jc w:val="left"/>
    </w:pPr>
  </w:style>
  <w:style w:type="paragraph" w:styleId="23">
    <w:name w:val="toc 3"/>
    <w:basedOn w:val="1"/>
    <w:next w:val="1"/>
    <w:semiHidden/>
    <w:qFormat/>
    <w:uiPriority w:val="0"/>
    <w:pPr>
      <w:ind w:left="420"/>
      <w:jc w:val="left"/>
    </w:pPr>
    <w:rPr>
      <w:i/>
      <w:iCs/>
      <w:szCs w:val="24"/>
    </w:rPr>
  </w:style>
  <w:style w:type="paragraph" w:styleId="24">
    <w:name w:val="Plain Text"/>
    <w:basedOn w:val="1"/>
    <w:link w:val="68"/>
    <w:qFormat/>
    <w:uiPriority w:val="0"/>
    <w:rPr>
      <w:rFonts w:ascii="宋体" w:hAnsi="Courier New" w:cs="Courier New" w:eastAsiaTheme="minorEastAsia"/>
    </w:rPr>
  </w:style>
  <w:style w:type="paragraph" w:styleId="25">
    <w:name w:val="toc 8"/>
    <w:basedOn w:val="1"/>
    <w:next w:val="1"/>
    <w:semiHidden/>
    <w:qFormat/>
    <w:uiPriority w:val="0"/>
    <w:pPr>
      <w:ind w:left="1470"/>
      <w:jc w:val="left"/>
    </w:pPr>
  </w:style>
  <w:style w:type="paragraph" w:styleId="26">
    <w:name w:val="Date"/>
    <w:basedOn w:val="1"/>
    <w:next w:val="1"/>
    <w:link w:val="116"/>
    <w:uiPriority w:val="0"/>
    <w:rPr>
      <w:sz w:val="24"/>
      <w:szCs w:val="24"/>
    </w:rPr>
  </w:style>
  <w:style w:type="paragraph" w:styleId="27">
    <w:name w:val="Body Text Indent 2"/>
    <w:basedOn w:val="1"/>
    <w:link w:val="79"/>
    <w:qFormat/>
    <w:uiPriority w:val="0"/>
    <w:pPr>
      <w:ind w:left="630" w:firstLine="645"/>
    </w:pPr>
    <w:rPr>
      <w:rFonts w:ascii="Arial" w:hAnsi="Arial" w:eastAsia="仿宋_GB2312" w:cs="Arial"/>
      <w:sz w:val="32"/>
      <w:szCs w:val="32"/>
    </w:rPr>
  </w:style>
  <w:style w:type="paragraph" w:styleId="28">
    <w:name w:val="Balloon Text"/>
    <w:basedOn w:val="1"/>
    <w:link w:val="94"/>
    <w:semiHidden/>
    <w:qFormat/>
    <w:uiPriority w:val="0"/>
    <w:rPr>
      <w:sz w:val="18"/>
      <w:szCs w:val="18"/>
    </w:rPr>
  </w:style>
  <w:style w:type="paragraph" w:styleId="29">
    <w:name w:val="footer"/>
    <w:basedOn w:val="1"/>
    <w:link w:val="54"/>
    <w:unhideWhenUsed/>
    <w:qFormat/>
    <w:uiPriority w:val="99"/>
    <w:pPr>
      <w:tabs>
        <w:tab w:val="center" w:pos="4153"/>
        <w:tab w:val="right" w:pos="8306"/>
      </w:tabs>
      <w:snapToGrid w:val="0"/>
      <w:jc w:val="left"/>
    </w:pPr>
    <w:rPr>
      <w:sz w:val="18"/>
      <w:szCs w:val="18"/>
    </w:rPr>
  </w:style>
  <w:style w:type="paragraph" w:styleId="30">
    <w:name w:val="header"/>
    <w:basedOn w:val="1"/>
    <w:link w:val="53"/>
    <w:unhideWhenUsed/>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semiHidden/>
    <w:qFormat/>
    <w:uiPriority w:val="0"/>
    <w:pPr>
      <w:tabs>
        <w:tab w:val="right" w:leader="dot" w:pos="8720"/>
      </w:tabs>
      <w:spacing w:before="120" w:after="120" w:line="400" w:lineRule="exact"/>
      <w:jc w:val="left"/>
    </w:pPr>
    <w:rPr>
      <w:rFonts w:ascii="宋体" w:hAnsi="宋体"/>
      <w:caps/>
      <w:sz w:val="24"/>
      <w:szCs w:val="24"/>
    </w:rPr>
  </w:style>
  <w:style w:type="paragraph" w:styleId="32">
    <w:name w:val="toc 4"/>
    <w:basedOn w:val="1"/>
    <w:next w:val="1"/>
    <w:semiHidden/>
    <w:qFormat/>
    <w:uiPriority w:val="0"/>
    <w:pPr>
      <w:ind w:left="630"/>
      <w:jc w:val="left"/>
    </w:pPr>
  </w:style>
  <w:style w:type="paragraph" w:styleId="33">
    <w:name w:val="List"/>
    <w:basedOn w:val="1"/>
    <w:uiPriority w:val="0"/>
    <w:pPr>
      <w:ind w:left="200" w:hanging="200" w:hangingChars="200"/>
    </w:pPr>
  </w:style>
  <w:style w:type="paragraph" w:styleId="34">
    <w:name w:val="toc 6"/>
    <w:basedOn w:val="1"/>
    <w:next w:val="1"/>
    <w:semiHidden/>
    <w:qFormat/>
    <w:uiPriority w:val="0"/>
    <w:pPr>
      <w:ind w:left="1050"/>
      <w:jc w:val="left"/>
    </w:pPr>
  </w:style>
  <w:style w:type="paragraph" w:styleId="35">
    <w:name w:val="Body Text Indent 3"/>
    <w:basedOn w:val="1"/>
    <w:link w:val="111"/>
    <w:qFormat/>
    <w:uiPriority w:val="0"/>
    <w:pPr>
      <w:ind w:left="645" w:firstLine="645"/>
    </w:pPr>
    <w:rPr>
      <w:rFonts w:ascii="Arial" w:hAnsi="Arial" w:eastAsia="仿宋_GB2312" w:cs="Arial"/>
      <w:color w:val="FFFF00"/>
      <w:sz w:val="32"/>
      <w:szCs w:val="32"/>
    </w:rPr>
  </w:style>
  <w:style w:type="paragraph" w:styleId="36">
    <w:name w:val="table of figures"/>
    <w:basedOn w:val="1"/>
    <w:next w:val="1"/>
    <w:semiHidden/>
    <w:qFormat/>
    <w:uiPriority w:val="0"/>
    <w:pPr>
      <w:ind w:left="840" w:hanging="420"/>
    </w:pPr>
  </w:style>
  <w:style w:type="paragraph" w:styleId="37">
    <w:name w:val="toc 2"/>
    <w:basedOn w:val="1"/>
    <w:next w:val="1"/>
    <w:semiHidden/>
    <w:uiPriority w:val="0"/>
    <w:pPr>
      <w:ind w:left="210"/>
      <w:jc w:val="left"/>
    </w:pPr>
    <w:rPr>
      <w:smallCaps/>
      <w:szCs w:val="24"/>
    </w:rPr>
  </w:style>
  <w:style w:type="paragraph" w:styleId="38">
    <w:name w:val="toc 9"/>
    <w:basedOn w:val="1"/>
    <w:next w:val="1"/>
    <w:semiHidden/>
    <w:qFormat/>
    <w:uiPriority w:val="0"/>
    <w:pPr>
      <w:ind w:left="1680"/>
      <w:jc w:val="left"/>
    </w:pPr>
  </w:style>
  <w:style w:type="paragraph" w:styleId="39">
    <w:name w:val="Body Text 2"/>
    <w:basedOn w:val="1"/>
    <w:link w:val="86"/>
    <w:qFormat/>
    <w:uiPriority w:val="0"/>
    <w:pPr>
      <w:widowControl/>
      <w:jc w:val="center"/>
    </w:pPr>
    <w:rPr>
      <w:rFonts w:ascii="楷体_GB2312" w:eastAsia="楷体_GB2312"/>
      <w:sz w:val="28"/>
      <w:szCs w:val="28"/>
    </w:rPr>
  </w:style>
  <w:style w:type="paragraph" w:styleId="40">
    <w:name w:val="Message Header"/>
    <w:basedOn w:val="1"/>
    <w:link w:val="77"/>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41">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42">
    <w:name w:val="index 1"/>
    <w:basedOn w:val="1"/>
    <w:next w:val="1"/>
    <w:semiHidden/>
    <w:uiPriority w:val="0"/>
    <w:pPr>
      <w:spacing w:line="240" w:lineRule="atLeast"/>
    </w:pPr>
    <w:rPr>
      <w:b/>
      <w:bCs/>
    </w:rPr>
  </w:style>
  <w:style w:type="paragraph" w:styleId="43">
    <w:name w:val="annotation subject"/>
    <w:basedOn w:val="18"/>
    <w:next w:val="18"/>
    <w:link w:val="84"/>
    <w:semiHidden/>
    <w:qFormat/>
    <w:uiPriority w:val="0"/>
    <w:rPr>
      <w:b/>
      <w:bCs/>
    </w:rPr>
  </w:style>
  <w:style w:type="paragraph" w:styleId="44">
    <w:name w:val="Body Text First Indent"/>
    <w:basedOn w:val="1"/>
    <w:link w:val="81"/>
    <w:qFormat/>
    <w:uiPriority w:val="0"/>
    <w:pPr>
      <w:spacing w:line="360" w:lineRule="auto"/>
      <w:ind w:firstLine="200" w:firstLineChars="200"/>
    </w:pPr>
    <w:rPr>
      <w:rFonts w:ascii="仿宋_GB2312" w:eastAsia="仿宋_GB2312"/>
      <w:sz w:val="30"/>
      <w:szCs w:val="30"/>
    </w:rPr>
  </w:style>
  <w:style w:type="table" w:styleId="46">
    <w:name w:val="Table Grid"/>
    <w:basedOn w:val="4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8">
    <w:name w:val="Strong"/>
    <w:qFormat/>
    <w:uiPriority w:val="0"/>
    <w:rPr>
      <w:b/>
      <w:bCs/>
    </w:rPr>
  </w:style>
  <w:style w:type="character" w:styleId="49">
    <w:name w:val="page number"/>
    <w:basedOn w:val="47"/>
    <w:qFormat/>
    <w:uiPriority w:val="0"/>
  </w:style>
  <w:style w:type="character" w:styleId="50">
    <w:name w:val="FollowedHyperlink"/>
    <w:qFormat/>
    <w:uiPriority w:val="0"/>
    <w:rPr>
      <w:color w:val="800080"/>
      <w:u w:val="single"/>
    </w:rPr>
  </w:style>
  <w:style w:type="character" w:styleId="51">
    <w:name w:val="Hyperlink"/>
    <w:uiPriority w:val="0"/>
    <w:rPr>
      <w:color w:val="0000FF"/>
      <w:u w:val="single"/>
    </w:rPr>
  </w:style>
  <w:style w:type="character" w:styleId="52">
    <w:name w:val="annotation reference"/>
    <w:semiHidden/>
    <w:uiPriority w:val="0"/>
    <w:rPr>
      <w:sz w:val="21"/>
      <w:szCs w:val="21"/>
    </w:rPr>
  </w:style>
  <w:style w:type="character" w:customStyle="1" w:styleId="53">
    <w:name w:val="页眉 Char"/>
    <w:basedOn w:val="47"/>
    <w:link w:val="30"/>
    <w:qFormat/>
    <w:uiPriority w:val="99"/>
    <w:rPr>
      <w:sz w:val="18"/>
      <w:szCs w:val="18"/>
    </w:rPr>
  </w:style>
  <w:style w:type="character" w:customStyle="1" w:styleId="54">
    <w:name w:val="页脚 Char"/>
    <w:basedOn w:val="47"/>
    <w:link w:val="29"/>
    <w:qFormat/>
    <w:uiPriority w:val="99"/>
    <w:rPr>
      <w:sz w:val="18"/>
      <w:szCs w:val="18"/>
    </w:rPr>
  </w:style>
  <w:style w:type="character" w:customStyle="1" w:styleId="55">
    <w:name w:val="标题 1 Char"/>
    <w:basedOn w:val="47"/>
    <w:link w:val="5"/>
    <w:qFormat/>
    <w:uiPriority w:val="0"/>
    <w:rPr>
      <w:rFonts w:ascii="楷体_GB2312" w:hAnsi="Times New Roman" w:eastAsia="楷体_GB2312" w:cs="Times New Roman"/>
      <w:sz w:val="28"/>
      <w:szCs w:val="28"/>
    </w:rPr>
  </w:style>
  <w:style w:type="character" w:customStyle="1" w:styleId="56">
    <w:name w:val="标题 2 Char"/>
    <w:basedOn w:val="47"/>
    <w:link w:val="6"/>
    <w:qFormat/>
    <w:uiPriority w:val="0"/>
    <w:rPr>
      <w:rFonts w:ascii="Arial" w:hAnsi="Arial" w:eastAsia="幼圆" w:cs="Arial"/>
      <w:b/>
      <w:bCs/>
      <w:sz w:val="44"/>
      <w:szCs w:val="44"/>
    </w:rPr>
  </w:style>
  <w:style w:type="character" w:customStyle="1" w:styleId="57">
    <w:name w:val="标题 3 Char"/>
    <w:basedOn w:val="47"/>
    <w:link w:val="7"/>
    <w:qFormat/>
    <w:uiPriority w:val="0"/>
    <w:rPr>
      <w:rFonts w:ascii="Times New Roman" w:hAnsi="Times New Roman" w:eastAsia="宋体" w:cs="Times New Roman"/>
      <w:b/>
      <w:bCs/>
      <w:sz w:val="32"/>
      <w:szCs w:val="32"/>
    </w:rPr>
  </w:style>
  <w:style w:type="character" w:customStyle="1" w:styleId="58">
    <w:name w:val="标题 4 Char"/>
    <w:basedOn w:val="47"/>
    <w:link w:val="9"/>
    <w:qFormat/>
    <w:uiPriority w:val="0"/>
    <w:rPr>
      <w:rFonts w:ascii="Arial" w:hAnsi="Arial" w:eastAsia="黑体" w:cs="Arial"/>
      <w:b/>
      <w:bCs/>
      <w:sz w:val="28"/>
      <w:szCs w:val="28"/>
    </w:rPr>
  </w:style>
  <w:style w:type="character" w:customStyle="1" w:styleId="59">
    <w:name w:val="标题 5 Char"/>
    <w:basedOn w:val="47"/>
    <w:link w:val="10"/>
    <w:qFormat/>
    <w:uiPriority w:val="0"/>
    <w:rPr>
      <w:rFonts w:ascii="宋体" w:hAnsi="Times New Roman" w:eastAsia="宋体" w:cs="Times New Roman"/>
      <w:color w:val="000000"/>
      <w:kern w:val="0"/>
      <w:sz w:val="28"/>
      <w:szCs w:val="28"/>
    </w:rPr>
  </w:style>
  <w:style w:type="character" w:customStyle="1" w:styleId="60">
    <w:name w:val="标题 6 Char"/>
    <w:basedOn w:val="47"/>
    <w:link w:val="11"/>
    <w:qFormat/>
    <w:uiPriority w:val="0"/>
    <w:rPr>
      <w:rFonts w:ascii="Arial" w:hAnsi="Arial" w:eastAsia="黑体" w:cs="Times New Roman"/>
      <w:b/>
      <w:bCs/>
      <w:sz w:val="24"/>
      <w:szCs w:val="24"/>
    </w:rPr>
  </w:style>
  <w:style w:type="character" w:customStyle="1" w:styleId="61">
    <w:name w:val="标题 7 Char"/>
    <w:basedOn w:val="47"/>
    <w:link w:val="12"/>
    <w:qFormat/>
    <w:uiPriority w:val="0"/>
    <w:rPr>
      <w:rFonts w:ascii="Times New Roman" w:hAnsi="Times New Roman" w:eastAsia="宋体" w:cs="Times New Roman"/>
      <w:b/>
      <w:bCs/>
      <w:sz w:val="24"/>
      <w:szCs w:val="24"/>
    </w:rPr>
  </w:style>
  <w:style w:type="character" w:customStyle="1" w:styleId="62">
    <w:name w:val="标题 8 Char"/>
    <w:basedOn w:val="47"/>
    <w:link w:val="13"/>
    <w:qFormat/>
    <w:uiPriority w:val="0"/>
    <w:rPr>
      <w:rFonts w:ascii="Arial" w:hAnsi="Arial" w:eastAsia="黑体" w:cs="Times New Roman"/>
      <w:sz w:val="24"/>
      <w:szCs w:val="24"/>
    </w:rPr>
  </w:style>
  <w:style w:type="character" w:customStyle="1" w:styleId="63">
    <w:name w:val="标题 9 Char"/>
    <w:basedOn w:val="47"/>
    <w:link w:val="14"/>
    <w:qFormat/>
    <w:uiPriority w:val="0"/>
    <w:rPr>
      <w:rFonts w:ascii="Arial" w:hAnsi="Arial" w:eastAsia="黑体" w:cs="Times New Roman"/>
      <w:szCs w:val="21"/>
    </w:rPr>
  </w:style>
  <w:style w:type="character" w:customStyle="1" w:styleId="64">
    <w:name w:val="纯文本 Char1"/>
    <w:qFormat/>
    <w:uiPriority w:val="0"/>
    <w:rPr>
      <w:rFonts w:ascii="宋体" w:hAnsi="Courier New" w:cs="Courier New"/>
      <w:szCs w:val="21"/>
    </w:rPr>
  </w:style>
  <w:style w:type="character" w:customStyle="1" w:styleId="65">
    <w:name w:val="文档结构图 Char"/>
    <w:link w:val="17"/>
    <w:semiHidden/>
    <w:qFormat/>
    <w:uiPriority w:val="0"/>
    <w:rPr>
      <w:rFonts w:eastAsia="宋体"/>
      <w:szCs w:val="21"/>
      <w:shd w:val="clear" w:color="auto" w:fill="000080"/>
    </w:rPr>
  </w:style>
  <w:style w:type="character" w:customStyle="1" w:styleId="66">
    <w:name w:val="二级目录 Char"/>
    <w:link w:val="67"/>
    <w:qFormat/>
    <w:uiPriority w:val="0"/>
    <w:rPr>
      <w:b/>
      <w:sz w:val="30"/>
      <w:szCs w:val="28"/>
    </w:rPr>
  </w:style>
  <w:style w:type="paragraph" w:customStyle="1" w:styleId="67">
    <w:name w:val="二级目录"/>
    <w:next w:val="1"/>
    <w:link w:val="66"/>
    <w:uiPriority w:val="0"/>
    <w:pPr>
      <w:tabs>
        <w:tab w:val="left" w:pos="907"/>
        <w:tab w:val="left" w:pos="1145"/>
      </w:tabs>
      <w:ind w:left="907" w:hanging="907"/>
      <w:outlineLvl w:val="1"/>
    </w:pPr>
    <w:rPr>
      <w:rFonts w:asciiTheme="minorHAnsi" w:hAnsiTheme="minorHAnsi" w:eastAsiaTheme="minorEastAsia" w:cstheme="minorBidi"/>
      <w:b/>
      <w:kern w:val="2"/>
      <w:sz w:val="30"/>
      <w:szCs w:val="28"/>
      <w:lang w:val="en-US" w:eastAsia="zh-CN" w:bidi="ar-SA"/>
    </w:rPr>
  </w:style>
  <w:style w:type="character" w:customStyle="1" w:styleId="68">
    <w:name w:val="纯文本 Char"/>
    <w:link w:val="24"/>
    <w:qFormat/>
    <w:uiPriority w:val="0"/>
    <w:rPr>
      <w:rFonts w:ascii="宋体" w:hAnsi="Courier New" w:cs="Courier New"/>
      <w:szCs w:val="21"/>
    </w:rPr>
  </w:style>
  <w:style w:type="character" w:customStyle="1" w:styleId="69">
    <w:name w:val="Char Char Char Char Char"/>
    <w:link w:val="70"/>
    <w:qFormat/>
    <w:uiPriority w:val="0"/>
    <w:rPr>
      <w:rFonts w:ascii="Tahoma" w:hAnsi="Tahoma" w:eastAsia="宋体"/>
      <w:sz w:val="24"/>
      <w:szCs w:val="24"/>
      <w:shd w:val="clear" w:color="auto" w:fill="000080"/>
    </w:rPr>
  </w:style>
  <w:style w:type="paragraph" w:customStyle="1" w:styleId="70">
    <w:name w:val="Char Char Char Char1"/>
    <w:basedOn w:val="17"/>
    <w:link w:val="69"/>
    <w:qFormat/>
    <w:uiPriority w:val="0"/>
    <w:pPr>
      <w:adjustRightInd w:val="0"/>
      <w:snapToGrid w:val="0"/>
      <w:spacing w:line="360" w:lineRule="auto"/>
    </w:pPr>
    <w:rPr>
      <w:rFonts w:ascii="Tahoma" w:hAnsi="Tahoma"/>
      <w:sz w:val="24"/>
      <w:szCs w:val="24"/>
    </w:rPr>
  </w:style>
  <w:style w:type="character" w:customStyle="1" w:styleId="71">
    <w:name w:val="font5 Char"/>
    <w:qFormat/>
    <w:uiPriority w:val="0"/>
    <w:rPr>
      <w:rFonts w:ascii="宋体" w:hAnsi="宋体" w:eastAsia="宋体"/>
      <w:sz w:val="28"/>
      <w:szCs w:val="28"/>
      <w:lang w:val="en-US" w:eastAsia="zh-CN" w:bidi="ar-SA"/>
    </w:rPr>
  </w:style>
  <w:style w:type="character" w:customStyle="1" w:styleId="72">
    <w:name w:val="列出段落 Char"/>
    <w:link w:val="73"/>
    <w:qFormat/>
    <w:locked/>
    <w:uiPriority w:val="0"/>
    <w:rPr>
      <w:rFonts w:ascii="Calibri" w:hAnsi="Calibri"/>
      <w:sz w:val="24"/>
      <w:szCs w:val="24"/>
      <w:lang w:eastAsia="en-US" w:bidi="en-US"/>
    </w:rPr>
  </w:style>
  <w:style w:type="paragraph" w:customStyle="1" w:styleId="73">
    <w:name w:val="列出段落1"/>
    <w:basedOn w:val="1"/>
    <w:link w:val="72"/>
    <w:qFormat/>
    <w:uiPriority w:val="0"/>
    <w:pPr>
      <w:widowControl/>
      <w:ind w:left="720"/>
      <w:contextualSpacing/>
      <w:jc w:val="left"/>
    </w:pPr>
    <w:rPr>
      <w:rFonts w:ascii="Calibri" w:hAnsi="Calibri" w:eastAsiaTheme="minorEastAsia" w:cstheme="minorBidi"/>
      <w:sz w:val="24"/>
      <w:szCs w:val="24"/>
      <w:lang w:eastAsia="en-US" w:bidi="en-US"/>
    </w:rPr>
  </w:style>
  <w:style w:type="character" w:customStyle="1" w:styleId="74">
    <w:name w:val="正文缩进 Char"/>
    <w:link w:val="8"/>
    <w:uiPriority w:val="0"/>
    <w:rPr>
      <w:szCs w:val="21"/>
    </w:rPr>
  </w:style>
  <w:style w:type="paragraph" w:customStyle="1" w:styleId="75">
    <w:name w:val="table_lines"/>
    <w:basedOn w:val="1"/>
    <w:qFormat/>
    <w:uiPriority w:val="0"/>
    <w:pPr>
      <w:widowControl/>
      <w:jc w:val="left"/>
    </w:pPr>
    <w:rPr>
      <w:kern w:val="0"/>
      <w:sz w:val="20"/>
      <w:szCs w:val="20"/>
      <w:lang w:val="de-DE" w:eastAsia="de-DE"/>
    </w:rPr>
  </w:style>
  <w:style w:type="paragraph" w:customStyle="1" w:styleId="76">
    <w:name w:val="font6"/>
    <w:basedOn w:val="1"/>
    <w:uiPriority w:val="0"/>
    <w:pPr>
      <w:widowControl/>
      <w:spacing w:before="100" w:beforeAutospacing="1" w:after="100" w:afterAutospacing="1"/>
      <w:jc w:val="left"/>
    </w:pPr>
    <w:rPr>
      <w:rFonts w:hint="eastAsia" w:ascii="宋体" w:hAnsi="宋体"/>
      <w:kern w:val="0"/>
      <w:sz w:val="28"/>
      <w:szCs w:val="28"/>
      <w:u w:val="single"/>
    </w:rPr>
  </w:style>
  <w:style w:type="character" w:customStyle="1" w:styleId="77">
    <w:name w:val="信息标题 Char"/>
    <w:basedOn w:val="47"/>
    <w:link w:val="40"/>
    <w:uiPriority w:val="0"/>
    <w:rPr>
      <w:rFonts w:ascii="Cambria" w:hAnsi="Cambria" w:eastAsia="宋体" w:cs="Times New Roman"/>
      <w:sz w:val="24"/>
      <w:szCs w:val="21"/>
      <w:shd w:val="pct20" w:color="auto" w:fill="auto"/>
    </w:rPr>
  </w:style>
  <w:style w:type="paragraph" w:customStyle="1" w:styleId="78">
    <w:name w:val="xl24"/>
    <w:basedOn w:val="1"/>
    <w:uiPriority w:val="0"/>
    <w:pPr>
      <w:widowControl/>
      <w:pBdr>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kern w:val="0"/>
      <w:sz w:val="24"/>
      <w:szCs w:val="24"/>
    </w:rPr>
  </w:style>
  <w:style w:type="character" w:customStyle="1" w:styleId="79">
    <w:name w:val="正文文本缩进 2 Char"/>
    <w:basedOn w:val="47"/>
    <w:link w:val="27"/>
    <w:qFormat/>
    <w:uiPriority w:val="0"/>
    <w:rPr>
      <w:rFonts w:ascii="Arial" w:hAnsi="Arial" w:eastAsia="仿宋_GB2312" w:cs="Arial"/>
      <w:sz w:val="32"/>
      <w:szCs w:val="32"/>
    </w:rPr>
  </w:style>
  <w:style w:type="character" w:customStyle="1" w:styleId="80">
    <w:name w:val="正文文本 Char"/>
    <w:basedOn w:val="47"/>
    <w:link w:val="20"/>
    <w:semiHidden/>
    <w:qFormat/>
    <w:uiPriority w:val="99"/>
    <w:rPr>
      <w:rFonts w:ascii="Times New Roman" w:hAnsi="Times New Roman" w:eastAsia="宋体" w:cs="Times New Roman"/>
      <w:szCs w:val="21"/>
    </w:rPr>
  </w:style>
  <w:style w:type="character" w:customStyle="1" w:styleId="81">
    <w:name w:val="正文首行缩进 Char"/>
    <w:basedOn w:val="80"/>
    <w:link w:val="44"/>
    <w:uiPriority w:val="0"/>
    <w:rPr>
      <w:rFonts w:ascii="仿宋_GB2312" w:hAnsi="Times New Roman" w:eastAsia="仿宋_GB2312" w:cs="Times New Roman"/>
      <w:sz w:val="30"/>
      <w:szCs w:val="30"/>
    </w:rPr>
  </w:style>
  <w:style w:type="paragraph" w:customStyle="1" w:styleId="82">
    <w:name w:val="xl2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szCs w:val="24"/>
    </w:rPr>
  </w:style>
  <w:style w:type="character" w:customStyle="1" w:styleId="83">
    <w:name w:val="批注文字 Char"/>
    <w:basedOn w:val="47"/>
    <w:link w:val="18"/>
    <w:semiHidden/>
    <w:uiPriority w:val="99"/>
    <w:rPr>
      <w:rFonts w:ascii="Times New Roman" w:hAnsi="Times New Roman" w:eastAsia="宋体" w:cs="Times New Roman"/>
      <w:szCs w:val="21"/>
    </w:rPr>
  </w:style>
  <w:style w:type="character" w:customStyle="1" w:styleId="84">
    <w:name w:val="批注主题 Char"/>
    <w:basedOn w:val="83"/>
    <w:link w:val="43"/>
    <w:semiHidden/>
    <w:uiPriority w:val="0"/>
    <w:rPr>
      <w:rFonts w:ascii="Times New Roman" w:hAnsi="Times New Roman" w:eastAsia="宋体" w:cs="Times New Roman"/>
      <w:b/>
      <w:bCs/>
      <w:szCs w:val="21"/>
    </w:rPr>
  </w:style>
  <w:style w:type="paragraph" w:customStyle="1" w:styleId="85">
    <w:name w:val="列表段落1"/>
    <w:basedOn w:val="1"/>
    <w:qFormat/>
    <w:uiPriority w:val="34"/>
    <w:pPr>
      <w:spacing w:beforeLines="25" w:afterLines="25" w:line="300" w:lineRule="auto"/>
      <w:ind w:firstLine="420"/>
    </w:pPr>
    <w:rPr>
      <w:rFonts w:cs="Calibri"/>
      <w:color w:val="000000"/>
    </w:rPr>
  </w:style>
  <w:style w:type="character" w:customStyle="1" w:styleId="86">
    <w:name w:val="正文文本 2 Char"/>
    <w:basedOn w:val="47"/>
    <w:link w:val="39"/>
    <w:uiPriority w:val="0"/>
    <w:rPr>
      <w:rFonts w:ascii="楷体_GB2312" w:hAnsi="Times New Roman" w:eastAsia="楷体_GB2312" w:cs="Times New Roman"/>
      <w:sz w:val="28"/>
      <w:szCs w:val="28"/>
    </w:rPr>
  </w:style>
  <w:style w:type="paragraph" w:customStyle="1" w:styleId="87">
    <w:name w:val="4"/>
    <w:basedOn w:val="1"/>
    <w:next w:val="35"/>
    <w:uiPriority w:val="0"/>
    <w:pPr>
      <w:spacing w:line="360" w:lineRule="auto"/>
      <w:ind w:firstLine="420"/>
    </w:pPr>
    <w:rPr>
      <w:color w:val="FF0000"/>
      <w:sz w:val="24"/>
      <w:szCs w:val="24"/>
    </w:rPr>
  </w:style>
  <w:style w:type="paragraph" w:customStyle="1" w:styleId="88">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89">
    <w:name w:val="xl2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szCs w:val="24"/>
    </w:rPr>
  </w:style>
  <w:style w:type="paragraph" w:customStyle="1" w:styleId="90">
    <w:name w:val="段"/>
    <w:next w:val="9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1">
    <w:name w:val="正文 A"/>
    <w:next w:val="90"/>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92">
    <w:name w:val="Char Char Char Char"/>
    <w:basedOn w:val="17"/>
    <w:uiPriority w:val="0"/>
    <w:pPr>
      <w:adjustRightInd w:val="0"/>
      <w:snapToGrid w:val="0"/>
      <w:spacing w:line="360" w:lineRule="auto"/>
    </w:pPr>
    <w:rPr>
      <w:rFonts w:ascii="Tahoma" w:hAnsi="Tahoma"/>
      <w:sz w:val="24"/>
      <w:szCs w:val="24"/>
    </w:rPr>
  </w:style>
  <w:style w:type="paragraph" w:customStyle="1" w:styleId="93">
    <w:name w:val="样式1"/>
    <w:basedOn w:val="1"/>
    <w:uiPriority w:val="0"/>
    <w:pPr>
      <w:tabs>
        <w:tab w:val="left" w:pos="709"/>
      </w:tabs>
      <w:adjustRightInd w:val="0"/>
      <w:ind w:left="709" w:hanging="709"/>
      <w:textAlignment w:val="baseline"/>
    </w:pPr>
    <w:rPr>
      <w:rFonts w:ascii="宋体" w:hAnsi="宋体"/>
      <w:kern w:val="0"/>
    </w:rPr>
  </w:style>
  <w:style w:type="character" w:customStyle="1" w:styleId="94">
    <w:name w:val="批注框文本 Char"/>
    <w:basedOn w:val="47"/>
    <w:link w:val="28"/>
    <w:semiHidden/>
    <w:uiPriority w:val="0"/>
    <w:rPr>
      <w:rFonts w:ascii="Times New Roman" w:hAnsi="Times New Roman" w:eastAsia="宋体" w:cs="Times New Roman"/>
      <w:sz w:val="18"/>
      <w:szCs w:val="18"/>
    </w:rPr>
  </w:style>
  <w:style w:type="character" w:customStyle="1" w:styleId="95">
    <w:name w:val="正文文本缩进 Char"/>
    <w:basedOn w:val="47"/>
    <w:link w:val="3"/>
    <w:qFormat/>
    <w:uiPriority w:val="0"/>
    <w:rPr>
      <w:rFonts w:ascii="楷体_GB2312" w:hAnsi="Times New Roman" w:eastAsia="楷体_GB2312" w:cs="Times New Roman"/>
      <w:sz w:val="32"/>
      <w:szCs w:val="32"/>
    </w:rPr>
  </w:style>
  <w:style w:type="paragraph" w:customStyle="1" w:styleId="96">
    <w:name w:val="font5"/>
    <w:basedOn w:val="1"/>
    <w:uiPriority w:val="0"/>
    <w:pPr>
      <w:widowControl/>
      <w:spacing w:before="100" w:beforeAutospacing="1" w:after="100" w:afterAutospacing="1"/>
      <w:jc w:val="left"/>
    </w:pPr>
    <w:rPr>
      <w:rFonts w:hint="eastAsia" w:ascii="宋体" w:hAnsi="宋体"/>
      <w:kern w:val="0"/>
      <w:sz w:val="28"/>
      <w:szCs w:val="28"/>
    </w:rPr>
  </w:style>
  <w:style w:type="paragraph" w:customStyle="1" w:styleId="97">
    <w:name w:val="xl30"/>
    <w:basedOn w:val="1"/>
    <w:qFormat/>
    <w:uiPriority w:val="0"/>
    <w:pPr>
      <w:widowControl/>
      <w:spacing w:before="100" w:beforeAutospacing="1" w:after="100" w:afterAutospacing="1"/>
      <w:jc w:val="center"/>
    </w:pPr>
    <w:rPr>
      <w:rFonts w:ascii="宋体" w:hAnsi="宋体"/>
      <w:b/>
      <w:bCs/>
      <w:kern w:val="0"/>
      <w:sz w:val="36"/>
      <w:szCs w:val="36"/>
    </w:rPr>
  </w:style>
  <w:style w:type="character" w:customStyle="1" w:styleId="98">
    <w:name w:val="正文首行缩进 2 Char"/>
    <w:basedOn w:val="95"/>
    <w:link w:val="2"/>
    <w:qFormat/>
    <w:uiPriority w:val="0"/>
    <w:rPr>
      <w:rFonts w:ascii="宋体" w:hAnsi="宋体" w:eastAsia="宋体" w:cs="Times New Roman"/>
      <w:sz w:val="32"/>
      <w:szCs w:val="20"/>
    </w:rPr>
  </w:style>
  <w:style w:type="character" w:customStyle="1" w:styleId="99">
    <w:name w:val="正文文本 3 Char"/>
    <w:basedOn w:val="47"/>
    <w:link w:val="19"/>
    <w:qFormat/>
    <w:uiPriority w:val="0"/>
    <w:rPr>
      <w:rFonts w:ascii="仿宋_GB2312" w:hAnsi="Arial" w:eastAsia="仿宋_GB2312" w:cs="Times New Roman"/>
      <w:sz w:val="32"/>
      <w:szCs w:val="32"/>
    </w:rPr>
  </w:style>
  <w:style w:type="paragraph" w:customStyle="1" w:styleId="100">
    <w:name w:val="xl29"/>
    <w:basedOn w:val="1"/>
    <w:uiPriority w:val="0"/>
    <w:pPr>
      <w:widowControl/>
      <w:pBdr>
        <w:left w:val="single" w:color="auto" w:sz="4" w:space="0"/>
        <w:bottom w:val="single" w:color="auto" w:sz="4" w:space="0"/>
      </w:pBdr>
      <w:spacing w:before="100" w:beforeAutospacing="1" w:after="100" w:afterAutospacing="1"/>
      <w:jc w:val="left"/>
    </w:pPr>
    <w:rPr>
      <w:rFonts w:ascii="宋体" w:hAnsi="宋体"/>
      <w:kern w:val="0"/>
      <w:sz w:val="24"/>
      <w:szCs w:val="24"/>
    </w:rPr>
  </w:style>
  <w:style w:type="character" w:customStyle="1" w:styleId="101">
    <w:name w:val="文档结构图 Char1"/>
    <w:basedOn w:val="47"/>
    <w:semiHidden/>
    <w:uiPriority w:val="99"/>
    <w:rPr>
      <w:rFonts w:ascii="宋体" w:hAnsi="Times New Roman" w:eastAsia="宋体" w:cs="Times New Roman"/>
      <w:sz w:val="18"/>
      <w:szCs w:val="18"/>
    </w:rPr>
  </w:style>
  <w:style w:type="paragraph" w:customStyle="1" w:styleId="102">
    <w:name w:val="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03">
    <w:name w:val="Char"/>
    <w:basedOn w:val="17"/>
    <w:qFormat/>
    <w:uiPriority w:val="0"/>
    <w:rPr>
      <w:rFonts w:ascii="Tahoma" w:hAnsi="Tahoma"/>
      <w:sz w:val="24"/>
      <w:szCs w:val="24"/>
    </w:rPr>
  </w:style>
  <w:style w:type="paragraph" w:customStyle="1" w:styleId="104">
    <w:name w:val="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05">
    <w:name w:val="font7"/>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06">
    <w:name w:val="Char1"/>
    <w:basedOn w:val="1"/>
    <w:uiPriority w:val="0"/>
    <w:pPr>
      <w:tabs>
        <w:tab w:val="left" w:pos="360"/>
      </w:tabs>
      <w:ind w:firstLine="200" w:firstLineChars="200"/>
    </w:pPr>
    <w:rPr>
      <w:sz w:val="28"/>
      <w:szCs w:val="30"/>
    </w:rPr>
  </w:style>
  <w:style w:type="paragraph" w:customStyle="1" w:styleId="107">
    <w:name w:val="Body Text(ch)"/>
    <w:basedOn w:val="1"/>
    <w:next w:val="20"/>
    <w:uiPriority w:val="0"/>
    <w:pPr>
      <w:spacing w:after="120"/>
    </w:pPr>
    <w:rPr>
      <w:rFonts w:ascii="宋体" w:hAnsi="Arial"/>
      <w:bCs/>
      <w:iCs/>
      <w:szCs w:val="24"/>
    </w:rPr>
  </w:style>
  <w:style w:type="paragraph" w:customStyle="1" w:styleId="108">
    <w:name w:val="table_1stline"/>
    <w:basedOn w:val="1"/>
    <w:uiPriority w:val="0"/>
    <w:pPr>
      <w:widowControl/>
      <w:spacing w:before="120"/>
      <w:jc w:val="left"/>
    </w:pPr>
    <w:rPr>
      <w:bCs/>
      <w:kern w:val="0"/>
      <w:sz w:val="20"/>
      <w:szCs w:val="20"/>
      <w:lang w:val="de-DE" w:eastAsia="de-DE"/>
    </w:rPr>
  </w:style>
  <w:style w:type="character" w:customStyle="1" w:styleId="109">
    <w:name w:val="纯文本 Char2"/>
    <w:basedOn w:val="47"/>
    <w:semiHidden/>
    <w:qFormat/>
    <w:uiPriority w:val="99"/>
    <w:rPr>
      <w:rFonts w:ascii="宋体" w:hAnsi="Courier New" w:eastAsia="宋体" w:cs="Courier New"/>
      <w:szCs w:val="21"/>
    </w:rPr>
  </w:style>
  <w:style w:type="paragraph" w:customStyle="1" w:styleId="110">
    <w:name w:val="普通 (Web)"/>
    <w:basedOn w:val="1"/>
    <w:uiPriority w:val="0"/>
    <w:pPr>
      <w:widowControl/>
      <w:spacing w:before="100" w:beforeAutospacing="1" w:after="100" w:afterAutospacing="1"/>
      <w:jc w:val="left"/>
    </w:pPr>
    <w:rPr>
      <w:rFonts w:ascii="宋体" w:hAnsi="宋体"/>
      <w:kern w:val="0"/>
      <w:sz w:val="24"/>
      <w:szCs w:val="24"/>
    </w:rPr>
  </w:style>
  <w:style w:type="character" w:customStyle="1" w:styleId="111">
    <w:name w:val="正文文本缩进 3 Char"/>
    <w:basedOn w:val="47"/>
    <w:link w:val="35"/>
    <w:qFormat/>
    <w:uiPriority w:val="0"/>
    <w:rPr>
      <w:rFonts w:ascii="Arial" w:hAnsi="Arial" w:eastAsia="仿宋_GB2312" w:cs="Arial"/>
      <w:color w:val="FFFF00"/>
      <w:sz w:val="32"/>
      <w:szCs w:val="32"/>
    </w:rPr>
  </w:style>
  <w:style w:type="paragraph" w:customStyle="1" w:styleId="112">
    <w:name w:val="Char Char Char Char Char Char Char Char Char Char"/>
    <w:basedOn w:val="1"/>
    <w:qFormat/>
    <w:uiPriority w:val="0"/>
    <w:pPr>
      <w:adjustRightInd w:val="0"/>
      <w:spacing w:line="360" w:lineRule="auto"/>
    </w:pPr>
    <w:rPr>
      <w:kern w:val="0"/>
      <w:sz w:val="24"/>
      <w:szCs w:val="20"/>
    </w:rPr>
  </w:style>
  <w:style w:type="paragraph" w:customStyle="1" w:styleId="113">
    <w:name w:val="xl25"/>
    <w:basedOn w:val="1"/>
    <w:qFormat/>
    <w:uiPriority w:val="0"/>
    <w:pPr>
      <w:widowControl/>
      <w:spacing w:before="100" w:beforeAutospacing="1" w:after="100" w:afterAutospacing="1"/>
      <w:jc w:val="center"/>
      <w:textAlignment w:val="center"/>
    </w:pPr>
    <w:rPr>
      <w:rFonts w:ascii="Arial Unicode MS" w:hAnsi="Arial Unicode MS" w:eastAsia="Arial Unicode MS" w:cs="Arial Unicode MS"/>
      <w:kern w:val="0"/>
      <w:sz w:val="24"/>
      <w:szCs w:val="24"/>
    </w:rPr>
  </w:style>
  <w:style w:type="paragraph" w:customStyle="1" w:styleId="114">
    <w:name w:val="标题3"/>
    <w:basedOn w:val="1"/>
    <w:next w:val="1"/>
    <w:uiPriority w:val="0"/>
    <w:pPr>
      <w:autoSpaceDE w:val="0"/>
      <w:autoSpaceDN w:val="0"/>
      <w:snapToGrid w:val="0"/>
      <w:spacing w:line="590" w:lineRule="atLeast"/>
      <w:ind w:firstLine="624"/>
    </w:pPr>
    <w:rPr>
      <w:rFonts w:ascii="方正黑体_GBK" w:eastAsia="方正黑体_GBK"/>
      <w:snapToGrid w:val="0"/>
      <w:kern w:val="0"/>
      <w:sz w:val="32"/>
      <w:szCs w:val="32"/>
    </w:rPr>
  </w:style>
  <w:style w:type="paragraph" w:customStyle="1" w:styleId="115">
    <w:name w:val="xl27"/>
    <w:basedOn w:val="1"/>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szCs w:val="24"/>
    </w:rPr>
  </w:style>
  <w:style w:type="character" w:customStyle="1" w:styleId="116">
    <w:name w:val="日期 Char"/>
    <w:basedOn w:val="47"/>
    <w:link w:val="26"/>
    <w:qFormat/>
    <w:uiPriority w:val="0"/>
    <w:rPr>
      <w:rFonts w:ascii="Times New Roman" w:hAnsi="Times New Roman" w:eastAsia="宋体" w:cs="Times New Roman"/>
      <w:sz w:val="24"/>
      <w:szCs w:val="24"/>
    </w:rPr>
  </w:style>
  <w:style w:type="paragraph" w:customStyle="1" w:styleId="117">
    <w:name w:val="图标"/>
    <w:basedOn w:val="1"/>
    <w:next w:val="1"/>
    <w:qFormat/>
    <w:uiPriority w:val="0"/>
    <w:pPr>
      <w:tabs>
        <w:tab w:val="left" w:pos="567"/>
        <w:tab w:val="left" w:pos="840"/>
      </w:tabs>
      <w:autoSpaceDE w:val="0"/>
      <w:autoSpaceDN w:val="0"/>
      <w:adjustRightInd w:val="0"/>
      <w:snapToGrid w:val="0"/>
      <w:spacing w:before="120" w:after="120" w:line="320" w:lineRule="atLeast"/>
      <w:ind w:left="840" w:hanging="420"/>
      <w:jc w:val="center"/>
      <w:textAlignment w:val="baseline"/>
    </w:pPr>
    <w:rPr>
      <w:rFonts w:eastAsia="仿宋_GB2312"/>
      <w:kern w:val="0"/>
      <w:sz w:val="24"/>
      <w:szCs w:val="20"/>
    </w:rPr>
  </w:style>
  <w:style w:type="paragraph" w:customStyle="1" w:styleId="118">
    <w:name w:val="标题1"/>
    <w:basedOn w:val="1"/>
    <w:next w:val="1"/>
    <w:uiPriority w:val="0"/>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119">
    <w:name w:val="附录1"/>
    <w:uiPriority w:val="0"/>
    <w:pPr>
      <w:tabs>
        <w:tab w:val="left" w:pos="907"/>
      </w:tabs>
      <w:snapToGrid w:val="0"/>
      <w:spacing w:before="240" w:line="600" w:lineRule="atLeast"/>
      <w:ind w:left="907" w:hanging="907"/>
    </w:pPr>
    <w:rPr>
      <w:rFonts w:ascii="Times New Roman" w:hAnsi="Times New Roman" w:eastAsia="宋体" w:cs="Times New Roman"/>
      <w:b/>
      <w:i/>
      <w:sz w:val="28"/>
      <w:lang w:val="en-US" w:eastAsia="zh-CN" w:bidi="ar-SA"/>
    </w:rPr>
  </w:style>
  <w:style w:type="paragraph" w:customStyle="1" w:styleId="120">
    <w:name w:val="彩色列表 - 着色 1"/>
    <w:basedOn w:val="1"/>
    <w:qFormat/>
    <w:uiPriority w:val="34"/>
    <w:pPr>
      <w:widowControl/>
      <w:ind w:left="720"/>
      <w:contextualSpacing/>
      <w:jc w:val="left"/>
    </w:pPr>
    <w:rPr>
      <w:rFonts w:ascii="Calibri" w:hAnsi="Calibri"/>
      <w:kern w:val="0"/>
      <w:sz w:val="24"/>
      <w:szCs w:val="24"/>
      <w:lang w:eastAsia="en-US" w:bidi="en-US"/>
    </w:rPr>
  </w:style>
  <w:style w:type="paragraph" w:styleId="121">
    <w:name w:val="List Paragraph"/>
    <w:basedOn w:val="1"/>
    <w:qFormat/>
    <w:uiPriority w:val="34"/>
    <w:pPr>
      <w:ind w:firstLine="420" w:firstLineChars="200"/>
    </w:pPr>
  </w:style>
  <w:style w:type="character" w:customStyle="1" w:styleId="122">
    <w:name w:val="font01"/>
    <w:basedOn w:val="47"/>
    <w:uiPriority w:val="0"/>
    <w:rPr>
      <w:rFonts w:hint="eastAsia" w:ascii="宋体" w:hAnsi="宋体" w:eastAsia="宋体" w:cs="宋体"/>
      <w:color w:val="FF0000"/>
      <w:sz w:val="22"/>
      <w:szCs w:val="22"/>
      <w:u w:val="none"/>
    </w:rPr>
  </w:style>
  <w:style w:type="character" w:customStyle="1" w:styleId="123">
    <w:name w:val="font51"/>
    <w:basedOn w:val="47"/>
    <w:qFormat/>
    <w:uiPriority w:val="0"/>
    <w:rPr>
      <w:rFonts w:hint="eastAsia" w:ascii="宋体" w:hAnsi="宋体" w:eastAsia="宋体" w:cs="宋体"/>
      <w:color w:val="000000"/>
      <w:sz w:val="22"/>
      <w:szCs w:val="22"/>
      <w:u w:val="none"/>
    </w:rPr>
  </w:style>
  <w:style w:type="character" w:customStyle="1" w:styleId="124">
    <w:name w:val="_正文段落 Char"/>
    <w:link w:val="125"/>
    <w:qFormat/>
    <w:uiPriority w:val="0"/>
    <w:rPr>
      <w:rFonts w:ascii="宋体" w:hAnsi="宋体"/>
      <w:sz w:val="24"/>
      <w:szCs w:val="21"/>
    </w:rPr>
  </w:style>
  <w:style w:type="paragraph" w:customStyle="1" w:styleId="125">
    <w:name w:val="_正文段落"/>
    <w:basedOn w:val="1"/>
    <w:link w:val="124"/>
    <w:qFormat/>
    <w:uiPriority w:val="0"/>
    <w:pPr>
      <w:spacing w:before="36" w:beforeLines="15" w:after="36" w:afterLines="15" w:line="360" w:lineRule="auto"/>
      <w:ind w:firstLine="480" w:firstLineChars="200"/>
      <w:jc w:val="center"/>
    </w:pPr>
    <w:rPr>
      <w:rFonts w:ascii="宋体" w:hAnsi="宋体"/>
      <w:kern w:val="0"/>
      <w:sz w:val="24"/>
    </w:rPr>
  </w:style>
  <w:style w:type="character" w:customStyle="1" w:styleId="126">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24A390-CBB0-4C16-9D4C-1161DCE07CB5}">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43</Pages>
  <Words>3471</Words>
  <Characters>19790</Characters>
  <Lines>164</Lines>
  <Paragraphs>46</Paragraphs>
  <TotalTime>1</TotalTime>
  <ScaleCrop>false</ScaleCrop>
  <LinksUpToDate>false</LinksUpToDate>
  <CharactersWithSpaces>23215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2021-03-01T09:00:00Z</dcterms:created>
  <dc:creator>周</dc:creator>
  <cp:lastModifiedBy>L&amp;W</cp:lastModifiedBy>
  <dcterms:modified xsi:type="dcterms:W3CDTF">2021-10-21T09:38:07Z</dcterms:modified>
  <dc:title>城天平监理</dc:title>
  <cp:revision>495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603E2EE33138418FA670B7E9B50DA2D7</vt:lpwstr>
  </property>
</Properties>
</file>