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ind w:firstLine="0"/>
        <w:jc w:val="center"/>
        <w:rPr>
          <w:rFonts w:ascii="宋体" w:hAnsi="宋体" w:cs="宋体"/>
          <w:b/>
          <w:bCs/>
          <w:sz w:val="21"/>
          <w:szCs w:val="21"/>
        </w:rPr>
      </w:pPr>
      <w:r>
        <w:rPr>
          <w:rFonts w:hint="eastAsia" w:ascii="宋体" w:hAnsi="宋体" w:cs="宋体"/>
          <w:b/>
          <w:color w:val="000000"/>
          <w:sz w:val="21"/>
          <w:szCs w:val="21"/>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-842010</wp:posOffset>
            </wp:positionV>
            <wp:extent cx="2297430" cy="2003425"/>
            <wp:effectExtent l="0" t="0" r="7620" b="1587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297430" cy="2003425"/>
                    </a:xfrm>
                    <a:prstGeom prst="rect">
                      <a:avLst/>
                    </a:prstGeom>
                    <a:noFill/>
                    <a:ln w="9525" cmpd="sng">
                      <a:noFill/>
                      <a:miter lim="800000"/>
                      <a:headEnd/>
                      <a:tailEnd/>
                    </a:ln>
                  </pic:spPr>
                </pic:pic>
              </a:graphicData>
            </a:graphic>
          </wp:anchor>
        </w:drawing>
      </w:r>
      <w:r>
        <w:rPr>
          <w:rFonts w:hint="eastAsia" w:ascii="宋体" w:hAnsi="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Cs w:val="21"/>
          <w:lang w:val="zh-CN"/>
        </w:rPr>
      </w:pPr>
      <w:r>
        <w:rPr>
          <w:rFonts w:hint="eastAsia" w:ascii="宋体" w:hAnsi="宋体" w:cs="宋体"/>
          <w:szCs w:val="21"/>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0528;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9504"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69504;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10</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10</w:t>
                      </w:r>
                      <w:r>
                        <w:rPr>
                          <w:rFonts w:hint="eastAsia" w:ascii="黑体" w:hAnsi="黑体" w:eastAsia="黑体" w:cs="黑体"/>
                          <w:sz w:val="32"/>
                          <w:szCs w:val="32"/>
                        </w:rPr>
                        <w:t>日</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1552;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pPr>
      <w:r>
        <w:rPr>
          <w:rFonts w:hint="eastAsia"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116205</wp:posOffset>
                </wp:positionH>
                <wp:positionV relativeFrom="paragraph">
                  <wp:posOffset>3175</wp:posOffset>
                </wp:positionV>
                <wp:extent cx="5486400" cy="89217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jc w:val="center"/>
                              <w:rPr>
                                <w:rFonts w:hint="default" w:ascii="宋体" w:hAnsi="宋体" w:eastAsia="宋体" w:cs="宋体"/>
                                <w:b/>
                                <w:color w:val="000000" w:themeColor="text1"/>
                                <w:sz w:val="36"/>
                                <w:lang w:val="en-US" w:eastAsia="zh-CN"/>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江苏医药职业学院一站式学生社区家具</w:t>
                            </w:r>
                            <w:r>
                              <w:rPr>
                                <w:rFonts w:hint="eastAsia" w:ascii="宋体" w:hAnsi="宋体" w:cs="宋体"/>
                                <w:b/>
                                <w:color w:val="000000" w:themeColor="text1"/>
                                <w:sz w:val="36"/>
                                <w:lang w:val="en-US" w:eastAsia="zh-CN"/>
                                <w14:textFill>
                                  <w14:solidFill>
                                    <w14:schemeClr w14:val="tx1"/>
                                  </w14:solidFill>
                                </w14:textFill>
                              </w:rPr>
                              <w:t>采购项目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9.15pt;margin-top:0.25pt;height:70.25pt;width:432pt;z-index:251674624;mso-width-relative:page;mso-height-relative:page;" filled="f" stroked="f" coordsize="21600,21600" o:gfxdata="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8I8WHWAAAABwEAAA8AAAAAAAAAAQAgAAAAIgAA&#10;AGRycy9kb3ducmV2LnhtbFBLAQIUABQAAAAIAIdO4kCmTiB7QwIAAHUEAAAOAAAAAAAAAAEAIAAA&#10;ACUBAABkcnMvZTJvRG9jLnhtbFBLBQYAAAAABgAGAFkBAADaBQAAAAA=&#10;">
                <v:fill on="f" focussize="0,0"/>
                <v:stroke on="f" weight="0.5pt"/>
                <v:imagedata o:title=""/>
                <o:lock v:ext="edit" aspectratio="f"/>
                <v:textbox>
                  <w:txbxContent>
                    <w:p>
                      <w:pPr>
                        <w:jc w:val="center"/>
                        <w:rPr>
                          <w:rFonts w:hint="default" w:ascii="宋体" w:hAnsi="宋体" w:eastAsia="宋体" w:cs="宋体"/>
                          <w:b/>
                          <w:color w:val="000000" w:themeColor="text1"/>
                          <w:sz w:val="36"/>
                          <w:lang w:val="en-US" w:eastAsia="zh-CN"/>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江苏医药职业学院一站式学生社区家具</w:t>
                      </w:r>
                      <w:r>
                        <w:rPr>
                          <w:rFonts w:hint="eastAsia" w:ascii="宋体" w:hAnsi="宋体" w:cs="宋体"/>
                          <w:b/>
                          <w:color w:val="000000" w:themeColor="text1"/>
                          <w:sz w:val="36"/>
                          <w:lang w:val="en-US" w:eastAsia="zh-CN"/>
                          <w14:textFill>
                            <w14:solidFill>
                              <w14:schemeClr w14:val="tx1"/>
                            </w14:solidFill>
                          </w14:textFill>
                        </w:rPr>
                        <w:t>采购项目</w:t>
                      </w:r>
                    </w:p>
                  </w:txbxContent>
                </v:textbox>
              </v:shape>
            </w:pict>
          </mc:Fallback>
        </mc:AlternateContent>
      </w:r>
    </w:p>
    <w:p>
      <w:pPr>
        <w:rPr>
          <w:rFonts w:ascii="宋体" w:hAnsi="宋体" w:cs="宋体"/>
          <w:szCs w:val="21"/>
          <w:lang w:val="zh-CN"/>
        </w:rPr>
      </w:pPr>
    </w:p>
    <w:p>
      <w:pPr>
        <w:jc w:val="right"/>
        <w:rPr>
          <w:rFonts w:ascii="宋体" w:hAnsi="宋体" w:cs="宋体"/>
          <w:szCs w:val="21"/>
          <w:lang w:val="zh-CN"/>
        </w:rPr>
      </w:pPr>
    </w:p>
    <w:p>
      <w:pPr>
        <w:rPr>
          <w:rFonts w:ascii="宋体" w:hAnsi="宋体" w:cs="宋体"/>
          <w:szCs w:val="21"/>
          <w:lang w:val="zh-CN"/>
        </w:rPr>
      </w:pPr>
    </w:p>
    <w:p>
      <w:pPr>
        <w:rPr>
          <w:rFonts w:ascii="宋体" w:hAnsi="宋体" w:cs="宋体"/>
          <w:szCs w:val="21"/>
          <w:lang w:val="zh-CN"/>
        </w:rPr>
        <w:sectPr>
          <w:headerReference r:id="rId3" w:type="default"/>
          <w:pgSz w:w="11906" w:h="16838"/>
          <w:pgMar w:top="1701" w:right="1474" w:bottom="1701" w:left="1474" w:header="851" w:footer="1134" w:gutter="0"/>
          <w:cols w:space="720" w:num="1"/>
          <w:docGrid w:linePitch="579" w:charSpace="1229"/>
        </w:sectPr>
      </w:pPr>
      <w:r>
        <w:rPr>
          <w:rFonts w:hint="eastAsia"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1637665</wp:posOffset>
                </wp:positionH>
                <wp:positionV relativeFrom="paragraph">
                  <wp:posOffset>2390140</wp:posOffset>
                </wp:positionV>
                <wp:extent cx="470979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rPr>
                                <w:rFonts w:hint="default" w:ascii="黑体" w:hAnsi="黑体" w:eastAsia="黑体" w:cs="黑体"/>
                                <w:kern w:val="24"/>
                                <w:sz w:val="28"/>
                                <w:szCs w:val="32"/>
                                <w:lang w:val="en-US" w:eastAsia="zh-CN"/>
                              </w:rPr>
                            </w:pPr>
                            <w:r>
                              <w:rPr>
                                <w:rFonts w:hint="eastAsia" w:ascii="黑体" w:hAnsi="黑体" w:eastAsia="黑体" w:cs="黑体"/>
                                <w:kern w:val="24"/>
                                <w:sz w:val="28"/>
                                <w:szCs w:val="32"/>
                              </w:rPr>
                              <w:t>江苏医药职业学院一站式学生社区家具</w:t>
                            </w:r>
                            <w:r>
                              <w:rPr>
                                <w:rFonts w:hint="eastAsia" w:ascii="黑体" w:hAnsi="黑体" w:eastAsia="黑体" w:cs="黑体"/>
                                <w:kern w:val="24"/>
                                <w:sz w:val="28"/>
                                <w:szCs w:val="32"/>
                                <w:lang w:val="en-US" w:eastAsia="zh-CN"/>
                              </w:rPr>
                              <w:t>采购项目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95pt;margin-top:188.2pt;height:37.65pt;width:370.85pt;z-index:251672576;mso-width-relative:page;mso-height-relative:page;" filled="f" stroked="f" coordsize="21600,21600" o:gfxdata="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s5C/PdAAAACwEAAA8AAAAAAAAAAQAg&#10;AAAAIgAAAGRycy9kb3ducmV2LnhtbFBLAQIUABQAAAAIAIdO4kDMK5qHQgIAAHYEAAAOAAAAAAAA&#10;AAEAIAAAACwBAABkcnMvZTJvRG9jLnhtbFBLBQYAAAAABgAGAFkBAADgBQAAAAA=&#10;">
                <v:fill on="f" focussize="0,0"/>
                <v:stroke on="f" weight="0.5pt"/>
                <v:imagedata o:title=""/>
                <o:lock v:ext="edit" aspectratio="f"/>
                <v:textbox>
                  <w:txbxContent>
                    <w:p>
                      <w:pPr>
                        <w:rPr>
                          <w:rFonts w:hint="default" w:ascii="黑体" w:hAnsi="黑体" w:eastAsia="黑体" w:cs="黑体"/>
                          <w:kern w:val="24"/>
                          <w:sz w:val="28"/>
                          <w:szCs w:val="32"/>
                          <w:lang w:val="en-US" w:eastAsia="zh-CN"/>
                        </w:rPr>
                      </w:pPr>
                      <w:r>
                        <w:rPr>
                          <w:rFonts w:hint="eastAsia" w:ascii="黑体" w:hAnsi="黑体" w:eastAsia="黑体" w:cs="黑体"/>
                          <w:kern w:val="24"/>
                          <w:sz w:val="28"/>
                          <w:szCs w:val="32"/>
                        </w:rPr>
                        <w:t>江苏医药职业学院一站式学生社区家具</w:t>
                      </w:r>
                      <w:r>
                        <w:rPr>
                          <w:rFonts w:hint="eastAsia" w:ascii="黑体" w:hAnsi="黑体" w:eastAsia="黑体" w:cs="黑体"/>
                          <w:kern w:val="24"/>
                          <w:sz w:val="28"/>
                          <w:szCs w:val="32"/>
                          <w:lang w:val="en-US" w:eastAsia="zh-CN"/>
                        </w:rPr>
                        <w:t>采购项目</w:t>
                      </w:r>
                    </w:p>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8480" behindDoc="0" locked="0" layoutInCell="1" allowOverlap="1">
                <wp:simplePos x="0" y="0"/>
                <wp:positionH relativeFrom="column">
                  <wp:posOffset>1625600</wp:posOffset>
                </wp:positionH>
                <wp:positionV relativeFrom="paragraph">
                  <wp:posOffset>1898650</wp:posOffset>
                </wp:positionV>
                <wp:extent cx="295211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hint="default" w:ascii="黑体" w:hAnsi="黑体" w:eastAsia="黑体" w:cs="黑体"/>
                                <w:kern w:val="24"/>
                                <w:sz w:val="28"/>
                                <w:szCs w:val="32"/>
                                <w:lang w:val="en-US" w:eastAsia="zh-CN"/>
                              </w:rPr>
                            </w:pPr>
                            <w:r>
                              <w:rPr>
                                <w:rFonts w:hint="eastAsia" w:ascii="黑体" w:hAnsi="黑体" w:eastAsia="黑体" w:cs="黑体"/>
                                <w:kern w:val="24"/>
                                <w:sz w:val="28"/>
                                <w:szCs w:val="32"/>
                              </w:rPr>
                              <w:t xml:space="preserve"> SY202</w:t>
                            </w:r>
                            <w:r>
                              <w:rPr>
                                <w:rFonts w:hint="eastAsia" w:ascii="黑体" w:hAnsi="黑体" w:eastAsia="黑体" w:cs="黑体"/>
                                <w:kern w:val="24"/>
                                <w:sz w:val="28"/>
                                <w:szCs w:val="32"/>
                                <w:lang w:val="en-US" w:eastAsia="zh-CN"/>
                              </w:rPr>
                              <w:t>3</w:t>
                            </w:r>
                            <w:r>
                              <w:rPr>
                                <w:rFonts w:hint="eastAsia" w:ascii="黑体" w:hAnsi="黑体" w:eastAsia="黑体" w:cs="黑体"/>
                                <w:kern w:val="24"/>
                                <w:sz w:val="28"/>
                                <w:szCs w:val="32"/>
                              </w:rPr>
                              <w:t>-</w:t>
                            </w:r>
                            <w:r>
                              <w:rPr>
                                <w:rFonts w:hint="eastAsia" w:ascii="黑体" w:hAnsi="黑体" w:eastAsia="黑体" w:cs="黑体"/>
                                <w:kern w:val="24"/>
                                <w:sz w:val="28"/>
                                <w:szCs w:val="32"/>
                                <w:lang w:val="en-US" w:eastAsia="zh-CN"/>
                              </w:rPr>
                              <w:t>72</w:t>
                            </w:r>
                            <w:r>
                              <w:rPr>
                                <w:rFonts w:hint="eastAsia" w:ascii="黑体" w:hAnsi="黑体" w:eastAsia="黑体" w:cs="黑体"/>
                                <w:kern w:val="24"/>
                                <w:sz w:val="28"/>
                                <w:szCs w:val="32"/>
                              </w:rPr>
                              <w:t>-</w:t>
                            </w:r>
                            <w:r>
                              <w:rPr>
                                <w:rFonts w:hint="eastAsia" w:ascii="黑体" w:hAnsi="黑体" w:eastAsia="黑体" w:cs="黑体"/>
                                <w:kern w:val="24"/>
                                <w:sz w:val="28"/>
                                <w:szCs w:val="32"/>
                                <w:lang w:val="en-US" w:eastAsia="zh-CN"/>
                              </w:rPr>
                              <w:t>HW</w:t>
                            </w:r>
                            <w:r>
                              <w:rPr>
                                <w:rFonts w:hint="eastAsia" w:ascii="黑体" w:hAnsi="黑体" w:eastAsia="黑体" w:cs="黑体"/>
                                <w:kern w:val="24"/>
                                <w:sz w:val="28"/>
                                <w:szCs w:val="32"/>
                              </w:rPr>
                              <w:t>-</w:t>
                            </w:r>
                            <w:r>
                              <w:rPr>
                                <w:rFonts w:hint="eastAsia" w:ascii="黑体" w:hAnsi="黑体" w:eastAsia="黑体" w:cs="黑体"/>
                                <w:kern w:val="24"/>
                                <w:sz w:val="28"/>
                                <w:szCs w:val="32"/>
                                <w:lang w:val="en-US" w:eastAsia="zh-CN"/>
                              </w:rPr>
                              <w:t>GK</w:t>
                            </w:r>
                          </w:p>
                        </w:txbxContent>
                      </wps:txbx>
                      <wps:bodyPr wrap="square" rtlCol="0">
                        <a:noAutofit/>
                      </wps:bodyPr>
                    </wps:wsp>
                  </a:graphicData>
                </a:graphic>
              </wp:anchor>
            </w:drawing>
          </mc:Choice>
          <mc:Fallback>
            <w:pict>
              <v:shape id="_x0000_s1026" o:spid="_x0000_s1026" o:spt="202" type="#_x0000_t202" style="position:absolute;left:0pt;flip:x;margin-left:128pt;margin-top:149.5pt;height:30.2pt;width:232.45pt;z-index:251668480;mso-width-relative:page;mso-height-relative:page;" filled="f" stroked="f" coordsize="21600,21600" o:gfxdata="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QSma2wAAAAsBAAAPAAAAAAAAAAEAIAAA&#10;ACIAAABkcnMvZG93bnJldi54bWxQSwECFAAUAAAACACHTuJA+FEPutABAACPAwAADgAAAAAAAAAB&#10;ACAAAAAqAQAAZHJzL2Uyb0RvYy54bWxQSwUGAAAAAAYABgBZAQAAbAUAAAAA&#10;">
                <v:fill on="f" focussize="0,0"/>
                <v:stroke on="f"/>
                <v:imagedata o:title=""/>
                <o:lock v:ext="edit" aspectratio="f"/>
                <v:textbox>
                  <w:txbxContent>
                    <w:p>
                      <w:pPr>
                        <w:rPr>
                          <w:rFonts w:hint="default" w:ascii="黑体" w:hAnsi="黑体" w:eastAsia="黑体" w:cs="黑体"/>
                          <w:kern w:val="24"/>
                          <w:sz w:val="28"/>
                          <w:szCs w:val="32"/>
                          <w:lang w:val="en-US" w:eastAsia="zh-CN"/>
                        </w:rPr>
                      </w:pPr>
                      <w:r>
                        <w:rPr>
                          <w:rFonts w:hint="eastAsia" w:ascii="黑体" w:hAnsi="黑体" w:eastAsia="黑体" w:cs="黑体"/>
                          <w:kern w:val="24"/>
                          <w:sz w:val="28"/>
                          <w:szCs w:val="32"/>
                        </w:rPr>
                        <w:t xml:space="preserve"> SY202</w:t>
                      </w:r>
                      <w:r>
                        <w:rPr>
                          <w:rFonts w:hint="eastAsia" w:ascii="黑体" w:hAnsi="黑体" w:eastAsia="黑体" w:cs="黑体"/>
                          <w:kern w:val="24"/>
                          <w:sz w:val="28"/>
                          <w:szCs w:val="32"/>
                          <w:lang w:val="en-US" w:eastAsia="zh-CN"/>
                        </w:rPr>
                        <w:t>3</w:t>
                      </w:r>
                      <w:r>
                        <w:rPr>
                          <w:rFonts w:hint="eastAsia" w:ascii="黑体" w:hAnsi="黑体" w:eastAsia="黑体" w:cs="黑体"/>
                          <w:kern w:val="24"/>
                          <w:sz w:val="28"/>
                          <w:szCs w:val="32"/>
                        </w:rPr>
                        <w:t>-</w:t>
                      </w:r>
                      <w:r>
                        <w:rPr>
                          <w:rFonts w:hint="eastAsia" w:ascii="黑体" w:hAnsi="黑体" w:eastAsia="黑体" w:cs="黑体"/>
                          <w:kern w:val="24"/>
                          <w:sz w:val="28"/>
                          <w:szCs w:val="32"/>
                          <w:lang w:val="en-US" w:eastAsia="zh-CN"/>
                        </w:rPr>
                        <w:t>72</w:t>
                      </w:r>
                      <w:r>
                        <w:rPr>
                          <w:rFonts w:hint="eastAsia" w:ascii="黑体" w:hAnsi="黑体" w:eastAsia="黑体" w:cs="黑体"/>
                          <w:kern w:val="24"/>
                          <w:sz w:val="28"/>
                          <w:szCs w:val="32"/>
                        </w:rPr>
                        <w:t>-</w:t>
                      </w:r>
                      <w:r>
                        <w:rPr>
                          <w:rFonts w:hint="eastAsia" w:ascii="黑体" w:hAnsi="黑体" w:eastAsia="黑体" w:cs="黑体"/>
                          <w:kern w:val="24"/>
                          <w:sz w:val="28"/>
                          <w:szCs w:val="32"/>
                          <w:lang w:val="en-US" w:eastAsia="zh-CN"/>
                        </w:rPr>
                        <w:t>HW</w:t>
                      </w:r>
                      <w:r>
                        <w:rPr>
                          <w:rFonts w:hint="eastAsia" w:ascii="黑体" w:hAnsi="黑体" w:eastAsia="黑体" w:cs="黑体"/>
                          <w:kern w:val="24"/>
                          <w:sz w:val="28"/>
                          <w:szCs w:val="32"/>
                        </w:rPr>
                        <w:t>-</w:t>
                      </w:r>
                      <w:r>
                        <w:rPr>
                          <w:rFonts w:hint="eastAsia" w:ascii="黑体" w:hAnsi="黑体" w:eastAsia="黑体" w:cs="黑体"/>
                          <w:kern w:val="24"/>
                          <w:sz w:val="28"/>
                          <w:szCs w:val="32"/>
                          <w:lang w:val="en-US" w:eastAsia="zh-CN"/>
                        </w:rPr>
                        <w:t>GK</w:t>
                      </w:r>
                    </w:p>
                  </w:txbxContent>
                </v:textbox>
              </v:shape>
            </w:pict>
          </mc:Fallback>
        </mc:AlternateContent>
      </w:r>
    </w:p>
    <w:p>
      <w:pPr>
        <w:jc w:val="center"/>
        <w:rPr>
          <w:rFonts w:ascii="宋体" w:hAnsi="宋体" w:cs="宋体"/>
          <w:b/>
          <w:sz w:val="36"/>
          <w:szCs w:val="21"/>
        </w:rPr>
      </w:pPr>
      <w:bookmarkStart w:id="0" w:name="_Toc115881305"/>
      <w:r>
        <w:rPr>
          <w:rFonts w:hint="eastAsia" w:ascii="宋体" w:hAnsi="宋体" w:cs="宋体"/>
          <w:b/>
          <w:sz w:val="36"/>
          <w:szCs w:val="21"/>
        </w:rPr>
        <w:t>目 录</w:t>
      </w:r>
    </w:p>
    <w:p>
      <w:pPr>
        <w:pStyle w:val="23"/>
        <w:ind w:left="3360"/>
        <w:rPr>
          <w:rFonts w:ascii="宋体" w:hAnsi="宋体" w:cs="宋体"/>
          <w:szCs w:val="21"/>
        </w:rPr>
      </w:pPr>
    </w:p>
    <w:p>
      <w:pPr>
        <w:pStyle w:val="21"/>
        <w:tabs>
          <w:tab w:val="right" w:leader="dot" w:pos="9525"/>
        </w:tabs>
      </w:pPr>
      <w:r>
        <w:rPr>
          <w:rFonts w:hint="eastAsia" w:ascii="宋体" w:hAnsi="宋体" w:cs="宋体"/>
          <w:sz w:val="21"/>
          <w:szCs w:val="21"/>
        </w:rPr>
        <w:fldChar w:fldCharType="begin"/>
      </w:r>
      <w:r>
        <w:rPr>
          <w:rFonts w:hint="eastAsia" w:ascii="宋体" w:hAnsi="宋体" w:cs="宋体"/>
          <w:sz w:val="21"/>
          <w:szCs w:val="21"/>
        </w:rPr>
        <w:instrText xml:space="preserve">TOC \o "1-2" \h \u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_Toc24555 </w:instrText>
      </w:r>
      <w:r>
        <w:rPr>
          <w:rFonts w:hint="eastAsia" w:ascii="宋体" w:hAnsi="宋体" w:cs="宋体"/>
          <w:szCs w:val="21"/>
        </w:rPr>
        <w:fldChar w:fldCharType="separate"/>
      </w:r>
      <w:r>
        <w:rPr>
          <w:rFonts w:hint="eastAsia" w:ascii="宋体" w:hAnsi="宋体" w:cs="宋体"/>
          <w:szCs w:val="21"/>
        </w:rPr>
        <w:t xml:space="preserve">第一章  </w:t>
      </w:r>
      <w:r>
        <w:rPr>
          <w:rFonts w:hint="eastAsia" w:ascii="宋体" w:hAnsi="宋体" w:cs="宋体"/>
          <w:bCs/>
          <w:szCs w:val="21"/>
        </w:rPr>
        <w:t>招标公告</w:t>
      </w:r>
      <w:r>
        <w:tab/>
      </w:r>
      <w:r>
        <w:fldChar w:fldCharType="begin"/>
      </w:r>
      <w:r>
        <w:instrText xml:space="preserve"> PAGEREF _Toc24555 \h </w:instrText>
      </w:r>
      <w:r>
        <w:fldChar w:fldCharType="separate"/>
      </w:r>
      <w:r>
        <w:t>3</w:t>
      </w:r>
      <w:r>
        <w:fldChar w:fldCharType="end"/>
      </w:r>
      <w:r>
        <w:rPr>
          <w:rFonts w:hint="eastAsia" w:ascii="宋体" w:hAnsi="宋体" w:cs="宋体"/>
          <w:szCs w:val="21"/>
        </w:rPr>
        <w:fldChar w:fldCharType="end"/>
      </w:r>
    </w:p>
    <w:p>
      <w:pPr>
        <w:pStyle w:val="21"/>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_Toc22897 </w:instrText>
      </w:r>
      <w:r>
        <w:rPr>
          <w:rFonts w:hint="eastAsia" w:ascii="宋体" w:hAnsi="宋体" w:cs="宋体"/>
          <w:szCs w:val="21"/>
        </w:rPr>
        <w:fldChar w:fldCharType="separate"/>
      </w:r>
      <w:r>
        <w:rPr>
          <w:rFonts w:hint="eastAsia" w:ascii="宋体" w:hAnsi="宋体" w:cs="宋体"/>
          <w:szCs w:val="21"/>
        </w:rPr>
        <w:t>第二章  投标人须知</w:t>
      </w:r>
      <w:r>
        <w:tab/>
      </w:r>
      <w:r>
        <w:fldChar w:fldCharType="begin"/>
      </w:r>
      <w:r>
        <w:instrText xml:space="preserve"> PAGEREF _Toc22897 \h </w:instrText>
      </w:r>
      <w:r>
        <w:fldChar w:fldCharType="separate"/>
      </w:r>
      <w:r>
        <w:t>5</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_Toc8175 </w:instrText>
      </w:r>
      <w:r>
        <w:rPr>
          <w:rFonts w:hint="eastAsia" w:ascii="宋体" w:hAnsi="宋体" w:cs="宋体"/>
          <w:szCs w:val="21"/>
        </w:rPr>
        <w:fldChar w:fldCharType="separate"/>
      </w:r>
      <w:r>
        <w:rPr>
          <w:rFonts w:hint="eastAsia" w:ascii="宋体" w:hAnsi="宋体" w:cs="宋体"/>
          <w:szCs w:val="21"/>
        </w:rPr>
        <w:t>投标人须知资料表</w:t>
      </w:r>
      <w:r>
        <w:tab/>
      </w:r>
      <w:r>
        <w:fldChar w:fldCharType="begin"/>
      </w:r>
      <w:r>
        <w:instrText xml:space="preserve"> PAGEREF _Toc8175 \h </w:instrText>
      </w:r>
      <w:r>
        <w:fldChar w:fldCharType="separate"/>
      </w:r>
      <w:r>
        <w:t>5</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_Toc18246 </w:instrText>
      </w:r>
      <w:r>
        <w:rPr>
          <w:rFonts w:hint="eastAsia" w:ascii="宋体" w:hAnsi="宋体" w:cs="宋体"/>
          <w:szCs w:val="21"/>
        </w:rPr>
        <w:fldChar w:fldCharType="separate"/>
      </w:r>
      <w:r>
        <w:rPr>
          <w:rFonts w:hint="eastAsia" w:ascii="宋体" w:hAnsi="宋体" w:cs="宋体"/>
          <w:szCs w:val="21"/>
        </w:rPr>
        <w:t>一、总则</w:t>
      </w:r>
      <w:r>
        <w:tab/>
      </w:r>
      <w:r>
        <w:fldChar w:fldCharType="begin"/>
      </w:r>
      <w:r>
        <w:instrText xml:space="preserve"> PAGEREF _Toc18246 \h </w:instrText>
      </w:r>
      <w:r>
        <w:fldChar w:fldCharType="separate"/>
      </w:r>
      <w:r>
        <w:t>6</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_Toc22463 </w:instrText>
      </w:r>
      <w:r>
        <w:rPr>
          <w:rFonts w:hint="eastAsia" w:ascii="宋体" w:hAnsi="宋体" w:cs="宋体"/>
          <w:szCs w:val="21"/>
        </w:rPr>
        <w:fldChar w:fldCharType="separate"/>
      </w:r>
      <w:r>
        <w:rPr>
          <w:rFonts w:hint="eastAsia" w:ascii="宋体" w:hAnsi="宋体" w:cs="宋体"/>
          <w:szCs w:val="21"/>
        </w:rPr>
        <w:t>二、响应文件的编制及保证金收取</w:t>
      </w:r>
      <w:r>
        <w:tab/>
      </w:r>
      <w:r>
        <w:fldChar w:fldCharType="begin"/>
      </w:r>
      <w:r>
        <w:instrText xml:space="preserve"> PAGEREF _Toc22463 \h </w:instrText>
      </w:r>
      <w:r>
        <w:fldChar w:fldCharType="separate"/>
      </w:r>
      <w:r>
        <w:t>6</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_Toc28171 </w:instrText>
      </w:r>
      <w:r>
        <w:rPr>
          <w:rFonts w:hint="eastAsia" w:ascii="宋体" w:hAnsi="宋体" w:cs="宋体"/>
          <w:szCs w:val="21"/>
        </w:rPr>
        <w:fldChar w:fldCharType="separate"/>
      </w:r>
      <w:r>
        <w:rPr>
          <w:rFonts w:hint="eastAsia" w:ascii="宋体" w:hAnsi="宋体" w:cs="宋体"/>
          <w:szCs w:val="21"/>
        </w:rPr>
        <w:t>三、招标响应文件的密封、递交</w:t>
      </w:r>
      <w:r>
        <w:tab/>
      </w:r>
      <w:r>
        <w:fldChar w:fldCharType="begin"/>
      </w:r>
      <w:r>
        <w:instrText xml:space="preserve"> PAGEREF _Toc28171 \h </w:instrText>
      </w:r>
      <w:r>
        <w:fldChar w:fldCharType="separate"/>
      </w:r>
      <w:r>
        <w:t>8</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_Toc620 </w:instrText>
      </w:r>
      <w:r>
        <w:rPr>
          <w:rFonts w:hint="eastAsia" w:ascii="宋体" w:hAnsi="宋体" w:cs="宋体"/>
          <w:szCs w:val="21"/>
        </w:rPr>
        <w:fldChar w:fldCharType="separate"/>
      </w:r>
      <w:r>
        <w:rPr>
          <w:rFonts w:hint="eastAsia" w:ascii="宋体" w:hAnsi="宋体" w:cs="宋体"/>
          <w:szCs w:val="21"/>
        </w:rPr>
        <w:t>四、招标与评审</w:t>
      </w:r>
      <w:r>
        <w:tab/>
      </w:r>
      <w:r>
        <w:fldChar w:fldCharType="begin"/>
      </w:r>
      <w:r>
        <w:instrText xml:space="preserve"> PAGEREF _Toc620 \h </w:instrText>
      </w:r>
      <w:r>
        <w:fldChar w:fldCharType="separate"/>
      </w:r>
      <w:r>
        <w:t>8</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_Toc29738 </w:instrText>
      </w:r>
      <w:r>
        <w:rPr>
          <w:rFonts w:hint="eastAsia" w:ascii="宋体" w:hAnsi="宋体" w:cs="宋体"/>
          <w:szCs w:val="21"/>
        </w:rPr>
        <w:fldChar w:fldCharType="separate"/>
      </w:r>
      <w:r>
        <w:rPr>
          <w:rFonts w:hint="eastAsia" w:ascii="宋体" w:hAnsi="宋体" w:cs="宋体"/>
          <w:szCs w:val="21"/>
        </w:rPr>
        <w:t>五、成交</w:t>
      </w:r>
      <w:r>
        <w:tab/>
      </w:r>
      <w:r>
        <w:fldChar w:fldCharType="begin"/>
      </w:r>
      <w:r>
        <w:instrText xml:space="preserve"> PAGEREF _Toc29738 \h </w:instrText>
      </w:r>
      <w:r>
        <w:fldChar w:fldCharType="separate"/>
      </w:r>
      <w:r>
        <w:t>10</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_Toc13375 </w:instrText>
      </w:r>
      <w:r>
        <w:rPr>
          <w:rFonts w:hint="eastAsia" w:ascii="宋体" w:hAnsi="宋体" w:cs="宋体"/>
          <w:szCs w:val="21"/>
        </w:rPr>
        <w:fldChar w:fldCharType="separate"/>
      </w:r>
      <w:r>
        <w:rPr>
          <w:rFonts w:hint="eastAsia" w:ascii="宋体" w:hAnsi="宋体" w:cs="宋体"/>
          <w:szCs w:val="21"/>
        </w:rPr>
        <w:t>六、合同签订相关事项</w:t>
      </w:r>
      <w:r>
        <w:tab/>
      </w:r>
      <w:r>
        <w:fldChar w:fldCharType="begin"/>
      </w:r>
      <w:r>
        <w:instrText xml:space="preserve"> PAGEREF _Toc13375 \h </w:instrText>
      </w:r>
      <w:r>
        <w:fldChar w:fldCharType="separate"/>
      </w:r>
      <w:r>
        <w:t>11</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_Toc3646 </w:instrText>
      </w:r>
      <w:r>
        <w:rPr>
          <w:rFonts w:hint="eastAsia" w:ascii="宋体" w:hAnsi="宋体" w:cs="宋体"/>
          <w:szCs w:val="21"/>
        </w:rPr>
        <w:fldChar w:fldCharType="separate"/>
      </w:r>
      <w:r>
        <w:rPr>
          <w:rFonts w:hint="eastAsia" w:ascii="宋体" w:hAnsi="宋体" w:cs="宋体"/>
          <w:szCs w:val="21"/>
        </w:rPr>
        <w:t>七、其他</w:t>
      </w:r>
      <w:r>
        <w:tab/>
      </w:r>
      <w:r>
        <w:fldChar w:fldCharType="begin"/>
      </w:r>
      <w:r>
        <w:instrText xml:space="preserve"> PAGEREF _Toc3646 \h </w:instrText>
      </w:r>
      <w:r>
        <w:fldChar w:fldCharType="separate"/>
      </w:r>
      <w:r>
        <w:t>12</w:t>
      </w:r>
      <w:r>
        <w:fldChar w:fldCharType="end"/>
      </w:r>
      <w:r>
        <w:rPr>
          <w:rFonts w:hint="eastAsia" w:ascii="宋体" w:hAnsi="宋体" w:cs="宋体"/>
          <w:szCs w:val="21"/>
        </w:rPr>
        <w:fldChar w:fldCharType="end"/>
      </w:r>
    </w:p>
    <w:p>
      <w:pPr>
        <w:pStyle w:val="21"/>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_Toc25336 </w:instrText>
      </w:r>
      <w:r>
        <w:rPr>
          <w:rFonts w:hint="eastAsia" w:ascii="宋体" w:hAnsi="宋体" w:cs="宋体"/>
          <w:szCs w:val="21"/>
        </w:rPr>
        <w:fldChar w:fldCharType="separate"/>
      </w:r>
      <w:r>
        <w:rPr>
          <w:rFonts w:hint="eastAsia" w:ascii="宋体" w:hAnsi="宋体" w:cs="宋体"/>
          <w:szCs w:val="21"/>
        </w:rPr>
        <w:t>第三章  采购需求及政府采购合同（拟签订的合同文本）</w:t>
      </w:r>
      <w:r>
        <w:tab/>
      </w:r>
      <w:r>
        <w:fldChar w:fldCharType="begin"/>
      </w:r>
      <w:r>
        <w:instrText xml:space="preserve"> PAGEREF _Toc25336 \h </w:instrText>
      </w:r>
      <w:r>
        <w:fldChar w:fldCharType="separate"/>
      </w:r>
      <w:r>
        <w:t>14</w:t>
      </w:r>
      <w:r>
        <w:fldChar w:fldCharType="end"/>
      </w:r>
      <w:r>
        <w:rPr>
          <w:rFonts w:hint="eastAsia" w:ascii="宋体" w:hAnsi="宋体" w:cs="宋体"/>
          <w:szCs w:val="21"/>
        </w:rPr>
        <w:fldChar w:fldCharType="end"/>
      </w:r>
    </w:p>
    <w:p>
      <w:pPr>
        <w:pStyle w:val="21"/>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_Toc6430 </w:instrText>
      </w:r>
      <w:r>
        <w:rPr>
          <w:rFonts w:hint="eastAsia" w:ascii="宋体" w:hAnsi="宋体" w:cs="宋体"/>
          <w:szCs w:val="21"/>
        </w:rPr>
        <w:fldChar w:fldCharType="separate"/>
      </w:r>
      <w:r>
        <w:rPr>
          <w:rFonts w:hint="eastAsia" w:ascii="宋体" w:hAnsi="宋体" w:cs="宋体"/>
          <w:szCs w:val="21"/>
        </w:rPr>
        <w:t>第四章  评标方法和标准</w:t>
      </w:r>
      <w:r>
        <w:tab/>
      </w:r>
      <w:r>
        <w:fldChar w:fldCharType="begin"/>
      </w:r>
      <w:r>
        <w:instrText xml:space="preserve"> PAGEREF _Toc6430 \h </w:instrText>
      </w:r>
      <w:r>
        <w:fldChar w:fldCharType="separate"/>
      </w:r>
      <w:r>
        <w:t>35</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_Toc10177 </w:instrText>
      </w:r>
      <w:r>
        <w:rPr>
          <w:rFonts w:hint="eastAsia" w:ascii="宋体" w:hAnsi="宋体" w:cs="宋体"/>
          <w:szCs w:val="21"/>
        </w:rPr>
        <w:fldChar w:fldCharType="separate"/>
      </w:r>
      <w:r>
        <w:rPr>
          <w:rFonts w:hint="eastAsia" w:ascii="宋体" w:hAnsi="宋体" w:cs="宋体"/>
          <w:szCs w:val="21"/>
        </w:rPr>
        <w:t>一、评标方法</w:t>
      </w:r>
      <w:r>
        <w:tab/>
      </w:r>
      <w:r>
        <w:fldChar w:fldCharType="begin"/>
      </w:r>
      <w:r>
        <w:instrText xml:space="preserve"> PAGEREF _Toc10177 \h </w:instrText>
      </w:r>
      <w:r>
        <w:fldChar w:fldCharType="separate"/>
      </w:r>
      <w:r>
        <w:t>35</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_Toc3814 </w:instrText>
      </w:r>
      <w:r>
        <w:rPr>
          <w:rFonts w:hint="eastAsia" w:ascii="宋体" w:hAnsi="宋体" w:cs="宋体"/>
          <w:szCs w:val="21"/>
        </w:rPr>
        <w:fldChar w:fldCharType="separate"/>
      </w:r>
      <w:r>
        <w:rPr>
          <w:rFonts w:hint="eastAsia" w:ascii="宋体" w:hAnsi="宋体" w:cs="宋体"/>
          <w:szCs w:val="21"/>
        </w:rPr>
        <w:t>二、评分标准</w:t>
      </w:r>
      <w:r>
        <w:tab/>
      </w:r>
      <w:r>
        <w:fldChar w:fldCharType="begin"/>
      </w:r>
      <w:r>
        <w:instrText xml:space="preserve"> PAGEREF _Toc3814 \h </w:instrText>
      </w:r>
      <w:r>
        <w:fldChar w:fldCharType="separate"/>
      </w:r>
      <w:r>
        <w:t>35</w:t>
      </w:r>
      <w:r>
        <w:fldChar w:fldCharType="end"/>
      </w:r>
      <w:r>
        <w:rPr>
          <w:rFonts w:hint="eastAsia" w:ascii="宋体" w:hAnsi="宋体" w:cs="宋体"/>
          <w:szCs w:val="21"/>
        </w:rPr>
        <w:fldChar w:fldCharType="end"/>
      </w:r>
    </w:p>
    <w:p>
      <w:pPr>
        <w:pStyle w:val="21"/>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_Toc18617 </w:instrText>
      </w:r>
      <w:r>
        <w:rPr>
          <w:rFonts w:hint="eastAsia" w:ascii="宋体" w:hAnsi="宋体" w:cs="宋体"/>
          <w:szCs w:val="21"/>
        </w:rPr>
        <w:fldChar w:fldCharType="separate"/>
      </w:r>
      <w:r>
        <w:rPr>
          <w:rFonts w:hint="eastAsia" w:ascii="宋体" w:hAnsi="宋体" w:cs="宋体"/>
          <w:szCs w:val="21"/>
        </w:rPr>
        <w:t>第五章 投标文件格式</w:t>
      </w:r>
      <w:r>
        <w:tab/>
      </w:r>
      <w:r>
        <w:fldChar w:fldCharType="begin"/>
      </w:r>
      <w:r>
        <w:instrText xml:space="preserve"> PAGEREF _Toc18617 \h </w:instrText>
      </w:r>
      <w:r>
        <w:fldChar w:fldCharType="separate"/>
      </w:r>
      <w:r>
        <w:t>38</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_Toc5164 </w:instrText>
      </w:r>
      <w:r>
        <w:rPr>
          <w:rFonts w:hint="eastAsia" w:ascii="宋体" w:hAnsi="宋体" w:cs="宋体"/>
          <w:szCs w:val="21"/>
        </w:rPr>
        <w:fldChar w:fldCharType="separate"/>
      </w:r>
      <w:r>
        <w:rPr>
          <w:rFonts w:hint="eastAsia" w:ascii="宋体" w:hAnsi="宋体" w:cs="宋体"/>
          <w:bCs/>
          <w:szCs w:val="21"/>
        </w:rPr>
        <w:t>一、开标一览表(报价表)（格式）</w:t>
      </w:r>
      <w:r>
        <w:tab/>
      </w:r>
      <w:r>
        <w:fldChar w:fldCharType="begin"/>
      </w:r>
      <w:r>
        <w:instrText xml:space="preserve"> PAGEREF _Toc5164 \h </w:instrText>
      </w:r>
      <w:r>
        <w:fldChar w:fldCharType="separate"/>
      </w:r>
      <w:r>
        <w:t>41</w:t>
      </w:r>
      <w:r>
        <w:fldChar w:fldCharType="end"/>
      </w:r>
      <w:r>
        <w:rPr>
          <w:rFonts w:hint="eastAsia" w:ascii="宋体" w:hAnsi="宋体" w:cs="宋体"/>
          <w:szCs w:val="21"/>
        </w:rPr>
        <w:fldChar w:fldCharType="end"/>
      </w:r>
    </w:p>
    <w:p>
      <w:pPr>
        <w:pStyle w:val="24"/>
        <w:tabs>
          <w:tab w:val="right" w:leader="dot" w:pos="9525"/>
        </w:tabs>
        <w:rPr>
          <w:rFonts w:hint="default"/>
          <w:lang w:val="en-US" w:eastAsia="zh-CN"/>
        </w:rPr>
      </w:pPr>
      <w:r>
        <w:rPr>
          <w:rFonts w:hint="eastAsia" w:ascii="宋体" w:hAnsi="宋体" w:cs="宋体"/>
          <w:kern w:val="0"/>
          <w:szCs w:val="28"/>
        </w:rPr>
        <w:t>二、投标人的资格证明文件</w:t>
      </w:r>
      <w:r>
        <w:rPr>
          <w:rFonts w:hint="eastAsia" w:ascii="宋体" w:hAnsi="宋体" w:cs="宋体"/>
          <w:kern w:val="0"/>
          <w:szCs w:val="28"/>
          <w:lang w:val="en-US" w:eastAsia="zh-CN"/>
        </w:rPr>
        <w:t>..................................................</w:t>
      </w:r>
      <w:r>
        <w:rPr>
          <w:rFonts w:hint="eastAsia"/>
          <w:lang w:val="en-US" w:eastAsia="zh-CN"/>
        </w:rPr>
        <w:t>.50</w:t>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_Toc20248 </w:instrText>
      </w:r>
      <w:r>
        <w:rPr>
          <w:rFonts w:hint="eastAsia" w:ascii="宋体" w:hAnsi="宋体" w:cs="宋体"/>
          <w:szCs w:val="21"/>
        </w:rPr>
        <w:fldChar w:fldCharType="separate"/>
      </w:r>
      <w:r>
        <w:rPr>
          <w:rFonts w:hint="eastAsia" w:ascii="宋体" w:hAnsi="宋体" w:cs="宋体"/>
          <w:kern w:val="0"/>
          <w:szCs w:val="28"/>
        </w:rPr>
        <w:t>三、法定代表人授权委托书(格式）</w:t>
      </w:r>
      <w:r>
        <w:tab/>
      </w:r>
      <w:r>
        <w:fldChar w:fldCharType="begin"/>
      </w:r>
      <w:r>
        <w:instrText xml:space="preserve"> PAGEREF _Toc20248 \h </w:instrText>
      </w:r>
      <w:r>
        <w:fldChar w:fldCharType="separate"/>
      </w:r>
      <w:r>
        <w:t>45</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_Toc23670 </w:instrText>
      </w:r>
      <w:r>
        <w:rPr>
          <w:rFonts w:hint="eastAsia" w:ascii="宋体" w:hAnsi="宋体" w:cs="宋体"/>
          <w:szCs w:val="21"/>
        </w:rPr>
        <w:fldChar w:fldCharType="separate"/>
      </w:r>
      <w:r>
        <w:rPr>
          <w:rFonts w:hint="eastAsia" w:ascii="宋体" w:hAnsi="宋体" w:cs="宋体"/>
          <w:kern w:val="0"/>
          <w:szCs w:val="28"/>
        </w:rPr>
        <w:t>四、投标书（格式）</w:t>
      </w:r>
      <w:r>
        <w:tab/>
      </w:r>
      <w:r>
        <w:fldChar w:fldCharType="begin"/>
      </w:r>
      <w:r>
        <w:instrText xml:space="preserve"> PAGEREF _Toc23670 \h </w:instrText>
      </w:r>
      <w:r>
        <w:fldChar w:fldCharType="separate"/>
      </w:r>
      <w:r>
        <w:t>46</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_Toc27961 </w:instrText>
      </w:r>
      <w:r>
        <w:rPr>
          <w:rFonts w:hint="eastAsia" w:ascii="宋体" w:hAnsi="宋体" w:cs="宋体"/>
          <w:szCs w:val="21"/>
        </w:rPr>
        <w:fldChar w:fldCharType="separate"/>
      </w:r>
      <w:r>
        <w:rPr>
          <w:rFonts w:hint="eastAsia" w:ascii="宋体" w:hAnsi="宋体" w:cs="宋体"/>
          <w:kern w:val="0"/>
          <w:szCs w:val="28"/>
        </w:rPr>
        <w:t>五、盐城市政府采购事前信用承诺书（格式）</w:t>
      </w:r>
      <w:r>
        <w:tab/>
      </w:r>
      <w:r>
        <w:fldChar w:fldCharType="begin"/>
      </w:r>
      <w:r>
        <w:instrText xml:space="preserve"> PAGEREF _Toc27961 \h </w:instrText>
      </w:r>
      <w:r>
        <w:fldChar w:fldCharType="separate"/>
      </w:r>
      <w:r>
        <w:t>47</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_Toc14155 </w:instrText>
      </w:r>
      <w:r>
        <w:rPr>
          <w:rFonts w:hint="eastAsia" w:ascii="宋体" w:hAnsi="宋体" w:cs="宋体"/>
          <w:szCs w:val="21"/>
        </w:rPr>
        <w:fldChar w:fldCharType="separate"/>
      </w:r>
      <w:r>
        <w:rPr>
          <w:rFonts w:hint="eastAsia" w:ascii="宋体" w:hAnsi="宋体" w:cs="宋体"/>
          <w:kern w:val="0"/>
          <w:szCs w:val="28"/>
        </w:rPr>
        <w:t>六、投标分项报价表（格式）</w:t>
      </w:r>
      <w:r>
        <w:tab/>
      </w:r>
      <w:r>
        <w:fldChar w:fldCharType="begin"/>
      </w:r>
      <w:r>
        <w:instrText xml:space="preserve"> PAGEREF _Toc14155 \h </w:instrText>
      </w:r>
      <w:r>
        <w:fldChar w:fldCharType="separate"/>
      </w:r>
      <w:r>
        <w:t>48</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_Toc12089 </w:instrText>
      </w:r>
      <w:r>
        <w:rPr>
          <w:rFonts w:hint="eastAsia" w:ascii="宋体" w:hAnsi="宋体" w:cs="宋体"/>
          <w:szCs w:val="21"/>
        </w:rPr>
        <w:fldChar w:fldCharType="separate"/>
      </w:r>
      <w:r>
        <w:rPr>
          <w:rFonts w:hint="eastAsia" w:ascii="宋体" w:hAnsi="宋体" w:cs="宋体"/>
          <w:kern w:val="0"/>
          <w:szCs w:val="28"/>
        </w:rPr>
        <w:t>七、商务要求响应情况表</w:t>
      </w:r>
      <w:r>
        <w:tab/>
      </w:r>
      <w:r>
        <w:fldChar w:fldCharType="begin"/>
      </w:r>
      <w:r>
        <w:instrText xml:space="preserve"> PAGEREF _Toc12089 \h </w:instrText>
      </w:r>
      <w:r>
        <w:fldChar w:fldCharType="separate"/>
      </w:r>
      <w:r>
        <w:t>49</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_Toc9072 </w:instrText>
      </w:r>
      <w:r>
        <w:rPr>
          <w:rFonts w:hint="eastAsia" w:ascii="宋体" w:hAnsi="宋体" w:cs="宋体"/>
          <w:szCs w:val="21"/>
        </w:rPr>
        <w:fldChar w:fldCharType="separate"/>
      </w:r>
      <w:r>
        <w:rPr>
          <w:rFonts w:hint="eastAsia" w:ascii="宋体" w:hAnsi="宋体" w:cs="宋体"/>
          <w:kern w:val="0"/>
          <w:szCs w:val="28"/>
        </w:rPr>
        <w:t>八、技术要求响应情况表</w:t>
      </w:r>
      <w:r>
        <w:tab/>
      </w:r>
      <w:r>
        <w:fldChar w:fldCharType="begin"/>
      </w:r>
      <w:r>
        <w:instrText xml:space="preserve"> PAGEREF _Toc9072 \h </w:instrText>
      </w:r>
      <w:r>
        <w:fldChar w:fldCharType="separate"/>
      </w:r>
      <w:r>
        <w:t>50</w:t>
      </w:r>
      <w:r>
        <w:fldChar w:fldCharType="end"/>
      </w:r>
      <w:r>
        <w:rPr>
          <w:rFonts w:hint="eastAsia" w:ascii="宋体" w:hAnsi="宋体" w:cs="宋体"/>
          <w:szCs w:val="21"/>
        </w:rPr>
        <w:fldChar w:fldCharType="end"/>
      </w:r>
    </w:p>
    <w:p>
      <w:pPr>
        <w:pStyle w:val="24"/>
        <w:tabs>
          <w:tab w:val="right" w:leader="dot" w:pos="9525"/>
        </w:tabs>
      </w:pPr>
      <w:r>
        <w:rPr>
          <w:rFonts w:hint="eastAsia" w:ascii="宋体" w:hAnsi="宋体" w:cs="宋体"/>
          <w:szCs w:val="21"/>
        </w:rPr>
        <w:fldChar w:fldCharType="begin"/>
      </w:r>
      <w:r>
        <w:rPr>
          <w:rFonts w:hint="eastAsia" w:ascii="宋体" w:hAnsi="宋体" w:cs="宋体"/>
          <w:szCs w:val="21"/>
        </w:rPr>
        <w:instrText xml:space="preserve"> HYPERLINK \l _Toc22392 </w:instrText>
      </w:r>
      <w:r>
        <w:rPr>
          <w:rFonts w:hint="eastAsia" w:ascii="宋体" w:hAnsi="宋体" w:cs="宋体"/>
          <w:szCs w:val="21"/>
        </w:rPr>
        <w:fldChar w:fldCharType="separate"/>
      </w:r>
      <w:r>
        <w:rPr>
          <w:rFonts w:hint="eastAsia" w:ascii="宋体" w:hAnsi="宋体" w:cs="宋体"/>
          <w:szCs w:val="28"/>
        </w:rPr>
        <w:t>九、投标文件的其它内容</w:t>
      </w:r>
      <w:r>
        <w:tab/>
      </w:r>
      <w:r>
        <w:fldChar w:fldCharType="begin"/>
      </w:r>
      <w:r>
        <w:instrText xml:space="preserve"> PAGEREF _Toc22392 \h </w:instrText>
      </w:r>
      <w:r>
        <w:fldChar w:fldCharType="separate"/>
      </w:r>
      <w:r>
        <w:t>51</w:t>
      </w:r>
      <w:r>
        <w:fldChar w:fldCharType="end"/>
      </w:r>
      <w:r>
        <w:rPr>
          <w:rFonts w:hint="eastAsia" w:ascii="宋体" w:hAnsi="宋体" w:cs="宋体"/>
          <w:szCs w:val="21"/>
        </w:rPr>
        <w:fldChar w:fldCharType="end"/>
      </w:r>
    </w:p>
    <w:p>
      <w:pPr>
        <w:rPr>
          <w:rFonts w:ascii="宋体" w:hAnsi="宋体" w:cs="宋体"/>
          <w:szCs w:val="21"/>
        </w:rPr>
      </w:pPr>
      <w:r>
        <w:rPr>
          <w:rFonts w:hint="eastAsia" w:ascii="宋体" w:hAnsi="宋体" w:cs="宋体"/>
          <w:szCs w:val="21"/>
        </w:rPr>
        <w:fldChar w:fldCharType="end"/>
      </w:r>
    </w:p>
    <w:p>
      <w:pPr>
        <w:spacing w:line="460" w:lineRule="exact"/>
        <w:jc w:val="center"/>
        <w:rPr>
          <w:rFonts w:ascii="宋体" w:hAnsi="宋体" w:cs="宋体"/>
          <w:b/>
          <w:color w:val="000000" w:themeColor="text1"/>
          <w:szCs w:val="21"/>
          <w14:textFill>
            <w14:solidFill>
              <w14:schemeClr w14:val="tx1"/>
            </w14:solidFill>
          </w14:textFill>
        </w:rPr>
      </w:pPr>
    </w:p>
    <w:p>
      <w:pPr>
        <w:spacing w:line="460" w:lineRule="exact"/>
        <w:jc w:val="center"/>
        <w:rPr>
          <w:rFonts w:ascii="宋体" w:hAnsi="宋体" w:cs="宋体"/>
          <w:b/>
          <w:color w:val="000000" w:themeColor="text1"/>
          <w:szCs w:val="21"/>
          <w14:textFill>
            <w14:solidFill>
              <w14:schemeClr w14:val="tx1"/>
            </w14:solidFill>
          </w14:textFill>
        </w:rPr>
      </w:pPr>
    </w:p>
    <w:p>
      <w:pPr>
        <w:spacing w:line="460" w:lineRule="exact"/>
        <w:rPr>
          <w:rFonts w:ascii="宋体" w:hAnsi="宋体" w:cs="宋体"/>
          <w:b/>
          <w:color w:val="000000" w:themeColor="text1"/>
          <w:szCs w:val="21"/>
          <w14:textFill>
            <w14:solidFill>
              <w14:schemeClr w14:val="tx1"/>
            </w14:solidFill>
          </w14:textFill>
        </w:rPr>
      </w:pPr>
    </w:p>
    <w:p>
      <w:pPr>
        <w:rPr>
          <w:rFonts w:hint="eastAsia" w:ascii="宋体" w:hAnsi="宋体" w:cs="宋体"/>
          <w:b/>
          <w:color w:val="000000" w:themeColor="text1"/>
          <w:sz w:val="28"/>
          <w:szCs w:val="21"/>
          <w14:textFill>
            <w14:solidFill>
              <w14:schemeClr w14:val="tx1"/>
            </w14:solidFill>
          </w14:textFill>
        </w:rPr>
      </w:pPr>
      <w:bookmarkStart w:id="1" w:name="_Toc24555"/>
      <w:r>
        <w:rPr>
          <w:rFonts w:hint="eastAsia" w:ascii="宋体" w:hAnsi="宋体" w:cs="宋体"/>
          <w:b/>
          <w:color w:val="000000" w:themeColor="text1"/>
          <w:sz w:val="28"/>
          <w:szCs w:val="21"/>
          <w14:textFill>
            <w14:solidFill>
              <w14:schemeClr w14:val="tx1"/>
            </w14:solidFill>
          </w14:textFill>
        </w:rPr>
        <w:br w:type="page"/>
      </w:r>
    </w:p>
    <w:p>
      <w:pPr>
        <w:spacing w:line="460" w:lineRule="exact"/>
        <w:jc w:val="center"/>
        <w:outlineLvl w:val="0"/>
        <w:rPr>
          <w:rFonts w:ascii="宋体" w:hAnsi="宋体" w:cs="宋体"/>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t xml:space="preserve">第一章  </w:t>
      </w:r>
      <w:r>
        <w:rPr>
          <w:rFonts w:hint="eastAsia" w:ascii="宋体" w:hAnsi="宋体" w:cs="宋体"/>
          <w:b/>
          <w:bCs/>
          <w:color w:val="000000" w:themeColor="text1"/>
          <w:sz w:val="28"/>
          <w:szCs w:val="21"/>
          <w14:textFill>
            <w14:solidFill>
              <w14:schemeClr w14:val="tx1"/>
            </w14:solidFill>
          </w14:textFill>
        </w:rPr>
        <w:t>招标公告</w:t>
      </w:r>
      <w:bookmarkEnd w:id="0"/>
      <w:bookmarkEnd w:id="1"/>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盐城市携手阳光集中采购代理有限公司（本次采购可简称：携手阳光公司）受采购人的委托，根据《中华人民共和国政府采购法》等有关规定，现对下列项目进行</w:t>
      </w:r>
      <w:r>
        <w:rPr>
          <w:rFonts w:hint="eastAsia" w:ascii="宋体" w:hAnsi="宋体" w:cs="宋体"/>
          <w:color w:val="000000" w:themeColor="text1"/>
          <w:szCs w:val="21"/>
          <w:lang w:val="en-US"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，欢迎合格的供应商前来投标。</w:t>
      </w:r>
    </w:p>
    <w:p>
      <w:pPr>
        <w:pBdr>
          <w:top w:val="single" w:color="auto" w:sz="4" w:space="1"/>
          <w:left w:val="single" w:color="auto" w:sz="4" w:space="4"/>
          <w:bottom w:val="single" w:color="auto" w:sz="4" w:space="1"/>
          <w:right w:val="single" w:color="auto" w:sz="4" w:space="4"/>
        </w:pBdr>
        <w:spacing w:line="44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江苏医药职业学院一站式学生社区家具</w:t>
      </w:r>
      <w:r>
        <w:rPr>
          <w:rFonts w:hint="eastAsia" w:ascii="宋体" w:hAnsi="宋体" w:cs="宋体"/>
          <w:color w:val="000000" w:themeColor="text1"/>
          <w:szCs w:val="21"/>
          <w:u w:val="single"/>
          <w:lang w:val="en-US" w:eastAsia="zh-CN"/>
          <w14:textFill>
            <w14:solidFill>
              <w14:schemeClr w14:val="tx1"/>
            </w14:solidFill>
          </w14:textFill>
        </w:rPr>
        <w:t>采购项目</w:t>
      </w:r>
      <w:r>
        <w:rPr>
          <w:rFonts w:hint="eastAsia" w:ascii="宋体" w:hAnsi="宋体" w:cs="宋体"/>
          <w:color w:val="000000" w:themeColor="text1"/>
          <w:szCs w:val="21"/>
          <w14:textFill>
            <w14:solidFill>
              <w14:schemeClr w14:val="tx1"/>
            </w14:solidFill>
          </w14:textFill>
        </w:rPr>
        <w:t>的潜在投标人应在</w:t>
      </w:r>
      <w:r>
        <w:rPr>
          <w:rFonts w:hint="eastAsia" w:ascii="宋体" w:hAnsi="宋体" w:cs="宋体"/>
          <w:color w:val="000000" w:themeColor="text1"/>
          <w:szCs w:val="21"/>
          <w:u w:val="single"/>
          <w14:textFill>
            <w14:solidFill>
              <w14:schemeClr w14:val="tx1"/>
            </w14:solidFill>
          </w14:textFill>
        </w:rPr>
        <w:t>盐城市府西路华邦国际西厦A302室（3楼东区）</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b/>
          <w:bCs/>
          <w:color w:val="000000" w:themeColor="text1"/>
          <w:szCs w:val="21"/>
          <w:u w:val="single"/>
          <w14:textFill>
            <w14:solidFill>
              <w14:schemeClr w14:val="tx1"/>
            </w14:solidFill>
          </w14:textFill>
        </w:rPr>
        <w:t>2023年</w:t>
      </w:r>
      <w:r>
        <w:rPr>
          <w:rFonts w:hint="eastAsia" w:ascii="宋体" w:hAnsi="宋体" w:cs="宋体"/>
          <w:b/>
          <w:bCs/>
          <w:color w:val="000000" w:themeColor="text1"/>
          <w:szCs w:val="21"/>
          <w:u w:val="single"/>
          <w:lang w:val="en-US" w:eastAsia="zh-CN"/>
          <w14:textFill>
            <w14:solidFill>
              <w14:schemeClr w14:val="tx1"/>
            </w14:solidFill>
          </w14:textFill>
        </w:rPr>
        <w:t>11</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22</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u w:val="single"/>
          <w:lang w:val="en-US" w:eastAsia="zh-CN"/>
          <w14:textFill>
            <w14:solidFill>
              <w14:schemeClr w14:val="tx1"/>
            </w14:solidFill>
          </w14:textFill>
        </w:rPr>
        <w:t>09</w:t>
      </w:r>
      <w:r>
        <w:rPr>
          <w:rFonts w:hint="eastAsia" w:ascii="宋体" w:hAnsi="宋体" w:cs="宋体"/>
          <w:b/>
          <w:bCs/>
          <w:color w:val="000000" w:themeColor="text1"/>
          <w:szCs w:val="21"/>
          <w:u w:val="single"/>
          <w14:textFill>
            <w14:solidFill>
              <w14:schemeClr w14:val="tx1"/>
            </w14:solidFill>
          </w14:textFill>
        </w:rPr>
        <w:t>点</w:t>
      </w:r>
      <w:r>
        <w:rPr>
          <w:rFonts w:hint="eastAsia" w:ascii="宋体" w:hAnsi="宋体" w:cs="宋体"/>
          <w:b/>
          <w:bCs/>
          <w:color w:val="000000" w:themeColor="text1"/>
          <w:szCs w:val="21"/>
          <w:u w:val="single"/>
          <w:lang w:val="en-US" w:eastAsia="zh-CN"/>
          <w14:textFill>
            <w14:solidFill>
              <w14:schemeClr w14:val="tx1"/>
            </w14:solidFill>
          </w14:textFill>
        </w:rPr>
        <w:t>00</w:t>
      </w:r>
      <w:r>
        <w:rPr>
          <w:rFonts w:hint="eastAsia" w:ascii="宋体" w:hAnsi="宋体" w:cs="宋体"/>
          <w:b/>
          <w:bCs/>
          <w:color w:val="000000" w:themeColor="text1"/>
          <w:szCs w:val="21"/>
          <w:u w:val="single"/>
          <w14:textFill>
            <w14:solidFill>
              <w14:schemeClr w14:val="tx1"/>
            </w14:solidFill>
          </w14:textFill>
        </w:rPr>
        <w:t>分（</w:t>
      </w:r>
      <w:r>
        <w:rPr>
          <w:rFonts w:hint="eastAsia" w:ascii="宋体" w:hAnsi="宋体" w:cs="宋体"/>
          <w:b/>
          <w:bCs/>
          <w:color w:val="000000" w:themeColor="text1"/>
          <w:szCs w:val="21"/>
          <w14:textFill>
            <w14:solidFill>
              <w14:schemeClr w14:val="tx1"/>
            </w14:solidFill>
          </w14:textFill>
        </w:rPr>
        <w:t>北京时间）前递交投标文件。</w:t>
      </w:r>
    </w:p>
    <w:p>
      <w:pPr>
        <w:spacing w:line="440" w:lineRule="exact"/>
        <w:outlineLvl w:val="1"/>
        <w:rPr>
          <w:rFonts w:ascii="宋体" w:hAnsi="宋体" w:cs="宋体"/>
          <w:b/>
          <w:color w:val="000000" w:themeColor="text1"/>
          <w:szCs w:val="21"/>
          <w14:textFill>
            <w14:solidFill>
              <w14:schemeClr w14:val="tx1"/>
            </w14:solidFill>
          </w14:textFill>
        </w:rPr>
      </w:pPr>
      <w:bookmarkStart w:id="2" w:name="_Toc35393790"/>
      <w:bookmarkStart w:id="3" w:name="_Toc35393621"/>
      <w:bookmarkStart w:id="4" w:name="_Toc28359079"/>
      <w:bookmarkStart w:id="5" w:name="_Toc28359002"/>
      <w:bookmarkStart w:id="6" w:name="_Toc17102"/>
      <w:bookmarkStart w:id="7" w:name="_Toc26074"/>
      <w:bookmarkStart w:id="8" w:name="_Toc17275"/>
      <w:bookmarkStart w:id="9" w:name="_Hlk24379207"/>
      <w:r>
        <w:rPr>
          <w:rFonts w:hint="eastAsia" w:ascii="宋体" w:hAnsi="宋体" w:cs="宋体"/>
          <w:b/>
          <w:color w:val="000000" w:themeColor="text1"/>
          <w:szCs w:val="21"/>
          <w14:textFill>
            <w14:solidFill>
              <w14:schemeClr w14:val="tx1"/>
            </w14:solidFill>
          </w14:textFill>
        </w:rPr>
        <w:t>一、项目基本情况</w:t>
      </w:r>
      <w:bookmarkEnd w:id="2"/>
      <w:bookmarkEnd w:id="3"/>
      <w:bookmarkEnd w:id="4"/>
      <w:bookmarkEnd w:id="5"/>
      <w:bookmarkEnd w:id="6"/>
      <w:bookmarkEnd w:id="7"/>
      <w:bookmarkEnd w:id="8"/>
    </w:p>
    <w:p>
      <w:pPr>
        <w:spacing w:line="440" w:lineRule="exact"/>
        <w:ind w:firstLine="422" w:firstLineChars="200"/>
        <w:rPr>
          <w:rFonts w:hint="eastAsia" w:ascii="宋体" w:hAnsi="宋体" w:cs="宋体"/>
          <w:szCs w:val="21"/>
        </w:rPr>
      </w:pPr>
      <w:r>
        <w:rPr>
          <w:rFonts w:hint="eastAsia" w:ascii="宋体" w:hAnsi="宋体" w:cs="宋体"/>
          <w:b/>
          <w:bCs/>
          <w:color w:val="000000" w:themeColor="text1"/>
          <w:szCs w:val="21"/>
          <w14:textFill>
            <w14:solidFill>
              <w14:schemeClr w14:val="tx1"/>
            </w14:solidFill>
          </w14:textFill>
        </w:rPr>
        <w:t>项目编号：</w:t>
      </w:r>
      <w:r>
        <w:rPr>
          <w:rFonts w:hint="eastAsia" w:ascii="宋体" w:hAnsi="宋体" w:cs="宋体"/>
          <w:szCs w:val="21"/>
        </w:rPr>
        <w:t>SY202</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72</w:t>
      </w:r>
      <w:r>
        <w:rPr>
          <w:rFonts w:hint="eastAsia" w:ascii="宋体" w:hAnsi="宋体" w:cs="宋体"/>
          <w:szCs w:val="21"/>
        </w:rPr>
        <w:t>-</w:t>
      </w:r>
      <w:r>
        <w:rPr>
          <w:rFonts w:hint="eastAsia" w:ascii="宋体" w:hAnsi="宋体" w:cs="宋体"/>
          <w:szCs w:val="21"/>
          <w:lang w:val="en-US" w:eastAsia="zh-CN"/>
        </w:rPr>
        <w:t>HW</w:t>
      </w:r>
      <w:r>
        <w:rPr>
          <w:rFonts w:hint="eastAsia" w:ascii="宋体" w:hAnsi="宋体" w:cs="宋体"/>
          <w:szCs w:val="21"/>
        </w:rPr>
        <w:t>-</w:t>
      </w:r>
      <w:r>
        <w:rPr>
          <w:rFonts w:hint="eastAsia" w:ascii="宋体" w:hAnsi="宋体" w:cs="宋体"/>
          <w:szCs w:val="21"/>
          <w:lang w:val="en-US" w:eastAsia="zh-CN"/>
        </w:rPr>
        <w:t>GK</w:t>
      </w:r>
    </w:p>
    <w:p>
      <w:pPr>
        <w:spacing w:line="440" w:lineRule="exact"/>
        <w:ind w:firstLine="422" w:firstLineChars="200"/>
        <w:rPr>
          <w:rFonts w:hint="eastAsia" w:ascii="宋体" w:hAnsi="宋体" w:cs="宋体"/>
          <w:szCs w:val="21"/>
        </w:rPr>
      </w:pPr>
      <w:r>
        <w:rPr>
          <w:rFonts w:hint="eastAsia" w:ascii="宋体" w:hAnsi="宋体" w:cs="宋体"/>
          <w:b/>
          <w:bCs/>
          <w:color w:val="000000" w:themeColor="text1"/>
          <w:szCs w:val="21"/>
          <w14:textFill>
            <w14:solidFill>
              <w14:schemeClr w14:val="tx1"/>
            </w14:solidFill>
          </w14:textFill>
        </w:rPr>
        <w:t>项目名称：</w:t>
      </w:r>
      <w:r>
        <w:rPr>
          <w:rFonts w:hint="eastAsia" w:ascii="宋体" w:hAnsi="宋体" w:cs="宋体"/>
          <w:szCs w:val="21"/>
        </w:rPr>
        <w:t>江苏医药职业学院一站式学生社区家具</w:t>
      </w:r>
      <w:r>
        <w:rPr>
          <w:rFonts w:hint="eastAsia" w:ascii="宋体" w:hAnsi="宋体" w:cs="宋体"/>
          <w:szCs w:val="21"/>
          <w:lang w:val="en-US" w:eastAsia="zh-CN"/>
        </w:rPr>
        <w:t>采购项目</w:t>
      </w:r>
    </w:p>
    <w:p>
      <w:pPr>
        <w:spacing w:line="440" w:lineRule="exact"/>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项目预算（限价）：</w:t>
      </w:r>
      <w:r>
        <w:rPr>
          <w:rFonts w:hint="eastAsia" w:ascii="宋体" w:hAnsi="宋体" w:cs="宋体"/>
          <w:color w:val="000000" w:themeColor="text1"/>
          <w:szCs w:val="21"/>
          <w14:textFill>
            <w14:solidFill>
              <w14:schemeClr w14:val="tx1"/>
            </w14:solidFill>
          </w14:textFill>
        </w:rPr>
        <w:t>人民币</w:t>
      </w:r>
      <w:r>
        <w:rPr>
          <w:rFonts w:hint="eastAsia" w:ascii="宋体" w:hAnsi="宋体" w:cs="宋体"/>
          <w:color w:val="000000" w:themeColor="text1"/>
          <w:szCs w:val="21"/>
          <w:u w:val="single"/>
          <w:lang w:val="en-US" w:eastAsia="zh-CN"/>
          <w14:textFill>
            <w14:solidFill>
              <w14:schemeClr w14:val="tx1"/>
            </w14:solidFill>
          </w14:textFill>
        </w:rPr>
        <w:t>37</w:t>
      </w:r>
      <w:r>
        <w:rPr>
          <w:rFonts w:hint="eastAsia" w:ascii="宋体" w:hAnsi="宋体" w:cs="宋体"/>
          <w:color w:val="000000" w:themeColor="text1"/>
          <w:szCs w:val="21"/>
          <w14:textFill>
            <w14:solidFill>
              <w14:schemeClr w14:val="tx1"/>
            </w14:solidFill>
          </w14:textFill>
        </w:rPr>
        <w:t>万元（财政性资金）；报价超过最高限价的为无效报价，按照无效响应处理。</w:t>
      </w:r>
    </w:p>
    <w:p>
      <w:pPr>
        <w:pStyle w:val="23"/>
        <w:spacing w:line="276" w:lineRule="auto"/>
        <w:ind w:left="368" w:leftChars="175" w:firstLine="0" w:firstLineChars="0"/>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采购需求：</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一站式学生社区设计改造，拟采购桌椅、文件柜、沙发等家具一批，详见招标文件</w:t>
      </w:r>
      <w:r>
        <w:rPr>
          <w:rFonts w:hint="eastAsia" w:ascii="宋体" w:hAnsi="宋体" w:cs="宋体"/>
          <w:color w:val="000000" w:themeColor="text1"/>
          <w:kern w:val="2"/>
          <w:sz w:val="21"/>
          <w:szCs w:val="21"/>
          <w:lang w:val="en-US" w:eastAsia="zh-CN" w:bidi="ar-SA"/>
          <w14:textFill>
            <w14:solidFill>
              <w14:schemeClr w14:val="tx1"/>
            </w14:solidFill>
          </w14:textFill>
        </w:rPr>
        <w:t>采购需求部分</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p>
      <w:pPr>
        <w:spacing w:line="440" w:lineRule="exact"/>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质保期：</w:t>
      </w:r>
      <w:r>
        <w:rPr>
          <w:rFonts w:hint="eastAsia" w:ascii="宋体" w:hAnsi="宋体" w:cs="宋体"/>
          <w:color w:val="000000" w:themeColor="text1"/>
          <w:szCs w:val="21"/>
          <w14:textFill>
            <w14:solidFill>
              <w14:schemeClr w14:val="tx1"/>
            </w14:solidFill>
          </w14:textFill>
        </w:rPr>
        <w:t>不少于</w:t>
      </w:r>
      <w:r>
        <w:rPr>
          <w:rFonts w:hint="eastAsia" w:ascii="宋体" w:hAnsi="宋体" w:cs="宋体"/>
          <w:color w:val="000000" w:themeColor="text1"/>
          <w:szCs w:val="21"/>
          <w:u w:val="single"/>
          <w14:textFill>
            <w14:solidFill>
              <w14:schemeClr w14:val="tx1"/>
            </w14:solidFill>
          </w14:textFill>
        </w:rPr>
        <w:t>叁</w:t>
      </w:r>
      <w:r>
        <w:rPr>
          <w:rFonts w:hint="eastAsia" w:ascii="宋体" w:hAnsi="宋体" w:cs="宋体"/>
          <w:color w:val="000000" w:themeColor="text1"/>
          <w:szCs w:val="21"/>
          <w14:textFill>
            <w14:solidFill>
              <w14:schemeClr w14:val="tx1"/>
            </w14:solidFill>
          </w14:textFill>
        </w:rPr>
        <w:t xml:space="preserve">年（质保期自验收合格之日起算）； </w:t>
      </w:r>
    </w:p>
    <w:bookmarkEnd w:id="9"/>
    <w:p>
      <w:pPr>
        <w:spacing w:line="440" w:lineRule="exact"/>
        <w:ind w:firstLine="422" w:firstLineChars="200"/>
        <w:rPr>
          <w:rFonts w:hint="eastAsia" w:ascii="宋体" w:hAnsi="宋体" w:cs="宋体"/>
          <w:color w:val="000000" w:themeColor="text1"/>
          <w:szCs w:val="21"/>
          <w14:textFill>
            <w14:solidFill>
              <w14:schemeClr w14:val="tx1"/>
            </w14:solidFill>
          </w14:textFill>
        </w:rPr>
      </w:pPr>
      <w:bookmarkStart w:id="10" w:name="_Toc35393622"/>
      <w:bookmarkStart w:id="11" w:name="_Toc35393791"/>
      <w:bookmarkStart w:id="12" w:name="_Toc28359003"/>
      <w:bookmarkStart w:id="13" w:name="_Toc28359080"/>
      <w:r>
        <w:rPr>
          <w:rFonts w:hint="eastAsia" w:ascii="宋体" w:hAnsi="宋体" w:cs="宋体"/>
          <w:b/>
          <w:bCs/>
          <w:color w:val="000000" w:themeColor="text1"/>
          <w:szCs w:val="21"/>
          <w:lang w:val="en-US" w:eastAsia="zh-CN"/>
          <w14:textFill>
            <w14:solidFill>
              <w14:schemeClr w14:val="tx1"/>
            </w14:solidFill>
          </w14:textFill>
        </w:rPr>
        <w:t>交付期：</w:t>
      </w:r>
      <w:r>
        <w:rPr>
          <w:rFonts w:hint="eastAsia" w:ascii="宋体" w:hAnsi="宋体" w:cs="宋体"/>
          <w:color w:val="000000" w:themeColor="text1"/>
          <w:szCs w:val="21"/>
          <w:lang w:val="en-US" w:eastAsia="zh-CN"/>
          <w14:textFill>
            <w14:solidFill>
              <w14:schemeClr w14:val="tx1"/>
            </w14:solidFill>
          </w14:textFill>
        </w:rPr>
        <w:t>合同签订后</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lang w:val="en-US" w:eastAsia="zh-CN"/>
          <w14:textFill>
            <w14:solidFill>
              <w14:schemeClr w14:val="tx1"/>
            </w14:solidFill>
          </w14:textFill>
        </w:rPr>
        <w:t>日（日历天）。</w:t>
      </w:r>
    </w:p>
    <w:p>
      <w:pPr>
        <w:pStyle w:val="29"/>
        <w:spacing w:line="440" w:lineRule="exact"/>
        <w:ind w:left="420" w:leftChars="200" w:firstLine="0" w:firstLineChars="0"/>
        <w:rPr>
          <w:rFonts w:hint="default"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本项目</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不接受</w:t>
      </w:r>
      <w:r>
        <w:rPr>
          <w:rFonts w:hint="eastAsia" w:ascii="宋体" w:hAnsi="宋体" w:eastAsia="宋体" w:cs="宋体"/>
          <w:color w:val="000000" w:themeColor="text1"/>
          <w:kern w:val="2"/>
          <w:sz w:val="21"/>
          <w:szCs w:val="21"/>
          <w:lang w:val="en-US" w:eastAsia="zh-CN" w:bidi="ar-SA"/>
          <w14:textFill>
            <w14:solidFill>
              <w14:schemeClr w14:val="tx1"/>
            </w14:solidFill>
          </w14:textFill>
        </w:rPr>
        <w:t>联合体参与投标</w:t>
      </w:r>
      <w:r>
        <w:rPr>
          <w:rFonts w:hint="eastAsia" w:eastAsia="宋体" w:cs="宋体"/>
          <w:color w:val="000000" w:themeColor="text1"/>
          <w:kern w:val="2"/>
          <w:sz w:val="21"/>
          <w:szCs w:val="21"/>
          <w:lang w:val="en-US" w:eastAsia="zh-CN" w:bidi="ar-SA"/>
          <w14:textFill>
            <w14:solidFill>
              <w14:schemeClr w14:val="tx1"/>
            </w14:solidFill>
          </w14:textFill>
        </w:rPr>
        <w:t>。</w:t>
      </w:r>
    </w:p>
    <w:p>
      <w:pPr>
        <w:pStyle w:val="29"/>
        <w:spacing w:line="440" w:lineRule="exact"/>
        <w:ind w:firstLine="211" w:firstLineChars="100"/>
        <w:outlineLvl w:val="1"/>
        <w:rPr>
          <w:rFonts w:hint="eastAsia" w:ascii="宋体" w:hAnsi="宋体" w:eastAsia="宋体" w:cs="宋体"/>
          <w:b/>
          <w:color w:val="000000" w:themeColor="text1"/>
          <w:kern w:val="2"/>
          <w:sz w:val="21"/>
          <w:szCs w:val="21"/>
          <w:lang w:val="en-US" w:eastAsia="zh-CN" w:bidi="ar-SA"/>
          <w14:textFill>
            <w14:solidFill>
              <w14:schemeClr w14:val="tx1"/>
            </w14:solidFill>
          </w14:textFill>
        </w:rPr>
      </w:pPr>
      <w:bookmarkStart w:id="14" w:name="_Toc17584"/>
      <w:bookmarkStart w:id="15" w:name="_Toc18818"/>
      <w:bookmarkStart w:id="16" w:name="_Toc4706"/>
      <w:r>
        <w:rPr>
          <w:rFonts w:hint="eastAsia" w:ascii="宋体" w:hAnsi="宋体" w:eastAsia="宋体" w:cs="宋体"/>
          <w:b/>
          <w:color w:val="000000" w:themeColor="text1"/>
          <w:kern w:val="2"/>
          <w:sz w:val="21"/>
          <w:szCs w:val="21"/>
          <w:lang w:val="en-US" w:eastAsia="zh-CN" w:bidi="ar-SA"/>
          <w14:textFill>
            <w14:solidFill>
              <w14:schemeClr w14:val="tx1"/>
            </w14:solidFill>
          </w14:textFill>
        </w:rPr>
        <w:t>二、申请人的资格要求（投标人的资格要求）：</w:t>
      </w:r>
      <w:bookmarkEnd w:id="10"/>
      <w:bookmarkEnd w:id="11"/>
      <w:bookmarkEnd w:id="12"/>
      <w:bookmarkEnd w:id="13"/>
      <w:bookmarkEnd w:id="14"/>
      <w:bookmarkEnd w:id="15"/>
      <w:bookmarkEnd w:id="16"/>
    </w:p>
    <w:p>
      <w:pPr>
        <w:spacing w:line="276" w:lineRule="auto"/>
        <w:ind w:firstLine="420" w:firstLineChars="200"/>
        <w:rPr>
          <w:rFonts w:ascii="宋体" w:hAnsi="宋体" w:cs="宋体"/>
          <w:szCs w:val="21"/>
        </w:rPr>
      </w:pPr>
      <w:bookmarkStart w:id="17" w:name="_Toc28359004"/>
      <w:bookmarkStart w:id="18" w:name="_Toc35393792"/>
      <w:bookmarkStart w:id="19" w:name="_Toc28359081"/>
      <w:bookmarkStart w:id="20" w:name="_Toc6413"/>
      <w:bookmarkStart w:id="21" w:name="_Toc35393623"/>
      <w:r>
        <w:rPr>
          <w:rFonts w:hint="eastAsia" w:ascii="宋体" w:hAnsi="宋体" w:cs="宋体"/>
          <w:szCs w:val="21"/>
        </w:rPr>
        <w:t>1.满足《中华人民共和国政府采购法》第二十二条规定，并提供下列材料：</w:t>
      </w:r>
    </w:p>
    <w:p>
      <w:pPr>
        <w:spacing w:line="27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27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27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27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27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276" w:lineRule="auto"/>
        <w:ind w:firstLine="420" w:firstLineChars="200"/>
        <w:rPr>
          <w:rFonts w:ascii="宋体" w:hAnsi="宋体" w:cs="宋体"/>
          <w:szCs w:val="21"/>
        </w:rPr>
      </w:pPr>
      <w:r>
        <w:rPr>
          <w:rFonts w:hint="eastAsia" w:ascii="宋体" w:hAnsi="宋体" w:cs="宋体"/>
          <w:szCs w:val="21"/>
        </w:rPr>
        <w:t>1.6法律、行政法规规定的其他条件。</w:t>
      </w:r>
    </w:p>
    <w:p>
      <w:pPr>
        <w:spacing w:line="336" w:lineRule="auto"/>
        <w:ind w:firstLine="420" w:firstLineChars="200"/>
        <w:rPr>
          <w:rFonts w:ascii="宋体" w:hAnsi="宋体" w:cs="宋体"/>
          <w:b/>
          <w:bCs/>
          <w:szCs w:val="21"/>
        </w:rPr>
      </w:pPr>
      <w:r>
        <w:rPr>
          <w:rFonts w:hint="eastAsia" w:ascii="宋体" w:hAnsi="宋体" w:cs="宋体"/>
          <w:szCs w:val="21"/>
        </w:rPr>
        <w:t>2.落实政府采购政策需满足的资格要求</w:t>
      </w:r>
      <w:r>
        <w:rPr>
          <w:rFonts w:hint="eastAsia" w:ascii="宋体" w:hAnsi="宋体" w:eastAsia="宋体" w:cs="宋体"/>
          <w:b/>
          <w:color w:val="000000" w:themeColor="text1"/>
          <w:kern w:val="2"/>
          <w:sz w:val="21"/>
          <w:szCs w:val="21"/>
          <w:lang w:val="en-US" w:eastAsia="zh-CN" w:bidi="ar-SA"/>
          <w14:textFill>
            <w14:solidFill>
              <w14:schemeClr w14:val="tx1"/>
            </w14:solidFill>
          </w14:textFill>
        </w:rPr>
        <w:t>：本项目专门面向中小企业采购。供应商应当符合《政府采购促进中小企业发展管理办法》有关规定，并出具《中小企业声明函》否则将被认定为投标无效。</w:t>
      </w:r>
    </w:p>
    <w:p>
      <w:pPr>
        <w:spacing w:line="276" w:lineRule="auto"/>
        <w:ind w:firstLine="420" w:firstLineChars="200"/>
        <w:rPr>
          <w:rFonts w:ascii="宋体" w:hAnsi="宋体" w:cs="宋体"/>
          <w:szCs w:val="21"/>
        </w:rPr>
      </w:pPr>
      <w:r>
        <w:rPr>
          <w:rFonts w:hint="eastAsia" w:ascii="宋体" w:hAnsi="宋体"/>
          <w:szCs w:val="21"/>
        </w:rPr>
        <w:t>3.</w:t>
      </w:r>
      <w:r>
        <w:rPr>
          <w:rFonts w:hint="eastAsia" w:ascii="宋体" w:hAnsi="宋体" w:cs="宋体"/>
          <w:szCs w:val="21"/>
        </w:rPr>
        <w:t>本项目的特定资格要求：无。</w:t>
      </w:r>
    </w:p>
    <w:p>
      <w:pPr>
        <w:spacing w:line="276" w:lineRule="auto"/>
        <w:ind w:firstLine="420" w:firstLineChars="200"/>
      </w:pPr>
      <w:r>
        <w:rPr>
          <w:rFonts w:hint="eastAsia" w:ascii="宋体" w:hAnsi="宋体" w:cs="宋体"/>
          <w:szCs w:val="21"/>
        </w:rPr>
        <w:t>4.供应商未被“信用中国”网站(www.creditchina.gov.cn)、“中国政府采购网”(www.ccgp.gov.cn)列入失信被执行人、重大税收违法案件当事人名单、政府采购严重违法失信行为记录名单。</w:t>
      </w:r>
    </w:p>
    <w:p>
      <w:pPr>
        <w:spacing w:line="440" w:lineRule="exact"/>
        <w:outlineLvl w:val="1"/>
        <w:rPr>
          <w:rFonts w:ascii="宋体" w:hAnsi="宋体" w:cs="宋体"/>
          <w:b/>
          <w:color w:val="000000" w:themeColor="text1"/>
          <w:szCs w:val="21"/>
          <w14:textFill>
            <w14:solidFill>
              <w14:schemeClr w14:val="tx1"/>
            </w14:solidFill>
          </w14:textFill>
        </w:rPr>
      </w:pPr>
      <w:bookmarkStart w:id="22" w:name="_Toc5366"/>
      <w:bookmarkStart w:id="23" w:name="_Toc7411"/>
      <w:r>
        <w:rPr>
          <w:rFonts w:hint="eastAsia" w:ascii="宋体" w:hAnsi="宋体" w:cs="宋体"/>
          <w:b/>
          <w:color w:val="000000" w:themeColor="text1"/>
          <w:szCs w:val="21"/>
          <w14:textFill>
            <w14:solidFill>
              <w14:schemeClr w14:val="tx1"/>
            </w14:solidFill>
          </w14:textFill>
        </w:rPr>
        <w:t>三、获取招标文件</w:t>
      </w:r>
      <w:bookmarkEnd w:id="17"/>
      <w:bookmarkEnd w:id="18"/>
      <w:bookmarkEnd w:id="19"/>
      <w:bookmarkEnd w:id="20"/>
      <w:bookmarkEnd w:id="21"/>
      <w:bookmarkEnd w:id="22"/>
      <w:bookmarkEnd w:id="23"/>
    </w:p>
    <w:p>
      <w:pPr>
        <w:spacing w:line="440" w:lineRule="exact"/>
        <w:ind w:firstLine="420"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b/>
          <w:bCs/>
          <w:color w:val="000000" w:themeColor="text1"/>
          <w:szCs w:val="21"/>
          <w:u w:val="single"/>
          <w14:textFill>
            <w14:solidFill>
              <w14:schemeClr w14:val="tx1"/>
            </w14:solidFill>
          </w14:textFill>
        </w:rPr>
        <w:t>2023年</w:t>
      </w:r>
      <w:r>
        <w:rPr>
          <w:rFonts w:hint="eastAsia" w:ascii="宋体" w:hAnsi="宋体" w:cs="宋体"/>
          <w:b/>
          <w:bCs/>
          <w:color w:val="000000" w:themeColor="text1"/>
          <w:szCs w:val="21"/>
          <w:u w:val="single"/>
          <w:lang w:val="en-US" w:eastAsia="zh-CN"/>
          <w14:textFill>
            <w14:solidFill>
              <w14:schemeClr w14:val="tx1"/>
            </w14:solidFill>
          </w14:textFill>
        </w:rPr>
        <w:t>11</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13</w:t>
      </w:r>
      <w:r>
        <w:rPr>
          <w:rFonts w:hint="eastAsia" w:ascii="宋体" w:hAnsi="宋体" w:cs="宋体"/>
          <w:b/>
          <w:bCs/>
          <w:color w:val="000000" w:themeColor="text1"/>
          <w:szCs w:val="21"/>
          <w:u w:val="single"/>
          <w14:textFill>
            <w14:solidFill>
              <w14:schemeClr w14:val="tx1"/>
            </w14:solidFill>
          </w14:textFill>
        </w:rPr>
        <w:t>日至2023年</w:t>
      </w:r>
      <w:r>
        <w:rPr>
          <w:rFonts w:hint="eastAsia" w:ascii="宋体" w:hAnsi="宋体" w:cs="宋体"/>
          <w:b/>
          <w:bCs/>
          <w:color w:val="000000" w:themeColor="text1"/>
          <w:szCs w:val="21"/>
          <w:u w:val="single"/>
          <w:lang w:val="en-US" w:eastAsia="zh-CN"/>
          <w14:textFill>
            <w14:solidFill>
              <w14:schemeClr w14:val="tx1"/>
            </w14:solidFill>
          </w14:textFill>
        </w:rPr>
        <w:t>11</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15</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14:textFill>
            <w14:solidFill>
              <w14:schemeClr w14:val="tx1"/>
            </w14:solidFill>
          </w14:textFill>
        </w:rPr>
        <w:t>（每个工作日的9时至12时，15时至18时）</w:t>
      </w:r>
    </w:p>
    <w:p>
      <w:pPr>
        <w:spacing w:line="44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地点：盐城市府西路华邦国际西厦A302室（3楼东区）</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方式：投标人凭加盖公章的《采购文件领购登记表》（见公告附件）、营业执照（复印件即可）到携手阳光公司领购（地址见本公告。注:未领购的任何单位或个人没有参与权以及相关知情权）</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售价：400元，售后不退；交纳方式：现金、支付宝（18662096009）等。</w:t>
      </w:r>
    </w:p>
    <w:p>
      <w:pPr>
        <w:spacing w:line="440" w:lineRule="exact"/>
        <w:outlineLvl w:val="1"/>
        <w:rPr>
          <w:rFonts w:ascii="宋体" w:hAnsi="宋体" w:cs="宋体"/>
          <w:b/>
          <w:color w:val="000000" w:themeColor="text1"/>
          <w:szCs w:val="21"/>
          <w14:textFill>
            <w14:solidFill>
              <w14:schemeClr w14:val="tx1"/>
            </w14:solidFill>
          </w14:textFill>
        </w:rPr>
      </w:pPr>
      <w:bookmarkStart w:id="24" w:name="_Toc28359082"/>
      <w:bookmarkStart w:id="25" w:name="_Toc28359005"/>
      <w:bookmarkStart w:id="26" w:name="_Toc13170"/>
      <w:bookmarkStart w:id="27" w:name="_Toc35393624"/>
      <w:bookmarkStart w:id="28" w:name="_Toc15002"/>
      <w:bookmarkStart w:id="29" w:name="_Toc35393793"/>
      <w:bookmarkStart w:id="30" w:name="_Toc2803"/>
      <w:r>
        <w:rPr>
          <w:rFonts w:hint="eastAsia" w:ascii="宋体" w:hAnsi="宋体" w:cs="宋体"/>
          <w:b/>
          <w:color w:val="000000" w:themeColor="text1"/>
          <w:szCs w:val="21"/>
          <w14:textFill>
            <w14:solidFill>
              <w14:schemeClr w14:val="tx1"/>
            </w14:solidFill>
          </w14:textFill>
        </w:rPr>
        <w:t>四、提交投标文件</w:t>
      </w:r>
      <w:bookmarkEnd w:id="24"/>
      <w:bookmarkEnd w:id="25"/>
      <w:r>
        <w:rPr>
          <w:rFonts w:hint="eastAsia" w:ascii="宋体" w:hAnsi="宋体" w:cs="宋体"/>
          <w:b/>
          <w:color w:val="000000" w:themeColor="text1"/>
          <w:szCs w:val="21"/>
          <w14:textFill>
            <w14:solidFill>
              <w14:schemeClr w14:val="tx1"/>
            </w14:solidFill>
          </w14:textFill>
        </w:rPr>
        <w:t>截止时间（</w:t>
      </w:r>
      <w:r>
        <w:rPr>
          <w:rFonts w:hint="eastAsia" w:ascii="宋体" w:hAnsi="宋体" w:cs="宋体"/>
          <w:b/>
          <w:color w:val="000000" w:themeColor="text1"/>
          <w:kern w:val="0"/>
          <w:szCs w:val="21"/>
          <w14:textFill>
            <w14:solidFill>
              <w14:schemeClr w14:val="tx1"/>
            </w14:solidFill>
          </w14:textFill>
        </w:rPr>
        <w:t>投标截止时间）</w:t>
      </w:r>
      <w:r>
        <w:rPr>
          <w:rFonts w:hint="eastAsia" w:ascii="宋体" w:hAnsi="宋体" w:cs="宋体"/>
          <w:b/>
          <w:color w:val="000000" w:themeColor="text1"/>
          <w:szCs w:val="21"/>
          <w14:textFill>
            <w14:solidFill>
              <w14:schemeClr w14:val="tx1"/>
            </w14:solidFill>
          </w14:textFill>
        </w:rPr>
        <w:t>、开标时间和地点</w:t>
      </w:r>
      <w:bookmarkEnd w:id="26"/>
      <w:bookmarkEnd w:id="27"/>
      <w:bookmarkEnd w:id="28"/>
      <w:bookmarkEnd w:id="29"/>
      <w:bookmarkEnd w:id="30"/>
    </w:p>
    <w:p>
      <w:pPr>
        <w:spacing w:line="440" w:lineRule="exact"/>
        <w:ind w:firstLine="422"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时间：2023年</w:t>
      </w:r>
      <w:r>
        <w:rPr>
          <w:rFonts w:hint="eastAsia" w:ascii="宋体" w:hAnsi="宋体" w:cs="宋体"/>
          <w:b/>
          <w:bCs/>
          <w:color w:val="000000" w:themeColor="text1"/>
          <w:szCs w:val="21"/>
          <w:u w:val="single"/>
          <w:lang w:val="en-US" w:eastAsia="zh-CN"/>
          <w14:textFill>
            <w14:solidFill>
              <w14:schemeClr w14:val="tx1"/>
            </w14:solidFill>
          </w14:textFill>
        </w:rPr>
        <w:t>11</w:t>
      </w:r>
      <w:r>
        <w:rPr>
          <w:rFonts w:hint="eastAsia" w:ascii="宋体" w:hAnsi="宋体" w:cs="宋体"/>
          <w:b/>
          <w:bCs/>
          <w:color w:val="000000" w:themeColor="text1"/>
          <w:szCs w:val="21"/>
          <w:u w:val="single"/>
          <w14:textFill>
            <w14:solidFill>
              <w14:schemeClr w14:val="tx1"/>
            </w14:solidFill>
          </w14:textFill>
        </w:rPr>
        <w:t>月</w:t>
      </w:r>
      <w:r>
        <w:rPr>
          <w:rFonts w:hint="eastAsia" w:ascii="宋体" w:hAnsi="宋体" w:cs="宋体"/>
          <w:b/>
          <w:bCs/>
          <w:color w:val="000000" w:themeColor="text1"/>
          <w:szCs w:val="21"/>
          <w:u w:val="single"/>
          <w:lang w:val="en-US" w:eastAsia="zh-CN"/>
          <w14:textFill>
            <w14:solidFill>
              <w14:schemeClr w14:val="tx1"/>
            </w14:solidFill>
          </w14:textFill>
        </w:rPr>
        <w:t>22</w:t>
      </w:r>
      <w:r>
        <w:rPr>
          <w:rFonts w:hint="eastAsia" w:ascii="宋体" w:hAnsi="宋体" w:cs="宋体"/>
          <w:b/>
          <w:bCs/>
          <w:color w:val="000000" w:themeColor="text1"/>
          <w:szCs w:val="21"/>
          <w:u w:val="single"/>
          <w14:textFill>
            <w14:solidFill>
              <w14:schemeClr w14:val="tx1"/>
            </w14:solidFill>
          </w14:textFill>
        </w:rPr>
        <w:t>日</w:t>
      </w:r>
      <w:r>
        <w:rPr>
          <w:rFonts w:hint="eastAsia" w:ascii="宋体" w:hAnsi="宋体" w:cs="宋体"/>
          <w:b/>
          <w:bCs/>
          <w:color w:val="000000" w:themeColor="text1"/>
          <w:szCs w:val="21"/>
          <w:u w:val="single"/>
          <w:lang w:val="en-US" w:eastAsia="zh-CN"/>
          <w14:textFill>
            <w14:solidFill>
              <w14:schemeClr w14:val="tx1"/>
            </w14:solidFill>
          </w14:textFill>
        </w:rPr>
        <w:t>09</w:t>
      </w:r>
      <w:r>
        <w:rPr>
          <w:rFonts w:hint="eastAsia" w:ascii="宋体" w:hAnsi="宋体" w:cs="宋体"/>
          <w:b/>
          <w:bCs/>
          <w:color w:val="000000" w:themeColor="text1"/>
          <w:szCs w:val="21"/>
          <w:u w:val="single"/>
          <w14:textFill>
            <w14:solidFill>
              <w14:schemeClr w14:val="tx1"/>
            </w14:solidFill>
          </w14:textFill>
        </w:rPr>
        <w:t>点</w:t>
      </w:r>
      <w:r>
        <w:rPr>
          <w:rFonts w:hint="eastAsia" w:ascii="宋体" w:hAnsi="宋体" w:cs="宋体"/>
          <w:b/>
          <w:bCs/>
          <w:color w:val="000000" w:themeColor="text1"/>
          <w:szCs w:val="21"/>
          <w:u w:val="single"/>
          <w:lang w:val="en-US" w:eastAsia="zh-CN"/>
          <w14:textFill>
            <w14:solidFill>
              <w14:schemeClr w14:val="tx1"/>
            </w14:solidFill>
          </w14:textFill>
        </w:rPr>
        <w:t>00</w:t>
      </w:r>
      <w:r>
        <w:rPr>
          <w:rFonts w:hint="eastAsia" w:ascii="宋体" w:hAnsi="宋体" w:cs="宋体"/>
          <w:b/>
          <w:bCs/>
          <w:color w:val="000000" w:themeColor="text1"/>
          <w:szCs w:val="21"/>
          <w:u w:val="single"/>
          <w14:textFill>
            <w14:solidFill>
              <w14:schemeClr w14:val="tx1"/>
            </w14:solidFill>
          </w14:textFill>
        </w:rPr>
        <w:t>分（北京时间）</w:t>
      </w:r>
      <w:r>
        <w:rPr>
          <w:rFonts w:hint="eastAsia" w:ascii="宋体" w:hAnsi="宋体" w:cs="宋体"/>
          <w:b/>
          <w:color w:val="000000" w:themeColor="text1"/>
          <w:szCs w:val="21"/>
          <w14:textFill>
            <w14:solidFill>
              <w14:schemeClr w14:val="tx1"/>
            </w14:solidFill>
          </w14:textFill>
        </w:rPr>
        <w:t>（逾期送达的为无效文件）</w:t>
      </w:r>
    </w:p>
    <w:p>
      <w:pPr>
        <w:spacing w:line="440" w:lineRule="exact"/>
        <w:ind w:firstLine="422" w:firstLineChars="200"/>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地点：江苏医药职业学院（盐城市解放南路283号）行政楼210室。</w:t>
      </w:r>
    </w:p>
    <w:p>
      <w:pPr>
        <w:spacing w:line="440" w:lineRule="exact"/>
        <w:outlineLvl w:val="1"/>
        <w:rPr>
          <w:rFonts w:ascii="宋体" w:hAnsi="宋体" w:cs="宋体"/>
          <w:b/>
          <w:color w:val="000000" w:themeColor="text1"/>
          <w:szCs w:val="21"/>
          <w14:textFill>
            <w14:solidFill>
              <w14:schemeClr w14:val="tx1"/>
            </w14:solidFill>
          </w14:textFill>
        </w:rPr>
      </w:pPr>
      <w:bookmarkStart w:id="31" w:name="_Toc13298"/>
      <w:bookmarkStart w:id="32" w:name="_Toc3360"/>
      <w:bookmarkStart w:id="33" w:name="_Toc22862"/>
      <w:r>
        <w:rPr>
          <w:rFonts w:hint="eastAsia" w:ascii="宋体" w:hAnsi="宋体" w:cs="宋体"/>
          <w:b/>
          <w:color w:val="000000" w:themeColor="text1"/>
          <w:szCs w:val="21"/>
          <w14:textFill>
            <w14:solidFill>
              <w14:schemeClr w14:val="tx1"/>
            </w14:solidFill>
          </w14:textFill>
        </w:rPr>
        <w:t>五、</w:t>
      </w:r>
      <w:bookmarkStart w:id="34" w:name="_Toc28359084"/>
      <w:bookmarkStart w:id="35" w:name="_Toc35393625"/>
      <w:bookmarkStart w:id="36" w:name="_Toc28359007"/>
      <w:bookmarkStart w:id="37" w:name="_Toc35393794"/>
      <w:r>
        <w:rPr>
          <w:rFonts w:hint="eastAsia" w:ascii="宋体" w:hAnsi="宋体" w:cs="宋体"/>
          <w:b/>
          <w:color w:val="000000" w:themeColor="text1"/>
          <w:szCs w:val="21"/>
          <w14:textFill>
            <w14:solidFill>
              <w14:schemeClr w14:val="tx1"/>
            </w14:solidFill>
          </w14:textFill>
        </w:rPr>
        <w:t>公告期限</w:t>
      </w:r>
      <w:bookmarkEnd w:id="31"/>
      <w:bookmarkEnd w:id="32"/>
      <w:bookmarkEnd w:id="33"/>
      <w:bookmarkEnd w:id="34"/>
      <w:bookmarkEnd w:id="35"/>
      <w:bookmarkEnd w:id="36"/>
      <w:bookmarkEnd w:id="37"/>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自本公告发布之日起5个工作日（“江苏医药职业学院网站”）</w:t>
      </w:r>
    </w:p>
    <w:p>
      <w:pPr>
        <w:spacing w:line="440" w:lineRule="exact"/>
        <w:outlineLvl w:val="1"/>
        <w:rPr>
          <w:rFonts w:ascii="宋体" w:hAnsi="宋体" w:cs="宋体"/>
          <w:b/>
          <w:color w:val="000000" w:themeColor="text1"/>
          <w:szCs w:val="21"/>
          <w14:textFill>
            <w14:solidFill>
              <w14:schemeClr w14:val="tx1"/>
            </w14:solidFill>
          </w14:textFill>
        </w:rPr>
      </w:pPr>
      <w:bookmarkStart w:id="38" w:name="_Toc16414"/>
      <w:bookmarkStart w:id="39" w:name="_Toc18398"/>
      <w:bookmarkStart w:id="40" w:name="_Toc21149"/>
      <w:bookmarkStart w:id="41" w:name="_Toc35393626"/>
      <w:bookmarkStart w:id="42" w:name="_Toc35393795"/>
      <w:r>
        <w:rPr>
          <w:rFonts w:hint="eastAsia" w:ascii="宋体" w:hAnsi="宋体" w:cs="宋体"/>
          <w:b/>
          <w:color w:val="000000" w:themeColor="text1"/>
          <w:szCs w:val="21"/>
          <w14:textFill>
            <w14:solidFill>
              <w14:schemeClr w14:val="tx1"/>
            </w14:solidFill>
          </w14:textFill>
        </w:rPr>
        <w:t>六、对本次招标提出询问，请按以下方式联系</w:t>
      </w:r>
      <w:bookmarkEnd w:id="38"/>
      <w:bookmarkEnd w:id="39"/>
      <w:bookmarkEnd w:id="40"/>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1.项目联系方式：</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w:t>
      </w:r>
      <w:r>
        <w:rPr>
          <w:rFonts w:hint="eastAsia" w:ascii="宋体" w:hAnsi="宋体" w:cs="宋体"/>
          <w:color w:val="000000" w:themeColor="text1"/>
          <w:szCs w:val="21"/>
          <w:lang w:val="en-US" w:eastAsia="zh-CN"/>
          <w14:textFill>
            <w14:solidFill>
              <w14:schemeClr w14:val="tx1"/>
            </w14:solidFill>
          </w14:textFill>
        </w:rPr>
        <w:t>陈</w:t>
      </w:r>
      <w:r>
        <w:rPr>
          <w:rFonts w:hint="eastAsia" w:ascii="宋体" w:hAnsi="宋体" w:cs="宋体"/>
          <w:color w:val="000000" w:themeColor="text1"/>
          <w:szCs w:val="21"/>
          <w14:textFill>
            <w14:solidFill>
              <w14:schemeClr w14:val="tx1"/>
            </w14:solidFill>
          </w14:textFill>
        </w:rPr>
        <w:t>老师；电话：</w:t>
      </w:r>
      <w:r>
        <w:rPr>
          <w:rFonts w:hint="eastAsia" w:ascii="宋体" w:hAnsi="宋体" w:cs="宋体"/>
          <w:color w:val="000000" w:themeColor="text1"/>
          <w:szCs w:val="21"/>
          <w:lang w:val="en-US" w:eastAsia="zh-CN"/>
          <w14:textFill>
            <w14:solidFill>
              <w14:schemeClr w14:val="tx1"/>
            </w14:solidFill>
          </w14:textFill>
        </w:rPr>
        <w:t>18816239632；</w:t>
      </w:r>
    </w:p>
    <w:p>
      <w:pPr>
        <w:spacing w:line="440" w:lineRule="exact"/>
        <w:ind w:firstLine="420" w:firstLineChars="200"/>
        <w:rPr>
          <w:rFonts w:ascii="宋体" w:hAnsi="宋体" w:cs="宋体"/>
          <w:color w:val="000000" w:themeColor="text1"/>
          <w:szCs w:val="21"/>
          <w14:textFill>
            <w14:solidFill>
              <w14:schemeClr w14:val="tx1"/>
            </w14:solidFill>
          </w14:textFill>
        </w:rPr>
      </w:pPr>
      <w:bookmarkStart w:id="43" w:name="_Toc28359086"/>
      <w:bookmarkStart w:id="44" w:name="_Toc28359009"/>
      <w:r>
        <w:rPr>
          <w:rFonts w:hint="eastAsia" w:ascii="宋体" w:hAnsi="宋体" w:cs="宋体"/>
          <w:color w:val="000000" w:themeColor="text1"/>
          <w:szCs w:val="21"/>
          <w14:textFill>
            <w14:solidFill>
              <w14:schemeClr w14:val="tx1"/>
            </w14:solidFill>
          </w14:textFill>
        </w:rPr>
        <w:t>2.</w:t>
      </w:r>
      <w:bookmarkEnd w:id="43"/>
      <w:bookmarkEnd w:id="44"/>
      <w:bookmarkStart w:id="45" w:name="_Toc28359010"/>
      <w:bookmarkStart w:id="46" w:name="_Toc28359087"/>
      <w:r>
        <w:rPr>
          <w:rFonts w:hint="eastAsia" w:ascii="宋体" w:hAnsi="宋体" w:cs="宋体"/>
          <w:color w:val="000000" w:themeColor="text1"/>
          <w:szCs w:val="21"/>
          <w14:textFill>
            <w14:solidFill>
              <w14:schemeClr w14:val="tx1"/>
            </w14:solidFill>
          </w14:textFill>
        </w:rPr>
        <w:t>采购人信息：</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名称：江苏医药职业学院；</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地址：盐城市解放南路283号行政楼208室</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联系方式：刘老师；电话：0515-88550311；</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bookmarkEnd w:id="41"/>
      <w:bookmarkEnd w:id="42"/>
      <w:bookmarkEnd w:id="45"/>
      <w:bookmarkEnd w:id="46"/>
      <w:r>
        <w:rPr>
          <w:rFonts w:hint="eastAsia" w:ascii="宋体" w:hAnsi="宋体" w:cs="宋体"/>
          <w:color w:val="000000" w:themeColor="text1"/>
          <w:szCs w:val="21"/>
          <w14:textFill>
            <w14:solidFill>
              <w14:schemeClr w14:val="tx1"/>
            </w14:solidFill>
          </w14:textFill>
        </w:rPr>
        <w:t>采购代理机构信息：名称：盐城市携手阳光集中采购代理有限公司；</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联系方式：施工；电话：13270072015；</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地址：盐城市府西路2号华邦国际西厦A（东）区302室（邮编224000）</w:t>
      </w:r>
    </w:p>
    <w:p>
      <w:pPr>
        <w:spacing w:line="44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邮箱：xsyg005@163.com </w:t>
      </w:r>
      <w:r>
        <w:rPr>
          <w:rFonts w:hint="eastAsia" w:ascii="宋体" w:hAnsi="宋体" w:cs="宋体"/>
          <w:color w:val="000000" w:themeColor="text1"/>
          <w:szCs w:val="21"/>
          <w14:textFill>
            <w14:solidFill>
              <w14:schemeClr w14:val="tx1"/>
            </w14:solidFill>
          </w14:textFill>
        </w:rPr>
        <w:t> </w:t>
      </w:r>
    </w:p>
    <w:p>
      <w:pPr>
        <w:pStyle w:val="29"/>
        <w:spacing w:line="440" w:lineRule="exact"/>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对项目需求部分的询问、质疑请向项目联系人提出，由项目联系人负责答复；对项目招标文件其它部分的询问、质疑向采购代理机构提出。</w:t>
      </w:r>
    </w:p>
    <w:p>
      <w:pPr>
        <w:spacing w:line="440" w:lineRule="exact"/>
        <w:outlineLvl w:val="1"/>
        <w:rPr>
          <w:rFonts w:ascii="宋体" w:hAnsi="宋体" w:cs="宋体"/>
          <w:b/>
          <w:color w:val="000000" w:themeColor="text1"/>
          <w:szCs w:val="21"/>
          <w14:textFill>
            <w14:solidFill>
              <w14:schemeClr w14:val="tx1"/>
            </w14:solidFill>
          </w14:textFill>
        </w:rPr>
      </w:pPr>
      <w:bookmarkStart w:id="47" w:name="_Toc15471"/>
      <w:bookmarkStart w:id="48" w:name="_Toc29892"/>
      <w:bookmarkStart w:id="49" w:name="_Toc18227"/>
      <w:r>
        <w:rPr>
          <w:rFonts w:hint="eastAsia" w:ascii="宋体" w:hAnsi="宋体" w:cs="宋体"/>
          <w:b/>
          <w:color w:val="000000" w:themeColor="text1"/>
          <w:szCs w:val="21"/>
          <w14:textFill>
            <w14:solidFill>
              <w14:schemeClr w14:val="tx1"/>
            </w14:solidFill>
          </w14:textFill>
        </w:rPr>
        <w:t>七、投标保证金</w:t>
      </w:r>
      <w:bookmarkEnd w:id="47"/>
      <w:bookmarkEnd w:id="48"/>
      <w:bookmarkEnd w:id="49"/>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根据江苏省财政厅的规定，为降低</w:t>
      </w: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投标成本，取消政府采购投标保证金。</w:t>
      </w: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无须在投标截止时间之前交纳（提交）投标保证金。</w:t>
      </w:r>
    </w:p>
    <w:p>
      <w:pPr>
        <w:spacing w:line="440" w:lineRule="exact"/>
        <w:outlineLvl w:val="1"/>
        <w:rPr>
          <w:rFonts w:ascii="宋体" w:hAnsi="宋体" w:cs="宋体"/>
          <w:b/>
          <w:bCs/>
          <w:color w:val="000000" w:themeColor="text1"/>
          <w:szCs w:val="21"/>
          <w14:textFill>
            <w14:solidFill>
              <w14:schemeClr w14:val="tx1"/>
            </w14:solidFill>
          </w14:textFill>
        </w:rPr>
      </w:pPr>
      <w:bookmarkStart w:id="50" w:name="_Toc31461"/>
      <w:bookmarkStart w:id="51" w:name="_Toc29286"/>
      <w:bookmarkStart w:id="52" w:name="_Toc2220"/>
      <w:r>
        <w:rPr>
          <w:rFonts w:hint="eastAsia" w:ascii="宋体" w:hAnsi="宋体" w:cs="宋体"/>
          <w:b/>
          <w:bCs/>
          <w:color w:val="000000" w:themeColor="text1"/>
          <w:szCs w:val="21"/>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其他补充事宜</w:t>
      </w:r>
      <w:bookmarkEnd w:id="50"/>
      <w:bookmarkEnd w:id="51"/>
      <w:bookmarkEnd w:id="52"/>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欢迎对携手阳光公司的服务质量、业务水平进行监督，并提出宝贵的意见（柏经理，18662096009）</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本项目鼓励供应商开展信用担保（0515-88285999）、扶持不发达地区等政府采购政策。</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本项目使用时间：北京时间，24小时制；货币单位：人民币；</w:t>
      </w:r>
    </w:p>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附件：《采购文件领购登记表》、《采购需求》</w:t>
      </w:r>
    </w:p>
    <w:p>
      <w:pPr>
        <w:rPr>
          <w:rFonts w:ascii="宋体" w:hAnsi="宋体" w:cs="宋体"/>
          <w:color w:val="000000" w:themeColor="text1"/>
          <w:szCs w:val="21"/>
          <w14:textFill>
            <w14:solidFill>
              <w14:schemeClr w14:val="tx1"/>
            </w14:solidFill>
          </w14:textFill>
        </w:rPr>
      </w:pPr>
    </w:p>
    <w:p>
      <w:pPr>
        <w:spacing w:line="440" w:lineRule="exact"/>
        <w:ind w:righ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盐城市携手阳光集中采购代理有限公司</w:t>
      </w:r>
    </w:p>
    <w:p>
      <w:pPr>
        <w:spacing w:line="440" w:lineRule="exact"/>
        <w:ind w:right="42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2023年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bookmarkStart w:id="53" w:name="_Toc115881306"/>
      <w:bookmarkStart w:id="54" w:name="_Toc108881165"/>
    </w:p>
    <w:p>
      <w:pPr>
        <w:spacing w:line="460" w:lineRule="exact"/>
        <w:jc w:val="center"/>
        <w:outlineLvl w:val="0"/>
        <w:rPr>
          <w:rFonts w:hint="eastAsia" w:ascii="宋体" w:hAnsi="宋体" w:cs="宋体"/>
          <w:b/>
          <w:color w:val="000000" w:themeColor="text1"/>
          <w:sz w:val="28"/>
          <w:szCs w:val="21"/>
          <w14:textFill>
            <w14:solidFill>
              <w14:schemeClr w14:val="tx1"/>
            </w14:solidFill>
          </w14:textFill>
        </w:rPr>
      </w:pPr>
    </w:p>
    <w:p>
      <w:pPr>
        <w:spacing w:line="460" w:lineRule="exact"/>
        <w:jc w:val="both"/>
        <w:outlineLvl w:val="0"/>
        <w:rPr>
          <w:rFonts w:hint="eastAsia" w:ascii="宋体" w:hAnsi="宋体" w:cs="宋体"/>
          <w:b/>
          <w:color w:val="000000" w:themeColor="text1"/>
          <w:sz w:val="28"/>
          <w:szCs w:val="21"/>
          <w14:textFill>
            <w14:solidFill>
              <w14:schemeClr w14:val="tx1"/>
            </w14:solidFill>
          </w14:textFill>
        </w:rPr>
      </w:pPr>
      <w:bookmarkStart w:id="55" w:name="_Toc22897"/>
    </w:p>
    <w:p>
      <w:pPr>
        <w:spacing w:line="460" w:lineRule="exact"/>
        <w:jc w:val="both"/>
        <w:outlineLvl w:val="0"/>
        <w:rPr>
          <w:rFonts w:hint="eastAsia" w:ascii="宋体" w:hAnsi="宋体" w:cs="宋体"/>
          <w:b/>
          <w:color w:val="000000" w:themeColor="text1"/>
          <w:sz w:val="28"/>
          <w:szCs w:val="21"/>
          <w14:textFill>
            <w14:solidFill>
              <w14:schemeClr w14:val="tx1"/>
            </w14:solidFill>
          </w14:textFill>
        </w:rPr>
      </w:pPr>
    </w:p>
    <w:p>
      <w:pPr>
        <w:spacing w:line="460" w:lineRule="exact"/>
        <w:jc w:val="center"/>
        <w:outlineLvl w:val="0"/>
        <w:rPr>
          <w:rFonts w:ascii="宋体" w:hAnsi="宋体" w:cs="宋体"/>
          <w:b/>
          <w:color w:val="000000" w:themeColor="text1"/>
          <w:sz w:val="28"/>
          <w:szCs w:val="21"/>
          <w14:textFill>
            <w14:solidFill>
              <w14:schemeClr w14:val="tx1"/>
            </w14:solidFill>
          </w14:textFill>
        </w:rPr>
      </w:pPr>
      <w:r>
        <w:rPr>
          <w:rFonts w:hint="eastAsia" w:ascii="宋体" w:hAnsi="宋体" w:cs="宋体"/>
          <w:b/>
          <w:color w:val="000000" w:themeColor="text1"/>
          <w:sz w:val="28"/>
          <w:szCs w:val="21"/>
          <w14:textFill>
            <w14:solidFill>
              <w14:schemeClr w14:val="tx1"/>
            </w14:solidFill>
          </w14:textFill>
        </w:rPr>
        <w:t>第二章  投标人须知</w:t>
      </w:r>
      <w:bookmarkEnd w:id="53"/>
      <w:bookmarkEnd w:id="54"/>
      <w:bookmarkEnd w:id="55"/>
    </w:p>
    <w:p>
      <w:pPr>
        <w:spacing w:line="440" w:lineRule="exact"/>
        <w:jc w:val="center"/>
        <w:outlineLvl w:val="1"/>
        <w:rPr>
          <w:rFonts w:ascii="宋体" w:hAnsi="宋体" w:cs="宋体"/>
          <w:b/>
          <w:color w:val="000000" w:themeColor="text1"/>
          <w:szCs w:val="21"/>
          <w14:textFill>
            <w14:solidFill>
              <w14:schemeClr w14:val="tx1"/>
            </w14:solidFill>
          </w14:textFill>
        </w:rPr>
      </w:pPr>
      <w:bookmarkStart w:id="56" w:name="_Toc115881307"/>
      <w:bookmarkStart w:id="57" w:name="_Toc8175"/>
      <w:bookmarkStart w:id="58" w:name="_Toc108881166"/>
      <w:r>
        <w:rPr>
          <w:rFonts w:hint="eastAsia" w:ascii="宋体" w:hAnsi="宋体" w:cs="宋体"/>
          <w:b/>
          <w:color w:val="000000" w:themeColor="text1"/>
          <w:szCs w:val="21"/>
          <w14:textFill>
            <w14:solidFill>
              <w14:schemeClr w14:val="tx1"/>
            </w14:solidFill>
          </w14:textFill>
        </w:rPr>
        <w:t>投标人须知资料表</w:t>
      </w:r>
      <w:bookmarkEnd w:id="56"/>
      <w:bookmarkEnd w:id="57"/>
      <w:bookmarkEnd w:id="58"/>
    </w:p>
    <w:p>
      <w:pPr>
        <w:spacing w:line="440" w:lineRule="exact"/>
        <w:ind w:firstLine="316" w:firstLineChars="15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★本表是本招标项目的具体资料，是对投标人须知的具体补充和修改，如有矛盾，应以本资料表为准。</w:t>
      </w:r>
    </w:p>
    <w:tbl>
      <w:tblPr>
        <w:tblStyle w:val="30"/>
        <w:tblW w:w="9359"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6"/>
        <w:gridCol w:w="8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条款号/名称</w:t>
            </w:r>
          </w:p>
        </w:tc>
        <w:tc>
          <w:tcPr>
            <w:tcW w:w="8053"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Theme="minorEastAsia" w:hAnsiTheme="minorEastAsia" w:eastAsiaTheme="minorEastAsia" w:cstheme="minorEastAsia"/>
                <w:b/>
                <w:bCs/>
                <w:szCs w:val="21"/>
              </w:rPr>
              <w:t>说明</w:t>
            </w:r>
          </w:p>
        </w:tc>
        <w:tc>
          <w:tcPr>
            <w:tcW w:w="8053" w:type="dxa"/>
            <w:vAlign w:val="center"/>
          </w:tcPr>
          <w:p>
            <w:pPr>
              <w:spacing w:line="30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适用</w:t>
            </w:r>
          </w:p>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法律</w:t>
            </w:r>
          </w:p>
        </w:tc>
        <w:tc>
          <w:tcPr>
            <w:tcW w:w="8053" w:type="dxa"/>
            <w:vAlign w:val="center"/>
          </w:tcPr>
          <w:p>
            <w:pPr>
              <w:spacing w:line="300" w:lineRule="auto"/>
              <w:ind w:firstLine="422" w:firstLineChars="200"/>
              <w:rPr>
                <w:rFonts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本次采购适用于采购人的内控制度（政府采购限额以下项目或非必招项目）。为规范采购活动，携手阳光公司参照政府采购程序组织本次采购活动。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与投标人</w:t>
            </w:r>
          </w:p>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的联系</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法律法规中规定采购人、采购代理机构须以书面形式通知投标人的，为提高政府采购效率，采购人、采购代理机构可以以电子邮件</w:t>
            </w:r>
            <w:r>
              <w:rPr>
                <w:rFonts w:hint="eastAsia" w:ascii="宋体" w:hAnsi="宋体" w:cs="宋体"/>
                <w:b/>
                <w:color w:val="000000" w:themeColor="text1"/>
                <w:szCs w:val="21"/>
                <w14:textFill>
                  <w14:solidFill>
                    <w14:schemeClr w14:val="tx1"/>
                  </w14:solidFill>
                </w14:textFill>
              </w:rPr>
              <w:t>（</w:t>
            </w:r>
            <w:r>
              <w:fldChar w:fldCharType="begin"/>
            </w:r>
            <w:r>
              <w:instrText xml:space="preserve"> HYPERLINK "mailto:XSYG0515@163.COM" </w:instrText>
            </w:r>
            <w:r>
              <w:fldChar w:fldCharType="separate"/>
            </w:r>
            <w:r>
              <w:rPr>
                <w:rFonts w:hint="eastAsia" w:ascii="宋体" w:hAnsi="宋体" w:cs="宋体"/>
                <w:b/>
                <w:color w:val="000000" w:themeColor="text1"/>
                <w:szCs w:val="21"/>
                <w14:textFill>
                  <w14:solidFill>
                    <w14:schemeClr w14:val="tx1"/>
                  </w14:solidFill>
                </w14:textFill>
              </w:rPr>
              <w:t>xsyg005@163.com</w:t>
            </w:r>
            <w:r>
              <w:rPr>
                <w:rFonts w:hint="eastAsia" w:ascii="宋体" w:hAnsi="宋体" w:cs="宋体"/>
                <w:b/>
                <w:color w:val="000000" w:themeColor="text1"/>
                <w:szCs w:val="21"/>
                <w14:textFill>
                  <w14:solidFill>
                    <w14:schemeClr w14:val="tx1"/>
                  </w14:solidFill>
                </w14:textFill>
              </w:rPr>
              <w:fldChar w:fldCharType="end"/>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方式通知投标人（视为书面通知）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招标文件</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投标人一旦参加本项目采购活动，即代表投标人已阅读了本招标文件每一条条款，并接受了本招标文件所有的规定和约束。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13.1</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投标有效期：自投标截止之日起60个日历日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14.1</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投标文件（每个分包）：正本：1份、副本：4份（建议正本与副本分开封装），同时递交一份电子版投标文件（U盘）。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8"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31.1</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"mailto:532223373@qq.com），具体金额为中标价的5%25。拟中标人应当按照招标人的要求及时、足额缴纳履约保证金，履约保证金待项目到期后20日内一次性无息退还。（凭" </w:instrText>
            </w:r>
            <w:r>
              <w:fldChar w:fldCharType="separate"/>
            </w:r>
            <w:r>
              <w:rPr>
                <w:rFonts w:hint="eastAsia" w:ascii="宋体" w:hAnsi="宋体" w:cs="宋体"/>
                <w:color w:val="000000" w:themeColor="text1"/>
                <w:szCs w:val="21"/>
                <w14:textFill>
                  <w14:solidFill>
                    <w14:schemeClr w14:val="tx1"/>
                  </w14:solidFill>
                </w14:textFill>
              </w:rPr>
              <w:t>532223373@qq.com），具体金额为中标价的5%。拟中标人应当按照招标人的要求及时、足额缴纳履约保证金，履约保证金待项目到期后20日内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（详见履约保证金条款）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32</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代理服务费（中标服务费）：本项目的代理服务费由中标人承担。</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代理服务费收费标准：为方便计算，代理服务费参照原《招标代理服务收费管理暂行办法》（计价格[2002]1980号）收费标准的40%计取（如低于3000元的，按3000元计取）；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8" w:hRule="atLeast"/>
        </w:trPr>
        <w:tc>
          <w:tcPr>
            <w:tcW w:w="1306" w:type="dxa"/>
            <w:vAlign w:val="center"/>
          </w:tcPr>
          <w:p>
            <w:pPr>
              <w:spacing w:line="300" w:lineRule="auto"/>
              <w:jc w:val="center"/>
              <w:rPr>
                <w:rFonts w:ascii="宋体" w:hAnsi="宋体" w:cs="宋体"/>
                <w:b/>
                <w:bCs/>
                <w:color w:val="000000" w:themeColor="text1"/>
                <w:szCs w:val="21"/>
                <w14:textFill>
                  <w14:solidFill>
                    <w14:schemeClr w14:val="tx1"/>
                  </w14:solidFill>
                </w14:textFill>
              </w:rPr>
            </w:pPr>
            <w:r>
              <w:rPr>
                <w:rFonts w:hint="eastAsia" w:asciiTheme="minorEastAsia" w:hAnsiTheme="minorEastAsia" w:eastAsiaTheme="minorEastAsia" w:cstheme="minorEastAsia"/>
                <w:b/>
                <w:szCs w:val="21"/>
              </w:rPr>
              <w:t>责任说明</w:t>
            </w:r>
          </w:p>
        </w:tc>
        <w:tc>
          <w:tcPr>
            <w:tcW w:w="8053" w:type="dxa"/>
            <w:vAlign w:val="center"/>
          </w:tcPr>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lang w:eastAsia="zh-CN"/>
              </w:rPr>
              <w:t>投标人</w:t>
            </w:r>
            <w:r>
              <w:rPr>
                <w:rFonts w:hint="eastAsia" w:ascii="宋体" w:hAnsi="宋体" w:cs="宋体"/>
                <w:szCs w:val="21"/>
              </w:rPr>
              <w:t>所投产品除招标文件中明确规定要求提供官网截图或相应检测报告的证明材料以外，所有技术参数描述均以投标文件为准。</w:t>
            </w:r>
            <w:r>
              <w:rPr>
                <w:rFonts w:hint="eastAsia" w:ascii="宋体" w:hAnsi="宋体" w:cs="宋体"/>
                <w:szCs w:val="21"/>
                <w:lang w:eastAsia="zh-CN"/>
              </w:rPr>
              <w:t>投标人</w:t>
            </w:r>
            <w:r>
              <w:rPr>
                <w:rFonts w:hint="eastAsia" w:ascii="宋体" w:hAnsi="宋体" w:cs="宋体"/>
                <w:szCs w:val="21"/>
              </w:rPr>
              <w:t>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pPr>
        <w:spacing w:line="262" w:lineRule="auto"/>
        <w:jc w:val="both"/>
        <w:outlineLvl w:val="1"/>
        <w:rPr>
          <w:rFonts w:hint="eastAsia" w:ascii="宋体" w:hAnsi="宋体" w:cs="宋体"/>
          <w:b/>
          <w:szCs w:val="21"/>
        </w:rPr>
      </w:pPr>
    </w:p>
    <w:p>
      <w:pPr>
        <w:spacing w:line="262" w:lineRule="auto"/>
        <w:jc w:val="center"/>
        <w:outlineLvl w:val="1"/>
        <w:rPr>
          <w:rFonts w:hint="eastAsia" w:ascii="宋体" w:hAnsi="宋体" w:cs="宋体"/>
          <w:b/>
          <w:szCs w:val="21"/>
        </w:rPr>
      </w:pPr>
      <w:bookmarkStart w:id="59" w:name="_Toc18246"/>
    </w:p>
    <w:p>
      <w:pPr>
        <w:spacing w:line="262" w:lineRule="auto"/>
        <w:jc w:val="center"/>
        <w:outlineLvl w:val="1"/>
        <w:rPr>
          <w:rFonts w:hint="eastAsia" w:ascii="宋体" w:hAnsi="宋体" w:cs="宋体"/>
          <w:b/>
          <w:szCs w:val="21"/>
        </w:rPr>
      </w:pPr>
    </w:p>
    <w:p>
      <w:pPr>
        <w:spacing w:line="262" w:lineRule="auto"/>
        <w:jc w:val="center"/>
        <w:outlineLvl w:val="1"/>
        <w:rPr>
          <w:rFonts w:ascii="宋体" w:hAnsi="宋体" w:cs="宋体"/>
          <w:b/>
          <w:szCs w:val="21"/>
        </w:rPr>
      </w:pPr>
      <w:r>
        <w:rPr>
          <w:rFonts w:hint="eastAsia" w:ascii="宋体" w:hAnsi="宋体" w:cs="宋体"/>
          <w:b/>
          <w:szCs w:val="21"/>
        </w:rPr>
        <w:t>一、总则</w:t>
      </w:r>
      <w:bookmarkEnd w:id="59"/>
    </w:p>
    <w:p>
      <w:pPr>
        <w:spacing w:line="262" w:lineRule="auto"/>
        <w:ind w:firstLine="422" w:firstLineChars="200"/>
        <w:rPr>
          <w:rFonts w:ascii="宋体" w:hAnsi="宋体" w:cs="宋体"/>
          <w:b/>
          <w:szCs w:val="21"/>
        </w:rPr>
      </w:pPr>
      <w:r>
        <w:rPr>
          <w:rFonts w:hint="eastAsia" w:ascii="宋体" w:hAnsi="宋体" w:cs="宋体"/>
          <w:b/>
          <w:szCs w:val="21"/>
        </w:rPr>
        <w:t>1、特别说明</w:t>
      </w:r>
    </w:p>
    <w:p>
      <w:pPr>
        <w:spacing w:line="262" w:lineRule="auto"/>
        <w:ind w:firstLine="420" w:firstLineChars="200"/>
        <w:rPr>
          <w:rFonts w:ascii="宋体" w:hAnsi="宋体" w:cs="宋体"/>
          <w:szCs w:val="21"/>
        </w:rPr>
      </w:pPr>
      <w:r>
        <w:rPr>
          <w:rFonts w:hint="eastAsia" w:ascii="宋体" w:hAnsi="宋体" w:cs="宋体"/>
          <w:szCs w:val="21"/>
        </w:rPr>
        <w:t>1.1</w:t>
      </w:r>
      <w:r>
        <w:rPr>
          <w:rFonts w:hint="eastAsia" w:ascii="宋体" w:hAnsi="宋体" w:cs="宋体"/>
          <w:b/>
          <w:szCs w:val="21"/>
        </w:rPr>
        <w:t>本次采购适用于采购人的内控制度（政府采购限额以下项目或非必招项目）。为规范采购活动，携手阳光公司参照政府采购程序组织本次采购活动。</w:t>
      </w:r>
      <w:r>
        <w:rPr>
          <w:rFonts w:hint="eastAsia" w:ascii="宋体" w:hAnsi="宋体" w:cs="宋体"/>
          <w:szCs w:val="21"/>
        </w:rPr>
        <w:t>本次采购及由此产生的合同受中华人民共和国有关的法律法规制约和保护。</w:t>
      </w:r>
    </w:p>
    <w:p>
      <w:pPr>
        <w:spacing w:line="262" w:lineRule="auto"/>
        <w:ind w:firstLine="420" w:firstLineChars="200"/>
        <w:rPr>
          <w:rFonts w:ascii="宋体" w:hAnsi="宋体" w:cs="宋体"/>
          <w:szCs w:val="21"/>
        </w:rPr>
      </w:pPr>
      <w:r>
        <w:rPr>
          <w:rFonts w:hint="eastAsia" w:ascii="宋体" w:hAnsi="宋体" w:cs="宋体"/>
          <w:szCs w:val="21"/>
        </w:rPr>
        <w:t>1.2本招标文件采购代理机构是指盐城市携手阳光集中采购代理有限公司（本采购活动中可简称：携手阳光公司）；</w:t>
      </w:r>
    </w:p>
    <w:p>
      <w:pPr>
        <w:spacing w:line="262" w:lineRule="auto"/>
        <w:ind w:firstLine="420" w:firstLineChars="200"/>
        <w:rPr>
          <w:rFonts w:ascii="宋体" w:hAnsi="宋体" w:cs="宋体"/>
          <w:szCs w:val="21"/>
        </w:rPr>
      </w:pPr>
      <w:r>
        <w:rPr>
          <w:rFonts w:hint="eastAsia" w:ascii="宋体" w:hAnsi="宋体" w:cs="宋体"/>
          <w:szCs w:val="21"/>
        </w:rPr>
        <w:t>1.3本招标文件中未尽事宜遵照《政府采购法》和国家有关规定处理；</w:t>
      </w:r>
    </w:p>
    <w:p>
      <w:pPr>
        <w:spacing w:line="262" w:lineRule="auto"/>
        <w:ind w:firstLine="420" w:firstLineChars="200"/>
        <w:rPr>
          <w:rFonts w:ascii="宋体" w:hAnsi="宋体" w:cs="宋体"/>
          <w:szCs w:val="21"/>
        </w:rPr>
      </w:pPr>
      <w:r>
        <w:rPr>
          <w:rFonts w:hint="eastAsia" w:ascii="宋体" w:hAnsi="宋体" w:cs="宋体"/>
          <w:szCs w:val="21"/>
        </w:rPr>
        <w:t>1.4</w:t>
      </w:r>
      <w:r>
        <w:rPr>
          <w:rFonts w:hint="eastAsia" w:ascii="宋体" w:hAnsi="宋体" w:cs="宋体"/>
          <w:b/>
          <w:szCs w:val="21"/>
        </w:rPr>
        <w:t>★特别说明（约定性条款）：供应商获取本采购文件后，必须完全阅知采购文件全部内容及相关事宜。携手阳光公司不能保证采购文件绝对的无编辑错误，如采购文件中有表述不清或不完整的（包括界定不清、形容不清、可多层理解或解释的等任何情形），供应商必须（有责任及义务）以电邮或书面方式（均须加盖公章）向携手阳光公司提出询问。如供应商投标前未向携手阳光公司提出询问的，视为供应商完全认同“本采购文件所有的理解或解释均以携手阳光公司解释为准（本采购文件所有的解释权完全归携手阳光公司所有）”</w:t>
      </w:r>
      <w:r>
        <w:rPr>
          <w:rFonts w:hint="eastAsia" w:ascii="宋体" w:hAnsi="宋体" w:cs="宋体"/>
          <w:szCs w:val="21"/>
        </w:rPr>
        <w:t>；在法律法规许可范围内，本采购文件的解释权属于盐城市携手阳光集中采购代理有限公司；</w:t>
      </w:r>
    </w:p>
    <w:p>
      <w:pPr>
        <w:spacing w:line="262" w:lineRule="auto"/>
        <w:ind w:firstLine="420" w:firstLineChars="200"/>
        <w:rPr>
          <w:rFonts w:ascii="宋体" w:hAnsi="宋体" w:cs="宋体"/>
          <w:szCs w:val="21"/>
        </w:rPr>
      </w:pPr>
      <w:r>
        <w:rPr>
          <w:rFonts w:hint="eastAsia" w:ascii="宋体" w:hAnsi="宋体" w:cs="宋体"/>
          <w:szCs w:val="21"/>
        </w:rPr>
        <w:t>1.5在法律法规许可范围内，</w:t>
      </w:r>
      <w:r>
        <w:rPr>
          <w:rFonts w:hint="eastAsia" w:ascii="宋体" w:hAnsi="宋体" w:cs="宋体"/>
          <w:kern w:val="0"/>
          <w:szCs w:val="21"/>
        </w:rPr>
        <w:t>按照有利于采购人采购项目实施的原则处理本项目的所有争议。</w:t>
      </w:r>
    </w:p>
    <w:p>
      <w:pPr>
        <w:spacing w:line="262" w:lineRule="auto"/>
        <w:ind w:firstLine="422" w:firstLineChars="200"/>
        <w:rPr>
          <w:rFonts w:ascii="宋体" w:hAnsi="宋体" w:cs="宋体"/>
          <w:b/>
          <w:szCs w:val="21"/>
        </w:rPr>
      </w:pPr>
      <w:r>
        <w:rPr>
          <w:rFonts w:hint="eastAsia" w:ascii="宋体" w:hAnsi="宋体" w:cs="宋体"/>
          <w:b/>
          <w:szCs w:val="21"/>
        </w:rPr>
        <w:t>2、项目采购方式、适用范围</w:t>
      </w:r>
    </w:p>
    <w:p>
      <w:pPr>
        <w:spacing w:line="262" w:lineRule="auto"/>
        <w:ind w:firstLine="420" w:firstLineChars="200"/>
        <w:rPr>
          <w:rFonts w:ascii="宋体" w:hAnsi="宋体" w:cs="宋体"/>
          <w:szCs w:val="21"/>
        </w:rPr>
      </w:pPr>
      <w:r>
        <w:rPr>
          <w:rFonts w:hint="eastAsia" w:ascii="宋体" w:hAnsi="宋体" w:cs="宋体"/>
          <w:szCs w:val="21"/>
        </w:rPr>
        <w:t>2.1本次采购采取公开招标的方式。</w:t>
      </w:r>
    </w:p>
    <w:p>
      <w:pPr>
        <w:spacing w:line="262" w:lineRule="auto"/>
        <w:ind w:firstLine="420" w:firstLineChars="200"/>
        <w:rPr>
          <w:rFonts w:ascii="宋体" w:hAnsi="宋体" w:cs="宋体"/>
          <w:szCs w:val="21"/>
        </w:rPr>
      </w:pPr>
      <w:r>
        <w:rPr>
          <w:rFonts w:hint="eastAsia" w:ascii="宋体" w:hAnsi="宋体" w:cs="宋体"/>
          <w:szCs w:val="21"/>
        </w:rPr>
        <w:t>2.2本招标文件仅适用此项目。</w:t>
      </w:r>
    </w:p>
    <w:p>
      <w:pPr>
        <w:spacing w:line="262" w:lineRule="auto"/>
        <w:ind w:firstLine="420" w:firstLineChars="200"/>
        <w:rPr>
          <w:rFonts w:ascii="宋体" w:hAnsi="宋体" w:cs="宋体"/>
          <w:szCs w:val="21"/>
        </w:rPr>
      </w:pPr>
      <w:r>
        <w:rPr>
          <w:rFonts w:hint="eastAsia" w:ascii="宋体" w:hAnsi="宋体" w:cs="宋体"/>
          <w:szCs w:val="21"/>
        </w:rPr>
        <w:t>2.3本项目如设多个分包的，如无特殊说明，按照项目分包，分别确定各分包成交供应商。</w:t>
      </w:r>
    </w:p>
    <w:p>
      <w:pPr>
        <w:spacing w:line="262" w:lineRule="auto"/>
        <w:ind w:firstLine="422" w:firstLineChars="200"/>
        <w:rPr>
          <w:rFonts w:ascii="宋体" w:hAnsi="宋体" w:cs="宋体"/>
          <w:b/>
          <w:szCs w:val="21"/>
        </w:rPr>
      </w:pPr>
      <w:r>
        <w:rPr>
          <w:rFonts w:hint="eastAsia" w:ascii="宋体" w:hAnsi="宋体" w:cs="宋体"/>
          <w:b/>
          <w:szCs w:val="21"/>
        </w:rPr>
        <w:t>3、合格的供应商及</w:t>
      </w:r>
      <w:r>
        <w:rPr>
          <w:rFonts w:hint="eastAsia" w:ascii="宋体" w:hAnsi="宋体" w:cs="宋体"/>
          <w:b/>
          <w:kern w:val="0"/>
          <w:szCs w:val="21"/>
        </w:rPr>
        <w:t>采购邀请</w:t>
      </w:r>
    </w:p>
    <w:p>
      <w:pPr>
        <w:spacing w:line="262" w:lineRule="auto"/>
        <w:ind w:firstLine="420" w:firstLineChars="200"/>
        <w:rPr>
          <w:rFonts w:ascii="宋体" w:hAnsi="宋体" w:cs="宋体"/>
          <w:b/>
          <w:szCs w:val="21"/>
        </w:rPr>
      </w:pPr>
      <w:r>
        <w:rPr>
          <w:rFonts w:hint="eastAsia" w:ascii="宋体" w:hAnsi="宋体" w:cs="宋体"/>
          <w:szCs w:val="21"/>
        </w:rPr>
        <w:t>3.1满足本招标文件中</w:t>
      </w:r>
      <w:r>
        <w:rPr>
          <w:rFonts w:hint="eastAsia" w:ascii="宋体" w:hAnsi="宋体" w:cs="宋体"/>
          <w:b/>
          <w:szCs w:val="21"/>
        </w:rPr>
        <w:t>供应商</w:t>
      </w:r>
      <w:r>
        <w:rPr>
          <w:rFonts w:hint="eastAsia" w:ascii="宋体" w:hAnsi="宋体" w:cs="宋体"/>
          <w:b/>
          <w:kern w:val="0"/>
          <w:szCs w:val="21"/>
        </w:rPr>
        <w:t>资格</w:t>
      </w:r>
      <w:r>
        <w:rPr>
          <w:rFonts w:hint="eastAsia" w:ascii="宋体" w:hAnsi="宋体" w:cs="宋体"/>
          <w:b/>
          <w:szCs w:val="21"/>
        </w:rPr>
        <w:t>条件的</w:t>
      </w:r>
      <w:r>
        <w:rPr>
          <w:rFonts w:hint="eastAsia" w:ascii="宋体" w:hAnsi="宋体" w:cs="宋体"/>
          <w:b/>
          <w:kern w:val="0"/>
          <w:szCs w:val="21"/>
        </w:rPr>
        <w:t>要求；</w:t>
      </w:r>
    </w:p>
    <w:p>
      <w:pPr>
        <w:spacing w:line="262" w:lineRule="auto"/>
        <w:ind w:firstLine="420" w:firstLineChars="200"/>
        <w:rPr>
          <w:rFonts w:ascii="宋体" w:hAnsi="宋体" w:cs="宋体"/>
          <w:szCs w:val="21"/>
        </w:rPr>
      </w:pPr>
      <w:r>
        <w:rPr>
          <w:rFonts w:hint="eastAsia" w:ascii="宋体" w:hAnsi="宋体" w:cs="宋体"/>
          <w:szCs w:val="21"/>
        </w:rPr>
        <w:t>3.2满足法律法规以及财政部门规定的（含释义等）其它要求。</w:t>
      </w:r>
    </w:p>
    <w:p>
      <w:pPr>
        <w:spacing w:line="262" w:lineRule="auto"/>
        <w:ind w:firstLine="420" w:firstLineChars="200"/>
        <w:rPr>
          <w:rFonts w:ascii="宋体" w:hAnsi="宋体" w:cs="宋体"/>
          <w:szCs w:val="21"/>
        </w:rPr>
      </w:pPr>
      <w:r>
        <w:rPr>
          <w:rFonts w:hint="eastAsia" w:ascii="宋体" w:hAnsi="宋体" w:cs="宋体"/>
          <w:kern w:val="0"/>
          <w:szCs w:val="21"/>
        </w:rPr>
        <w:t>3.3采购邀请：略，本项目的采购邀请书同采购公告</w:t>
      </w:r>
    </w:p>
    <w:p>
      <w:pPr>
        <w:spacing w:line="262" w:lineRule="auto"/>
        <w:ind w:firstLine="422" w:firstLineChars="200"/>
        <w:rPr>
          <w:rFonts w:ascii="宋体" w:hAnsi="宋体" w:cs="宋体"/>
          <w:b/>
          <w:szCs w:val="21"/>
        </w:rPr>
      </w:pPr>
      <w:r>
        <w:rPr>
          <w:rFonts w:hint="eastAsia" w:ascii="宋体" w:hAnsi="宋体" w:cs="宋体"/>
          <w:b/>
          <w:szCs w:val="21"/>
        </w:rPr>
        <w:t>4、参加招标费用</w:t>
      </w:r>
    </w:p>
    <w:p>
      <w:pPr>
        <w:spacing w:line="262" w:lineRule="auto"/>
        <w:ind w:firstLine="420" w:firstLineChars="200"/>
        <w:rPr>
          <w:rFonts w:ascii="宋体" w:hAnsi="宋体" w:cs="宋体"/>
          <w:b/>
          <w:szCs w:val="21"/>
        </w:rPr>
      </w:pPr>
      <w:r>
        <w:rPr>
          <w:rFonts w:hint="eastAsia" w:ascii="宋体" w:hAnsi="宋体" w:cs="宋体"/>
          <w:szCs w:val="21"/>
        </w:rPr>
        <w:t>供应商应自行承担所有与参加招标响应有关的费用。无论招标过程中的做法和结果如何，采购人及携手阳光公司在任何情况下均无义务和责任承担这些费用。</w:t>
      </w:r>
    </w:p>
    <w:p>
      <w:pPr>
        <w:spacing w:line="262" w:lineRule="auto"/>
        <w:ind w:firstLine="422" w:firstLineChars="200"/>
        <w:rPr>
          <w:rFonts w:ascii="宋体" w:hAnsi="宋体" w:cs="宋体"/>
          <w:b/>
          <w:szCs w:val="21"/>
        </w:rPr>
      </w:pPr>
      <w:r>
        <w:rPr>
          <w:rFonts w:hint="eastAsia" w:ascii="宋体" w:hAnsi="宋体" w:cs="宋体"/>
          <w:b/>
          <w:szCs w:val="21"/>
        </w:rPr>
        <w:t>5、招标文件的约束力</w:t>
      </w:r>
    </w:p>
    <w:p>
      <w:pPr>
        <w:spacing w:line="262" w:lineRule="auto"/>
        <w:ind w:firstLine="420" w:firstLineChars="200"/>
        <w:rPr>
          <w:rFonts w:ascii="宋体" w:hAnsi="宋体" w:cs="宋体"/>
          <w:szCs w:val="21"/>
        </w:rPr>
      </w:pPr>
      <w:r>
        <w:rPr>
          <w:rFonts w:hint="eastAsia" w:ascii="宋体" w:hAnsi="宋体" w:cs="宋体"/>
          <w:szCs w:val="21"/>
        </w:rPr>
        <w:t>供应商一旦下载了本招标文件并决定参加招标，即代表供应商已阅读了本采购文件每一条条款，并接受了本招标文件所有的规定和约束。并且视为自采购公告期限届满之日起已经知道或应当知道自身权益是否受到了损害。</w:t>
      </w:r>
    </w:p>
    <w:p>
      <w:pPr>
        <w:spacing w:line="262" w:lineRule="auto"/>
        <w:ind w:firstLine="422" w:firstLineChars="200"/>
        <w:rPr>
          <w:rFonts w:ascii="宋体" w:hAnsi="宋体" w:cs="宋体"/>
          <w:b/>
          <w:szCs w:val="21"/>
        </w:rPr>
      </w:pPr>
      <w:r>
        <w:rPr>
          <w:rFonts w:hint="eastAsia" w:ascii="宋体" w:hAnsi="宋体" w:cs="宋体"/>
          <w:b/>
          <w:szCs w:val="21"/>
        </w:rPr>
        <w:t>6、</w:t>
      </w:r>
      <w:bookmarkStart w:id="60" w:name="_Toc20823283"/>
      <w:bookmarkStart w:id="61" w:name="_Toc462564070"/>
      <w:bookmarkStart w:id="62" w:name="_Toc16938527"/>
      <w:bookmarkStart w:id="63" w:name="_Toc513029211"/>
      <w:r>
        <w:rPr>
          <w:rFonts w:hint="eastAsia" w:ascii="宋体" w:hAnsi="宋体" w:cs="宋体"/>
          <w:b/>
          <w:szCs w:val="21"/>
        </w:rPr>
        <w:t>招标文件的澄清</w:t>
      </w:r>
      <w:bookmarkEnd w:id="60"/>
      <w:bookmarkEnd w:id="61"/>
      <w:bookmarkEnd w:id="62"/>
      <w:bookmarkEnd w:id="63"/>
      <w:r>
        <w:rPr>
          <w:rFonts w:hint="eastAsia" w:ascii="宋体" w:hAnsi="宋体" w:cs="宋体"/>
          <w:b/>
          <w:szCs w:val="21"/>
        </w:rPr>
        <w:t>及修改</w:t>
      </w:r>
    </w:p>
    <w:p>
      <w:pPr>
        <w:spacing w:line="262" w:lineRule="auto"/>
        <w:ind w:firstLine="420" w:firstLineChars="200"/>
        <w:rPr>
          <w:rFonts w:ascii="宋体" w:hAnsi="宋体" w:cs="宋体"/>
          <w:szCs w:val="21"/>
        </w:rPr>
      </w:pPr>
      <w:r>
        <w:rPr>
          <w:rFonts w:hint="eastAsia" w:ascii="宋体" w:hAnsi="宋体" w:cs="宋体"/>
          <w:szCs w:val="21"/>
        </w:rPr>
        <w:t>6.1提交首次响应文件截止之日前，采购人、采购代理机构或者专家小组可以对已发出的招标文件进行必要的澄清或者修改，澄清或者修改的内容作为招标文件的组成部分。澄清或者修改的内容可能影响响应文件编制的，采购人、采购代理机构或者招标小组应当在提交首次响应文件截止之日3个工作日前，以书面形式通知所有接收招标文件的供应商，不足3个工作日的，应当顺延提交首次响应文件截止之日。</w:t>
      </w:r>
    </w:p>
    <w:p>
      <w:pPr>
        <w:spacing w:line="262" w:lineRule="auto"/>
        <w:jc w:val="center"/>
        <w:outlineLvl w:val="1"/>
        <w:rPr>
          <w:rFonts w:ascii="宋体" w:hAnsi="宋体" w:cs="宋体"/>
          <w:b/>
          <w:szCs w:val="21"/>
        </w:rPr>
      </w:pPr>
      <w:bookmarkStart w:id="64" w:name="_Toc462564072"/>
      <w:bookmarkStart w:id="65" w:name="_Toc513029213"/>
      <w:bookmarkStart w:id="66" w:name="_Toc14577351"/>
      <w:bookmarkStart w:id="67" w:name="_Toc61149553"/>
      <w:bookmarkStart w:id="68" w:name="_Toc22463"/>
      <w:r>
        <w:rPr>
          <w:rFonts w:hint="eastAsia" w:ascii="宋体" w:hAnsi="宋体" w:cs="宋体"/>
          <w:b/>
          <w:szCs w:val="21"/>
        </w:rPr>
        <w:t>二、响应文件的编制</w:t>
      </w:r>
      <w:bookmarkEnd w:id="64"/>
      <w:bookmarkEnd w:id="65"/>
      <w:bookmarkEnd w:id="66"/>
      <w:bookmarkEnd w:id="67"/>
      <w:r>
        <w:rPr>
          <w:rFonts w:hint="eastAsia" w:ascii="宋体" w:hAnsi="宋体" w:cs="宋体"/>
          <w:b/>
          <w:szCs w:val="21"/>
        </w:rPr>
        <w:t>及保证金收取</w:t>
      </w:r>
      <w:bookmarkEnd w:id="68"/>
      <w:bookmarkStart w:id="69" w:name="_Toc61149561"/>
      <w:bookmarkStart w:id="70" w:name="_Toc513029223"/>
      <w:bookmarkStart w:id="71" w:name="_Toc14577361"/>
    </w:p>
    <w:p>
      <w:pPr>
        <w:spacing w:line="262" w:lineRule="auto"/>
        <w:ind w:firstLine="422" w:firstLineChars="200"/>
        <w:rPr>
          <w:rFonts w:ascii="宋体" w:hAnsi="宋体" w:cs="宋体"/>
          <w:b/>
          <w:szCs w:val="21"/>
        </w:rPr>
      </w:pPr>
      <w:r>
        <w:rPr>
          <w:rFonts w:hint="eastAsia" w:ascii="宋体" w:hAnsi="宋体" w:cs="宋体"/>
          <w:b/>
          <w:szCs w:val="21"/>
        </w:rPr>
        <w:t>1、招标响应文件份数和签署</w:t>
      </w:r>
      <w:bookmarkEnd w:id="69"/>
      <w:bookmarkEnd w:id="70"/>
      <w:bookmarkEnd w:id="71"/>
    </w:p>
    <w:p>
      <w:pPr>
        <w:spacing w:line="262" w:lineRule="auto"/>
        <w:ind w:firstLine="420" w:firstLineChars="200"/>
        <w:rPr>
          <w:rFonts w:ascii="宋体" w:hAnsi="宋体" w:cs="宋体"/>
          <w:szCs w:val="21"/>
        </w:rPr>
      </w:pPr>
      <w:r>
        <w:rPr>
          <w:rFonts w:hint="eastAsia" w:ascii="宋体" w:hAnsi="宋体" w:cs="宋体"/>
          <w:szCs w:val="21"/>
        </w:rPr>
        <w:t>1.1供应商应按</w:t>
      </w:r>
      <w:r>
        <w:rPr>
          <w:rFonts w:hint="eastAsia" w:ascii="宋体" w:hAnsi="宋体" w:cs="宋体"/>
          <w:szCs w:val="21"/>
          <w:u w:val="single"/>
        </w:rPr>
        <w:t>采购文件</w:t>
      </w:r>
      <w:r>
        <w:rPr>
          <w:rFonts w:hint="eastAsia" w:ascii="宋体" w:hAnsi="宋体" w:cs="宋体"/>
          <w:szCs w:val="21"/>
        </w:rPr>
        <w:t>中的规定，准备和递交投标（响应）文件正本、副本和电子文档，每份投标（响应）文件封皮须清楚地标明“正本”或“副本”。若正本和副本不符，以正本为准。如投标（响应）文件未标明或未清楚标准明正本或副本的，所引起的后果由供应商负责。</w:t>
      </w:r>
    </w:p>
    <w:p>
      <w:pPr>
        <w:spacing w:line="262" w:lineRule="auto"/>
        <w:ind w:firstLine="420" w:firstLineChars="200"/>
        <w:rPr>
          <w:rFonts w:ascii="宋体" w:hAnsi="宋体" w:cs="宋体"/>
          <w:szCs w:val="21"/>
        </w:rPr>
      </w:pPr>
      <w:r>
        <w:rPr>
          <w:rFonts w:hint="eastAsia" w:ascii="宋体" w:hAnsi="宋体" w:cs="宋体"/>
          <w:szCs w:val="21"/>
        </w:rPr>
        <w:t>供应商的响应文件的正本和副本均需打印或复印，文字材料需打印或用不褪色墨水书写。并按招标文件的要求提交相关证明。</w:t>
      </w:r>
    </w:p>
    <w:p>
      <w:pPr>
        <w:spacing w:line="262" w:lineRule="auto"/>
        <w:ind w:firstLine="420" w:firstLineChars="200"/>
        <w:rPr>
          <w:rFonts w:ascii="宋体" w:hAnsi="宋体" w:cs="宋体"/>
          <w:szCs w:val="21"/>
        </w:rPr>
      </w:pPr>
      <w:r>
        <w:rPr>
          <w:rFonts w:hint="eastAsia" w:ascii="宋体" w:hAnsi="宋体" w:cs="宋体"/>
          <w:szCs w:val="21"/>
        </w:rPr>
        <w:t>供应商应该当按招标文件的要求在响应文件正本中签字、盖（公）章（副本可以是复印件）否作无效响应文件处理。公章是指刻有供应商法定名称的印章，不包括合同、发票等业务专用章。</w:t>
      </w:r>
    </w:p>
    <w:p>
      <w:pPr>
        <w:spacing w:line="262" w:lineRule="auto"/>
        <w:ind w:firstLine="420" w:firstLineChars="200"/>
        <w:rPr>
          <w:rFonts w:ascii="宋体" w:hAnsi="宋体" w:cs="宋体"/>
          <w:szCs w:val="21"/>
        </w:rPr>
      </w:pPr>
      <w:r>
        <w:rPr>
          <w:rFonts w:hint="eastAsia" w:ascii="宋体" w:hAnsi="宋体" w:cs="宋体"/>
          <w:szCs w:val="21"/>
        </w:rPr>
        <w:t>1.2 除供应商对错处做必要修改外，响应文件不得行间插字、涂改或增删。如有修改错漏处，须由响应文件签署人签字或盖章。否由专家小组自行认定。</w:t>
      </w:r>
    </w:p>
    <w:p>
      <w:pPr>
        <w:spacing w:line="262" w:lineRule="auto"/>
        <w:ind w:firstLine="422" w:firstLineChars="200"/>
        <w:rPr>
          <w:rFonts w:ascii="宋体" w:hAnsi="宋体" w:cs="宋体"/>
          <w:b/>
          <w:szCs w:val="21"/>
        </w:rPr>
      </w:pPr>
      <w:r>
        <w:rPr>
          <w:rFonts w:hint="eastAsia" w:ascii="宋体" w:hAnsi="宋体" w:cs="宋体"/>
          <w:b/>
          <w:szCs w:val="21"/>
        </w:rPr>
        <w:t>2、响应文件编制要求</w:t>
      </w:r>
    </w:p>
    <w:p>
      <w:pPr>
        <w:spacing w:line="262" w:lineRule="auto"/>
        <w:ind w:firstLine="422" w:firstLineChars="200"/>
        <w:rPr>
          <w:rFonts w:ascii="宋体" w:hAnsi="宋体" w:cs="宋体"/>
          <w:b/>
          <w:szCs w:val="21"/>
        </w:rPr>
      </w:pPr>
      <w:r>
        <w:rPr>
          <w:rFonts w:hint="eastAsia" w:ascii="宋体" w:hAnsi="宋体" w:cs="宋体"/>
          <w:b/>
          <w:szCs w:val="21"/>
        </w:rPr>
        <w:t>2.1供应商应当按照采购文件的要求编制响应文件，并对其提交的响应文件的真实性、合法性承担法律责任。</w:t>
      </w:r>
    </w:p>
    <w:p>
      <w:pPr>
        <w:spacing w:line="262" w:lineRule="auto"/>
        <w:ind w:firstLine="420" w:firstLineChars="200"/>
        <w:rPr>
          <w:rFonts w:ascii="宋体" w:hAnsi="宋体" w:cs="宋体"/>
          <w:szCs w:val="21"/>
        </w:rPr>
      </w:pPr>
      <w:r>
        <w:rPr>
          <w:rFonts w:hint="eastAsia" w:ascii="宋体" w:hAnsi="宋体" w:cs="宋体"/>
          <w:szCs w:val="21"/>
        </w:rPr>
        <w:t>2.2供应商提交的响应文件以及本次采购活动的所有来往函电均应使用简体中文。采购过程中，既有中文也有外文的，以简体中文为准。</w:t>
      </w:r>
    </w:p>
    <w:p>
      <w:pPr>
        <w:spacing w:line="262" w:lineRule="auto"/>
        <w:ind w:firstLine="420" w:firstLineChars="200"/>
        <w:rPr>
          <w:rFonts w:ascii="宋体" w:hAnsi="宋体" w:cs="宋体"/>
          <w:szCs w:val="21"/>
        </w:rPr>
      </w:pPr>
      <w:r>
        <w:rPr>
          <w:rFonts w:hint="eastAsia" w:ascii="宋体" w:hAnsi="宋体" w:cs="宋体"/>
          <w:szCs w:val="21"/>
        </w:rPr>
        <w:t>2.3除技术性能另有规定外，响应文件所使用的度量衡单位，均须采用国家法定计量单位。</w:t>
      </w:r>
    </w:p>
    <w:p>
      <w:pPr>
        <w:spacing w:line="262" w:lineRule="auto"/>
        <w:ind w:firstLine="422" w:firstLineChars="200"/>
        <w:rPr>
          <w:rFonts w:ascii="宋体" w:hAnsi="宋体" w:cs="宋体"/>
          <w:b/>
          <w:szCs w:val="21"/>
        </w:rPr>
      </w:pPr>
      <w:r>
        <w:rPr>
          <w:rFonts w:hint="eastAsia" w:ascii="宋体" w:hAnsi="宋体" w:cs="宋体"/>
          <w:b/>
          <w:szCs w:val="21"/>
        </w:rPr>
        <w:t>3、证明投标标的的合格性和符合招标文件规定的技术文件（响应文件）</w:t>
      </w:r>
    </w:p>
    <w:p>
      <w:pPr>
        <w:spacing w:line="262" w:lineRule="auto"/>
        <w:ind w:firstLine="420" w:firstLineChars="200"/>
        <w:rPr>
          <w:rFonts w:ascii="宋体" w:hAnsi="宋体" w:cs="宋体"/>
          <w:szCs w:val="21"/>
        </w:rPr>
      </w:pPr>
      <w:bookmarkStart w:id="72" w:name="_Toc513029217"/>
      <w:bookmarkStart w:id="73" w:name="_Toc14577355"/>
      <w:bookmarkStart w:id="74" w:name="_Toc61149557"/>
      <w:r>
        <w:rPr>
          <w:rFonts w:hint="eastAsia" w:ascii="宋体" w:hAnsi="宋体" w:cs="宋体"/>
          <w:szCs w:val="21"/>
        </w:rPr>
        <w:t>3.1供应商应提交证明文件，证明其投标内容符合采购文件规定。该证明文件是投标（响应）文件的一部分。</w:t>
      </w:r>
    </w:p>
    <w:p>
      <w:pPr>
        <w:spacing w:line="262" w:lineRule="auto"/>
        <w:ind w:firstLine="420" w:firstLineChars="200"/>
        <w:rPr>
          <w:rFonts w:ascii="宋体" w:hAnsi="宋体" w:cs="宋体"/>
          <w:szCs w:val="21"/>
        </w:rPr>
      </w:pPr>
      <w:r>
        <w:rPr>
          <w:rFonts w:hint="eastAsia" w:ascii="宋体" w:hAnsi="宋体" w:cs="宋体"/>
          <w:szCs w:val="21"/>
        </w:rPr>
        <w:t>3.2上款所述的证明文件，可以是文字资料、图纸和数据。</w:t>
      </w:r>
    </w:p>
    <w:p>
      <w:pPr>
        <w:spacing w:line="262" w:lineRule="auto"/>
        <w:ind w:firstLine="420" w:firstLineChars="200"/>
        <w:rPr>
          <w:rFonts w:ascii="宋体" w:hAnsi="宋体" w:cs="宋体"/>
          <w:szCs w:val="21"/>
        </w:rPr>
      </w:pPr>
      <w:r>
        <w:rPr>
          <w:rFonts w:hint="eastAsia" w:ascii="宋体" w:hAnsi="宋体" w:cs="宋体"/>
          <w:szCs w:val="21"/>
        </w:rPr>
        <w:t>3.3供应商证明材料非简体中文的，供应商须同时提供简体中文翻译说明并加盖公章，否评审人员有权仅按简体中文部分评审。</w:t>
      </w:r>
    </w:p>
    <w:p>
      <w:pPr>
        <w:spacing w:line="262" w:lineRule="auto"/>
        <w:ind w:firstLine="420" w:firstLineChars="200"/>
        <w:rPr>
          <w:rFonts w:ascii="宋体" w:hAnsi="宋体" w:cs="宋体"/>
          <w:szCs w:val="21"/>
        </w:rPr>
      </w:pPr>
      <w:r>
        <w:rPr>
          <w:rFonts w:hint="eastAsia" w:ascii="宋体" w:hAnsi="宋体" w:cs="宋体"/>
          <w:szCs w:val="21"/>
        </w:rPr>
        <w:t>3.4供应商应当以详细具体的内容证明投标（响应）文件响应采购文件，以“完全响应”等简单文字而无具体内容的，按未提供处理（无效内容）。</w:t>
      </w:r>
    </w:p>
    <w:p>
      <w:pPr>
        <w:spacing w:line="262" w:lineRule="auto"/>
        <w:ind w:firstLine="420" w:firstLineChars="200"/>
        <w:rPr>
          <w:rFonts w:ascii="宋体" w:hAnsi="宋体" w:cs="宋体"/>
          <w:szCs w:val="21"/>
        </w:rPr>
      </w:pPr>
      <w:r>
        <w:rPr>
          <w:rFonts w:hint="eastAsia" w:ascii="宋体" w:hAnsi="宋体" w:cs="宋体"/>
          <w:szCs w:val="21"/>
        </w:rPr>
        <w:t xml:space="preserve">3.5 </w:t>
      </w:r>
      <w:r>
        <w:rPr>
          <w:rFonts w:hint="eastAsia" w:ascii="宋体" w:hAnsi="宋体" w:cs="宋体"/>
          <w:b/>
          <w:szCs w:val="21"/>
        </w:rPr>
        <w:t>供应商提交的证明应当证明提供的产品质量和服务均能满足采购文件规定的实质性要求。</w:t>
      </w:r>
    </w:p>
    <w:p>
      <w:pPr>
        <w:spacing w:line="262" w:lineRule="auto"/>
        <w:ind w:firstLine="422" w:firstLineChars="200"/>
        <w:rPr>
          <w:rFonts w:ascii="宋体" w:hAnsi="宋体" w:cs="宋体"/>
          <w:b/>
          <w:szCs w:val="21"/>
        </w:rPr>
      </w:pPr>
      <w:r>
        <w:rPr>
          <w:rFonts w:hint="eastAsia" w:ascii="宋体" w:hAnsi="宋体" w:cs="宋体"/>
          <w:b/>
          <w:szCs w:val="21"/>
        </w:rPr>
        <w:t>4、</w:t>
      </w:r>
      <w:bookmarkEnd w:id="72"/>
      <w:bookmarkEnd w:id="73"/>
      <w:bookmarkEnd w:id="74"/>
      <w:r>
        <w:rPr>
          <w:rFonts w:hint="eastAsia" w:ascii="宋体" w:hAnsi="宋体" w:cs="宋体"/>
          <w:b/>
          <w:szCs w:val="21"/>
        </w:rPr>
        <w:t>报价一览表(报价表)</w:t>
      </w:r>
    </w:p>
    <w:p>
      <w:pPr>
        <w:spacing w:line="262" w:lineRule="auto"/>
        <w:ind w:firstLine="422" w:firstLineChars="200"/>
        <w:rPr>
          <w:rFonts w:ascii="宋体" w:hAnsi="宋体" w:cs="宋体"/>
          <w:b/>
          <w:szCs w:val="21"/>
        </w:rPr>
      </w:pPr>
      <w:r>
        <w:rPr>
          <w:rFonts w:hint="eastAsia" w:ascii="宋体" w:hAnsi="宋体" w:cs="宋体"/>
          <w:b/>
          <w:szCs w:val="21"/>
        </w:rPr>
        <w:t>4.1供应商应按照采购文件规定格式填报报价一览表(报价表)以及相关内容。</w:t>
      </w:r>
    </w:p>
    <w:p>
      <w:pPr>
        <w:spacing w:line="262" w:lineRule="auto"/>
        <w:ind w:firstLine="420" w:firstLineChars="200"/>
        <w:rPr>
          <w:rFonts w:ascii="宋体" w:hAnsi="宋体" w:cs="宋体"/>
          <w:szCs w:val="21"/>
        </w:rPr>
      </w:pPr>
      <w:r>
        <w:rPr>
          <w:rFonts w:hint="eastAsia" w:ascii="宋体" w:hAnsi="宋体" w:cs="宋体"/>
          <w:szCs w:val="21"/>
        </w:rPr>
        <w:t>每项产品或服务只允许有一个报价（单次报价中），任何有选择的报价将不予接受，采购文件中另有规定的按规定执行。供应商报价（含每次报价）大写金额和小写金额不一致的，以大写金额为准。</w:t>
      </w:r>
    </w:p>
    <w:p>
      <w:pPr>
        <w:spacing w:line="262" w:lineRule="auto"/>
        <w:ind w:firstLine="420" w:firstLineChars="200"/>
        <w:rPr>
          <w:rFonts w:ascii="宋体" w:hAnsi="宋体" w:cs="宋体"/>
          <w:szCs w:val="21"/>
        </w:rPr>
      </w:pPr>
      <w:r>
        <w:rPr>
          <w:rFonts w:hint="eastAsia" w:ascii="宋体" w:hAnsi="宋体" w:cs="宋体"/>
          <w:szCs w:val="21"/>
        </w:rPr>
        <w:t>4.2标的物：略，详见采购需求。</w:t>
      </w:r>
    </w:p>
    <w:p>
      <w:pPr>
        <w:spacing w:line="262" w:lineRule="auto"/>
        <w:ind w:firstLine="420" w:firstLineChars="200"/>
        <w:rPr>
          <w:rFonts w:ascii="宋体" w:hAnsi="宋体" w:cs="宋体"/>
          <w:szCs w:val="21"/>
        </w:rPr>
      </w:pPr>
      <w:r>
        <w:rPr>
          <w:rFonts w:hint="eastAsia" w:ascii="宋体" w:hAnsi="宋体" w:cs="宋体"/>
          <w:szCs w:val="21"/>
        </w:rPr>
        <w:t>4.3供应商投标（响应）分项报价表内容应当全面完整，充分体现其报价的组成。如：知识产权、人员工资、加班费、设备使用或损耗、技术服务和培训费用、以及相关税费等。</w:t>
      </w:r>
    </w:p>
    <w:p>
      <w:pPr>
        <w:spacing w:line="262" w:lineRule="auto"/>
        <w:ind w:firstLine="420" w:firstLineChars="200"/>
        <w:rPr>
          <w:rFonts w:ascii="宋体" w:hAnsi="宋体" w:cs="宋体"/>
          <w:szCs w:val="21"/>
        </w:rPr>
      </w:pPr>
      <w:r>
        <w:rPr>
          <w:rFonts w:hint="eastAsia" w:ascii="宋体" w:hAnsi="宋体" w:cs="宋体"/>
          <w:szCs w:val="21"/>
        </w:rPr>
        <w:t>本次采购采用总承包方式，因此供应商的报价应包括全部产品（货物、工程、服务）的价格、相关税费以及履行合同产生的所有费用等（在合同履行过程中，采购人不再增加任何费用）。</w:t>
      </w:r>
    </w:p>
    <w:p>
      <w:pPr>
        <w:spacing w:line="262" w:lineRule="auto"/>
        <w:ind w:firstLine="420" w:firstLineChars="200"/>
        <w:rPr>
          <w:rFonts w:ascii="宋体" w:hAnsi="宋体" w:cs="宋体"/>
          <w:szCs w:val="21"/>
        </w:rPr>
      </w:pPr>
      <w:r>
        <w:rPr>
          <w:rFonts w:hint="eastAsia" w:ascii="宋体" w:hAnsi="宋体" w:cs="宋体"/>
          <w:szCs w:val="21"/>
        </w:rPr>
        <w:t>4.4 其它费用处理：采购文件未列明，而供应商认为必需的费用也需列入报价。</w:t>
      </w:r>
    </w:p>
    <w:p>
      <w:pPr>
        <w:spacing w:line="262" w:lineRule="auto"/>
        <w:ind w:firstLine="422" w:firstLineChars="200"/>
        <w:rPr>
          <w:rFonts w:ascii="宋体" w:hAnsi="宋体" w:cs="宋体"/>
          <w:b/>
          <w:szCs w:val="21"/>
        </w:rPr>
      </w:pPr>
      <w:r>
        <w:rPr>
          <w:rFonts w:hint="eastAsia" w:ascii="宋体" w:hAnsi="宋体" w:cs="宋体"/>
          <w:b/>
          <w:szCs w:val="21"/>
        </w:rPr>
        <w:t>4.5</w:t>
      </w:r>
      <w:bookmarkStart w:id="75" w:name="_Hlt26668983"/>
      <w:bookmarkEnd w:id="75"/>
      <w:bookmarkStart w:id="76" w:name="_Hlt26670403"/>
      <w:bookmarkEnd w:id="76"/>
      <w:bookmarkStart w:id="77" w:name="_Hlt26954846"/>
      <w:bookmarkEnd w:id="77"/>
      <w:bookmarkStart w:id="78" w:name="_Hlt26954731"/>
      <w:bookmarkEnd w:id="78"/>
      <w:bookmarkStart w:id="79" w:name="_Hlt26954844"/>
      <w:bookmarkEnd w:id="79"/>
      <w:bookmarkStart w:id="80" w:name="_Hlt26954848"/>
      <w:bookmarkEnd w:id="80"/>
      <w:bookmarkStart w:id="81" w:name="_Hlt26954842"/>
      <w:bookmarkEnd w:id="81"/>
      <w:bookmarkStart w:id="82" w:name="_Hlt26670486"/>
      <w:bookmarkEnd w:id="82"/>
      <w:bookmarkStart w:id="83" w:name="_Hlt26670425"/>
      <w:bookmarkEnd w:id="83"/>
      <w:bookmarkStart w:id="84" w:name="_Hlt26670482"/>
      <w:bookmarkEnd w:id="84"/>
      <w:r>
        <w:rPr>
          <w:rFonts w:hint="eastAsia" w:ascii="宋体" w:hAnsi="宋体" w:cs="宋体"/>
          <w:b/>
          <w:szCs w:val="21"/>
        </w:rPr>
        <w:t>供应商的投标报价应遵守《中华人民共和国价格法》。同时，根据《中华人民共和国政府采购法》第二条的规定，为保证公平竞争，如有货物主体部分，服务过程应当支出的人员工资，法定加班费（如果有），主要的必然支出等主体投标标的的赠与行为（含主体投标标的低于商品进价的报价等），其投标将被认定为</w:t>
      </w:r>
      <w:r>
        <w:rPr>
          <w:rFonts w:hint="eastAsia" w:ascii="宋体" w:hAnsi="宋体" w:cs="宋体"/>
          <w:b/>
          <w:bCs/>
          <w:szCs w:val="21"/>
        </w:rPr>
        <w:t>投标无效</w:t>
      </w:r>
      <w:r>
        <w:rPr>
          <w:rFonts w:hint="eastAsia" w:ascii="宋体" w:hAnsi="宋体" w:cs="宋体"/>
          <w:b/>
          <w:szCs w:val="21"/>
        </w:rPr>
        <w:t>。采购人也不接受明显不合理或者低于成本的报价（有可能影响商品质量和不能诚信履约的报价）。</w:t>
      </w:r>
    </w:p>
    <w:p>
      <w:pPr>
        <w:spacing w:line="262" w:lineRule="auto"/>
        <w:ind w:firstLine="422" w:firstLineChars="200"/>
        <w:rPr>
          <w:rFonts w:ascii="宋体" w:hAnsi="宋体" w:cs="宋体"/>
          <w:b/>
          <w:szCs w:val="21"/>
        </w:rPr>
      </w:pPr>
      <w:r>
        <w:rPr>
          <w:rFonts w:hint="eastAsia" w:ascii="宋体" w:hAnsi="宋体" w:cs="宋体"/>
          <w:b/>
          <w:szCs w:val="21"/>
        </w:rPr>
        <w:t>5、投标保证金</w:t>
      </w:r>
      <w:r>
        <w:rPr>
          <w:rFonts w:hint="eastAsia" w:ascii="宋体" w:hAnsi="宋体" w:cs="宋体"/>
          <w:b/>
          <w:bCs/>
          <w:szCs w:val="21"/>
        </w:rPr>
        <w:t>（招标响应保证金）</w:t>
      </w:r>
    </w:p>
    <w:p>
      <w:pPr>
        <w:spacing w:line="262" w:lineRule="auto"/>
        <w:ind w:firstLine="422" w:firstLineChars="200"/>
        <w:rPr>
          <w:rFonts w:ascii="宋体" w:hAnsi="宋体" w:cs="宋体"/>
          <w:b/>
          <w:szCs w:val="21"/>
        </w:rPr>
      </w:pPr>
      <w:r>
        <w:rPr>
          <w:rFonts w:hint="eastAsia" w:ascii="宋体" w:hAnsi="宋体" w:cs="宋体"/>
          <w:b/>
          <w:szCs w:val="21"/>
        </w:rPr>
        <w:t>5.1供应商在投标时，须按采购文件的要求交纳投标保证金（部分项目不须要交，请看采购公告）。</w:t>
      </w:r>
    </w:p>
    <w:p>
      <w:pPr>
        <w:spacing w:line="262" w:lineRule="auto"/>
        <w:ind w:firstLine="420" w:firstLineChars="200"/>
        <w:rPr>
          <w:rFonts w:ascii="宋体" w:hAnsi="宋体" w:cs="宋体"/>
          <w:szCs w:val="21"/>
        </w:rPr>
      </w:pPr>
      <w:r>
        <w:rPr>
          <w:rFonts w:hint="eastAsia" w:ascii="宋体" w:hAnsi="宋体" w:cs="宋体"/>
          <w:szCs w:val="21"/>
        </w:rPr>
        <w:t>采购文件要求供应商交纳保证金的，供应商应当及时提交。对于未按要求及时提交保证金的询价响应文件，</w:t>
      </w:r>
      <w:r>
        <w:rPr>
          <w:rFonts w:hint="eastAsia" w:ascii="宋体" w:hAnsi="宋体" w:cs="宋体"/>
          <w:b/>
          <w:szCs w:val="21"/>
        </w:rPr>
        <w:t>将被视为无效文件而予以拒绝</w:t>
      </w:r>
      <w:r>
        <w:rPr>
          <w:rFonts w:hint="eastAsia" w:ascii="宋体" w:hAnsi="宋体" w:cs="宋体"/>
          <w:szCs w:val="21"/>
        </w:rPr>
        <w:t>。联合体以一方名义提交保证金的，对联合体各方均具有约束力。</w:t>
      </w:r>
    </w:p>
    <w:p>
      <w:pPr>
        <w:spacing w:line="262" w:lineRule="auto"/>
        <w:ind w:firstLine="420" w:firstLineChars="200"/>
        <w:rPr>
          <w:rFonts w:ascii="宋体" w:hAnsi="宋体" w:cs="宋体"/>
          <w:szCs w:val="21"/>
        </w:rPr>
      </w:pPr>
      <w:r>
        <w:rPr>
          <w:rFonts w:hint="eastAsia" w:ascii="宋体" w:hAnsi="宋体" w:cs="宋体"/>
          <w:szCs w:val="21"/>
        </w:rPr>
        <w:t>5.2投标保证金应当及时退还（无息退还）。供应商应及时向携手阳光公司办理退还手续（提供账户信息、收据等。成交供应商须已如数缴纳履约保证金），否视为因供应商自身原因导致无法及时退还。</w:t>
      </w:r>
    </w:p>
    <w:p>
      <w:pPr>
        <w:spacing w:line="262" w:lineRule="auto"/>
        <w:ind w:firstLine="422" w:firstLineChars="200"/>
        <w:rPr>
          <w:rFonts w:ascii="宋体" w:hAnsi="宋体" w:cs="宋体"/>
          <w:szCs w:val="21"/>
        </w:rPr>
      </w:pPr>
      <w:r>
        <w:rPr>
          <w:rFonts w:hint="eastAsia" w:ascii="宋体" w:hAnsi="宋体" w:cs="宋体"/>
          <w:b/>
          <w:szCs w:val="21"/>
        </w:rPr>
        <w:t>5.3有下列情形之一的，保证金不予退还</w:t>
      </w:r>
      <w:r>
        <w:rPr>
          <w:rFonts w:hint="eastAsia" w:ascii="宋体" w:hAnsi="宋体" w:cs="宋体"/>
          <w:szCs w:val="21"/>
        </w:rPr>
        <w:t>（预定的损害赔偿而非罚款。全额赔偿给携手阳光公司）：</w:t>
      </w:r>
      <w:r>
        <w:rPr>
          <w:rFonts w:hint="eastAsia" w:ascii="宋体" w:hAnsi="宋体" w:cs="宋体"/>
          <w:szCs w:val="21"/>
        </w:rPr>
        <w:br w:type="textWrapping"/>
      </w:r>
      <w:r>
        <w:rPr>
          <w:rFonts w:hint="eastAsia" w:ascii="宋体" w:hAnsi="宋体" w:cs="宋体"/>
          <w:szCs w:val="21"/>
        </w:rPr>
        <w:t>　　（一）供应商在提交响应文件截止时间后撤回响应文件的；</w:t>
      </w:r>
      <w:r>
        <w:rPr>
          <w:rFonts w:hint="eastAsia" w:ascii="宋体" w:hAnsi="宋体" w:cs="宋体"/>
          <w:szCs w:val="21"/>
        </w:rPr>
        <w:br w:type="textWrapping"/>
      </w:r>
      <w:r>
        <w:rPr>
          <w:rFonts w:hint="eastAsia" w:ascii="宋体" w:hAnsi="宋体" w:cs="宋体"/>
          <w:szCs w:val="21"/>
        </w:rPr>
        <w:t>　　（二）供应商在响应文件中提供虚假材料的；</w:t>
      </w:r>
      <w:r>
        <w:rPr>
          <w:rFonts w:hint="eastAsia" w:ascii="宋体" w:hAnsi="宋体" w:cs="宋体"/>
          <w:szCs w:val="21"/>
        </w:rPr>
        <w:br w:type="textWrapping"/>
      </w:r>
      <w:r>
        <w:rPr>
          <w:rFonts w:hint="eastAsia" w:ascii="宋体" w:hAnsi="宋体" w:cs="宋体"/>
          <w:szCs w:val="21"/>
        </w:rPr>
        <w:t>　　（三）除因不可抗力或招标文件认可的情形以外，成交供应商不与采购人签订合同的；</w:t>
      </w:r>
      <w:r>
        <w:rPr>
          <w:rFonts w:hint="eastAsia" w:ascii="宋体" w:hAnsi="宋体" w:cs="宋体"/>
          <w:szCs w:val="21"/>
        </w:rPr>
        <w:br w:type="textWrapping"/>
      </w:r>
      <w:r>
        <w:rPr>
          <w:rFonts w:hint="eastAsia" w:ascii="宋体" w:hAnsi="宋体" w:cs="宋体"/>
          <w:szCs w:val="21"/>
        </w:rPr>
        <w:t>　　（四）供应商与采购人、其他供应商或者采购代理机构恶意串通的；</w:t>
      </w:r>
      <w:r>
        <w:rPr>
          <w:rFonts w:hint="eastAsia" w:ascii="宋体" w:hAnsi="宋体" w:cs="宋体"/>
          <w:szCs w:val="21"/>
        </w:rPr>
        <w:br w:type="textWrapping"/>
      </w:r>
      <w:r>
        <w:rPr>
          <w:rFonts w:hint="eastAsia" w:ascii="宋体" w:hAnsi="宋体" w:cs="宋体"/>
          <w:szCs w:val="21"/>
        </w:rPr>
        <w:t>　　（五）采购文件规定的其他情形</w:t>
      </w:r>
      <w:r>
        <w:rPr>
          <w:rFonts w:hint="eastAsia" w:ascii="宋体" w:hAnsi="宋体" w:cs="宋体"/>
          <w:b/>
          <w:szCs w:val="21"/>
        </w:rPr>
        <w:t>：</w:t>
      </w:r>
    </w:p>
    <w:p>
      <w:pPr>
        <w:spacing w:line="262" w:lineRule="auto"/>
        <w:ind w:firstLine="420" w:firstLineChars="200"/>
        <w:rPr>
          <w:rFonts w:ascii="宋体" w:hAnsi="宋体" w:cs="宋体"/>
          <w:szCs w:val="21"/>
        </w:rPr>
      </w:pPr>
      <w:r>
        <w:rPr>
          <w:rFonts w:hint="eastAsia" w:ascii="宋体" w:hAnsi="宋体" w:cs="宋体"/>
          <w:szCs w:val="21"/>
        </w:rPr>
        <w:t>（1）供应商报名后未参加投标的或在招标过程中无正当理由退出招标活动的；</w:t>
      </w:r>
    </w:p>
    <w:p>
      <w:pPr>
        <w:spacing w:line="262" w:lineRule="auto"/>
        <w:ind w:firstLine="420" w:firstLineChars="200"/>
        <w:rPr>
          <w:rFonts w:ascii="宋体" w:hAnsi="宋体" w:cs="宋体"/>
          <w:szCs w:val="21"/>
        </w:rPr>
      </w:pPr>
      <w:r>
        <w:rPr>
          <w:rFonts w:hint="eastAsia" w:ascii="宋体" w:hAnsi="宋体" w:cs="宋体"/>
          <w:szCs w:val="21"/>
        </w:rPr>
        <w:t>（2）供应商提供的有关资料（含质疑材料）不真实或</w:t>
      </w:r>
      <w:r>
        <w:rPr>
          <w:rFonts w:hint="eastAsia" w:ascii="宋体" w:hAnsi="宋体" w:cs="宋体"/>
          <w:kern w:val="0"/>
          <w:szCs w:val="21"/>
        </w:rPr>
        <w:t>以非法手段取得。</w:t>
      </w:r>
    </w:p>
    <w:p>
      <w:pPr>
        <w:spacing w:line="262" w:lineRule="auto"/>
        <w:ind w:firstLine="420" w:firstLineChars="200"/>
        <w:rPr>
          <w:rFonts w:ascii="宋体" w:hAnsi="宋体" w:cs="宋体"/>
          <w:szCs w:val="21"/>
        </w:rPr>
      </w:pPr>
      <w:r>
        <w:rPr>
          <w:rFonts w:hint="eastAsia" w:ascii="宋体" w:hAnsi="宋体" w:cs="宋体"/>
          <w:szCs w:val="21"/>
        </w:rPr>
        <w:t>（3）成交供应商在规定期限内未能根据规定交纳代理服务费、履约保证金的。</w:t>
      </w:r>
    </w:p>
    <w:p>
      <w:pPr>
        <w:spacing w:line="262" w:lineRule="auto"/>
        <w:ind w:firstLine="420" w:firstLineChars="200"/>
        <w:rPr>
          <w:rFonts w:ascii="宋体" w:hAnsi="宋体" w:cs="宋体"/>
          <w:szCs w:val="21"/>
        </w:rPr>
      </w:pPr>
      <w:r>
        <w:rPr>
          <w:rFonts w:hint="eastAsia" w:ascii="宋体" w:hAnsi="宋体" w:cs="宋体"/>
          <w:szCs w:val="21"/>
        </w:rPr>
        <w:t>（六）法律、法规规定的其他情况。</w:t>
      </w:r>
    </w:p>
    <w:p>
      <w:pPr>
        <w:spacing w:line="262" w:lineRule="auto"/>
        <w:jc w:val="center"/>
        <w:outlineLvl w:val="1"/>
        <w:rPr>
          <w:rFonts w:ascii="宋体" w:hAnsi="宋体" w:cs="宋体"/>
          <w:b/>
          <w:szCs w:val="21"/>
        </w:rPr>
      </w:pPr>
      <w:bookmarkStart w:id="85" w:name="_Hlt26954749"/>
      <w:bookmarkEnd w:id="85"/>
      <w:bookmarkStart w:id="86" w:name="_Hlt26954850"/>
      <w:bookmarkEnd w:id="86"/>
      <w:bookmarkStart w:id="87" w:name="_Hlt26954854"/>
      <w:bookmarkEnd w:id="87"/>
      <w:bookmarkStart w:id="88" w:name="_Hlt26954739"/>
      <w:bookmarkEnd w:id="88"/>
      <w:bookmarkStart w:id="89" w:name="_Hlt26954852"/>
      <w:bookmarkEnd w:id="89"/>
      <w:bookmarkStart w:id="90" w:name="_Hlt26670489"/>
      <w:bookmarkEnd w:id="90"/>
      <w:bookmarkStart w:id="91" w:name="_Hlt26954734"/>
      <w:bookmarkEnd w:id="91"/>
      <w:bookmarkStart w:id="92" w:name="_Hlt26670493"/>
      <w:bookmarkEnd w:id="92"/>
      <w:bookmarkStart w:id="93" w:name="_Toc61149562"/>
      <w:bookmarkStart w:id="94" w:name="_Toc14577362"/>
      <w:bookmarkStart w:id="95" w:name="_Toc513029224"/>
      <w:bookmarkStart w:id="96" w:name="_Toc28171"/>
      <w:r>
        <w:rPr>
          <w:rFonts w:hint="eastAsia" w:ascii="宋体" w:hAnsi="宋体" w:cs="宋体"/>
          <w:b/>
          <w:szCs w:val="21"/>
        </w:rPr>
        <w:t>三、招标响应文件的</w:t>
      </w:r>
      <w:bookmarkEnd w:id="93"/>
      <w:bookmarkEnd w:id="94"/>
      <w:bookmarkEnd w:id="95"/>
      <w:r>
        <w:rPr>
          <w:rFonts w:hint="eastAsia" w:ascii="宋体" w:hAnsi="宋体" w:cs="宋体"/>
          <w:b/>
          <w:szCs w:val="21"/>
        </w:rPr>
        <w:t>密封、递交</w:t>
      </w:r>
      <w:bookmarkEnd w:id="96"/>
    </w:p>
    <w:p>
      <w:pPr>
        <w:spacing w:line="262" w:lineRule="auto"/>
        <w:ind w:firstLine="422" w:firstLineChars="200"/>
        <w:rPr>
          <w:rFonts w:ascii="宋体" w:hAnsi="宋体" w:cs="宋体"/>
          <w:b/>
          <w:szCs w:val="21"/>
        </w:rPr>
      </w:pPr>
      <w:bookmarkStart w:id="97" w:name="_Hlt26954856"/>
      <w:bookmarkEnd w:id="97"/>
      <w:bookmarkStart w:id="98" w:name="_Toc462564084"/>
      <w:bookmarkStart w:id="99" w:name="_Toc14577363"/>
      <w:bookmarkStart w:id="100" w:name="_Toc61149563"/>
      <w:bookmarkStart w:id="101" w:name="_Toc513029225"/>
      <w:r>
        <w:rPr>
          <w:rFonts w:hint="eastAsia" w:ascii="宋体" w:hAnsi="宋体" w:cs="宋体"/>
          <w:b/>
          <w:szCs w:val="21"/>
        </w:rPr>
        <w:t>1、响应文件</w:t>
      </w:r>
      <w:bookmarkStart w:id="102" w:name="_Hlt26954743"/>
      <w:bookmarkEnd w:id="102"/>
      <w:r>
        <w:rPr>
          <w:rFonts w:hint="eastAsia" w:ascii="宋体" w:hAnsi="宋体" w:cs="宋体"/>
          <w:b/>
          <w:szCs w:val="21"/>
        </w:rPr>
        <w:t>的密封</w:t>
      </w:r>
      <w:bookmarkEnd w:id="98"/>
      <w:bookmarkEnd w:id="99"/>
      <w:bookmarkEnd w:id="100"/>
      <w:bookmarkEnd w:id="101"/>
      <w:r>
        <w:rPr>
          <w:rFonts w:hint="eastAsia" w:ascii="宋体" w:hAnsi="宋体" w:cs="宋体"/>
          <w:b/>
          <w:szCs w:val="21"/>
        </w:rPr>
        <w:t>、递交</w:t>
      </w:r>
    </w:p>
    <w:p>
      <w:pPr>
        <w:spacing w:line="262" w:lineRule="auto"/>
        <w:ind w:firstLine="420" w:firstLineChars="200"/>
        <w:rPr>
          <w:rFonts w:ascii="宋体" w:hAnsi="宋体" w:cs="宋体"/>
          <w:szCs w:val="21"/>
        </w:rPr>
      </w:pPr>
      <w:r>
        <w:rPr>
          <w:rFonts w:hint="eastAsia" w:ascii="宋体" w:hAnsi="宋体" w:cs="宋体"/>
          <w:szCs w:val="21"/>
        </w:rPr>
        <w:t>1.1供应商应当在招标文件要求的截止时间前，将响应文件密封（在不破坏外包装的情况下，无法直接取出响应文件即可）送达指定地点[按采购公告（采购邀请）中注明的地点及时送达]。在截止时间后送达的响应文件为无效文件，采购人、采购代理机构或者招标小组应当拒收。</w:t>
      </w:r>
    </w:p>
    <w:p>
      <w:pPr>
        <w:spacing w:line="262" w:lineRule="auto"/>
        <w:ind w:firstLine="420" w:firstLineChars="200"/>
        <w:rPr>
          <w:rFonts w:ascii="宋体" w:hAnsi="宋体" w:cs="宋体"/>
          <w:szCs w:val="21"/>
        </w:rPr>
      </w:pPr>
      <w:r>
        <w:rPr>
          <w:rFonts w:hint="eastAsia" w:ascii="宋体" w:hAnsi="宋体" w:cs="宋体"/>
          <w:szCs w:val="21"/>
        </w:rPr>
        <w:t>请供应商在密封包装上注明供应商名称、项目名称（编号）以及参加的分包号等相关信息，以便采购代理机构接受（识别）。</w:t>
      </w:r>
    </w:p>
    <w:p>
      <w:pPr>
        <w:spacing w:line="262" w:lineRule="auto"/>
        <w:ind w:firstLine="420" w:firstLineChars="200"/>
        <w:rPr>
          <w:rFonts w:ascii="宋体" w:hAnsi="宋体" w:cs="宋体"/>
          <w:szCs w:val="21"/>
        </w:rPr>
      </w:pPr>
      <w:r>
        <w:rPr>
          <w:rFonts w:hint="eastAsia" w:ascii="宋体" w:hAnsi="宋体" w:cs="宋体"/>
          <w:szCs w:val="21"/>
        </w:rPr>
        <w:t>1.2采购人、采购代理机构、招标小组对供应商误投或过早启封概不负责。</w:t>
      </w:r>
      <w:bookmarkStart w:id="103" w:name="_Hlt26670496"/>
      <w:bookmarkEnd w:id="103"/>
      <w:bookmarkStart w:id="104" w:name="_Hlt26954858"/>
      <w:bookmarkEnd w:id="104"/>
      <w:bookmarkStart w:id="105" w:name="_Hlt26954752"/>
      <w:bookmarkEnd w:id="105"/>
      <w:bookmarkStart w:id="106" w:name="_Toc14577364"/>
      <w:bookmarkStart w:id="107" w:name="_Toc61149564"/>
      <w:bookmarkStart w:id="108" w:name="_Toc513029226"/>
    </w:p>
    <w:p>
      <w:pPr>
        <w:spacing w:line="262" w:lineRule="auto"/>
        <w:ind w:firstLine="422" w:firstLineChars="200"/>
        <w:rPr>
          <w:rFonts w:ascii="宋体" w:hAnsi="宋体" w:cs="宋体"/>
          <w:b/>
          <w:szCs w:val="21"/>
        </w:rPr>
      </w:pPr>
      <w:r>
        <w:rPr>
          <w:rFonts w:hint="eastAsia" w:ascii="宋体" w:hAnsi="宋体" w:cs="宋体"/>
          <w:b/>
          <w:szCs w:val="21"/>
        </w:rPr>
        <w:t>2、</w:t>
      </w:r>
      <w:bookmarkEnd w:id="106"/>
      <w:bookmarkEnd w:id="107"/>
      <w:bookmarkEnd w:id="108"/>
      <w:r>
        <w:rPr>
          <w:rFonts w:hint="eastAsia" w:ascii="宋体" w:hAnsi="宋体" w:cs="宋体"/>
          <w:b/>
          <w:szCs w:val="21"/>
        </w:rPr>
        <w:t>采购人、采购代理机构或者招标小组顺延提交首次响应文件截止时间、地点的，供应商应当按新的（变更后）接收截止时间、地点为准（准时送达）。</w:t>
      </w:r>
    </w:p>
    <w:p>
      <w:pPr>
        <w:spacing w:line="262" w:lineRule="auto"/>
        <w:ind w:firstLine="422" w:firstLineChars="200"/>
        <w:rPr>
          <w:rFonts w:ascii="宋体" w:hAnsi="宋体" w:cs="宋体"/>
          <w:b/>
          <w:szCs w:val="21"/>
        </w:rPr>
      </w:pPr>
      <w:bookmarkStart w:id="109" w:name="_Toc61149565"/>
      <w:bookmarkStart w:id="110" w:name="_Toc14577365"/>
      <w:bookmarkStart w:id="111" w:name="_Toc513029227"/>
      <w:r>
        <w:rPr>
          <w:rFonts w:hint="eastAsia" w:ascii="宋体" w:hAnsi="宋体" w:cs="宋体"/>
          <w:b/>
          <w:szCs w:val="21"/>
        </w:rPr>
        <w:t>3、</w:t>
      </w:r>
      <w:bookmarkEnd w:id="109"/>
      <w:bookmarkEnd w:id="110"/>
      <w:bookmarkEnd w:id="111"/>
      <w:r>
        <w:rPr>
          <w:rFonts w:hint="eastAsia" w:ascii="宋体" w:hAnsi="宋体" w:cs="宋体"/>
          <w:b/>
          <w:szCs w:val="21"/>
        </w:rPr>
        <w:t>供应商撤回响应文件、退出招标</w:t>
      </w:r>
    </w:p>
    <w:p>
      <w:pPr>
        <w:spacing w:line="262" w:lineRule="auto"/>
        <w:ind w:firstLine="420" w:firstLineChars="200"/>
        <w:rPr>
          <w:rFonts w:ascii="宋体" w:hAnsi="宋体" w:cs="宋体"/>
          <w:szCs w:val="21"/>
        </w:rPr>
      </w:pPr>
      <w:r>
        <w:rPr>
          <w:rFonts w:hint="eastAsia" w:ascii="宋体" w:hAnsi="宋体" w:cs="宋体"/>
          <w:szCs w:val="21"/>
        </w:rPr>
        <w:t>3.1</w:t>
      </w:r>
      <w:bookmarkStart w:id="112" w:name="_Hlt26954754"/>
      <w:bookmarkEnd w:id="112"/>
      <w:bookmarkStart w:id="113" w:name="_Hlt26954862"/>
      <w:bookmarkEnd w:id="113"/>
      <w:r>
        <w:rPr>
          <w:rFonts w:hint="eastAsia" w:ascii="宋体" w:hAnsi="宋体" w:cs="宋体"/>
          <w:szCs w:val="21"/>
        </w:rPr>
        <w:t>供应商在提交响应文件截止时间后撤回响应文件的，</w:t>
      </w:r>
      <w:r>
        <w:rPr>
          <w:rFonts w:hint="eastAsia" w:ascii="宋体" w:hAnsi="宋体" w:cs="宋体"/>
          <w:b/>
          <w:szCs w:val="21"/>
        </w:rPr>
        <w:t>保证金不予退还。</w:t>
      </w:r>
    </w:p>
    <w:p>
      <w:pPr>
        <w:spacing w:line="262" w:lineRule="auto"/>
        <w:ind w:firstLine="420" w:firstLineChars="200"/>
        <w:rPr>
          <w:rFonts w:ascii="宋体" w:hAnsi="宋体" w:cs="宋体"/>
          <w:szCs w:val="21"/>
        </w:rPr>
      </w:pPr>
      <w:r>
        <w:rPr>
          <w:rFonts w:hint="eastAsia" w:ascii="宋体" w:hAnsi="宋体" w:cs="宋体"/>
          <w:szCs w:val="21"/>
        </w:rPr>
        <w:t>3.2供应商在提交最后报价之前，可以根据招标情况退出招标。但如无正当理由退出且造成在采购过程中符合竞争要求的供应商或者报价未超过采购预算的供应商不足3家的，</w:t>
      </w:r>
      <w:r>
        <w:rPr>
          <w:rFonts w:hint="eastAsia" w:ascii="宋体" w:hAnsi="宋体" w:cs="宋体"/>
          <w:b/>
          <w:szCs w:val="21"/>
        </w:rPr>
        <w:t>保证金不予退还。</w:t>
      </w:r>
    </w:p>
    <w:p>
      <w:pPr>
        <w:spacing w:line="262" w:lineRule="auto"/>
        <w:ind w:firstLine="422" w:firstLineChars="200"/>
        <w:rPr>
          <w:rFonts w:ascii="宋体" w:hAnsi="宋体" w:cs="宋体"/>
          <w:b/>
          <w:szCs w:val="21"/>
        </w:rPr>
      </w:pPr>
      <w:bookmarkStart w:id="114" w:name="_Toc513029228"/>
      <w:bookmarkStart w:id="115" w:name="_Toc14577366"/>
      <w:bookmarkStart w:id="116" w:name="_Toc61149566"/>
      <w:r>
        <w:rPr>
          <w:rFonts w:hint="eastAsia" w:ascii="宋体" w:hAnsi="宋体" w:cs="宋体"/>
          <w:b/>
          <w:szCs w:val="21"/>
        </w:rPr>
        <w:t>4、</w:t>
      </w:r>
      <w:bookmarkEnd w:id="114"/>
      <w:bookmarkEnd w:id="115"/>
      <w:bookmarkEnd w:id="116"/>
      <w:r>
        <w:rPr>
          <w:rFonts w:hint="eastAsia" w:ascii="宋体" w:hAnsi="宋体" w:cs="宋体"/>
          <w:b/>
          <w:szCs w:val="21"/>
        </w:rPr>
        <w:t>投标有效期（招标响应有效期）</w:t>
      </w:r>
    </w:p>
    <w:p>
      <w:pPr>
        <w:spacing w:line="262" w:lineRule="auto"/>
        <w:ind w:firstLine="420" w:firstLineChars="200"/>
        <w:rPr>
          <w:rFonts w:ascii="宋体" w:hAnsi="宋体" w:cs="宋体"/>
          <w:b/>
          <w:szCs w:val="21"/>
        </w:rPr>
      </w:pPr>
      <w:r>
        <w:rPr>
          <w:rFonts w:hint="eastAsia" w:ascii="宋体" w:hAnsi="宋体" w:cs="宋体"/>
          <w:szCs w:val="21"/>
        </w:rPr>
        <w:t>4.1投标有效期见</w:t>
      </w:r>
      <w:r>
        <w:rPr>
          <w:rFonts w:hint="eastAsia" w:ascii="宋体" w:hAnsi="宋体" w:cs="宋体"/>
          <w:szCs w:val="21"/>
          <w:u w:val="single"/>
        </w:rPr>
        <w:t>供应商须知资料表</w:t>
      </w:r>
      <w:r>
        <w:rPr>
          <w:rFonts w:hint="eastAsia" w:ascii="宋体" w:hAnsi="宋体" w:cs="宋体"/>
          <w:szCs w:val="21"/>
        </w:rPr>
        <w:t>，投标有效期比规定短的</w:t>
      </w:r>
      <w:r>
        <w:rPr>
          <w:rFonts w:hint="eastAsia" w:ascii="宋体" w:hAnsi="宋体" w:cs="宋体"/>
          <w:b/>
          <w:szCs w:val="21"/>
        </w:rPr>
        <w:t>将按无效文件处理。</w:t>
      </w:r>
    </w:p>
    <w:p>
      <w:pPr>
        <w:spacing w:line="262" w:lineRule="auto"/>
        <w:ind w:firstLine="420" w:firstLineChars="200"/>
        <w:rPr>
          <w:rFonts w:ascii="宋体" w:hAnsi="宋体" w:cs="宋体"/>
          <w:szCs w:val="21"/>
        </w:rPr>
      </w:pPr>
      <w:r>
        <w:rPr>
          <w:rFonts w:hint="eastAsia" w:ascii="宋体" w:hAnsi="宋体" w:cs="宋体"/>
          <w:szCs w:val="21"/>
        </w:rPr>
        <w:t>4.2为保证有充分时间签订合同，采购人或采购代理机构可根据实际情况，在原投标有效期截止之前，要求投标人延长投标文件的有效期。接受该要求的投标人将不会被要求和允许修正其投标，且本须知中有关保证金的要求须在延长的有效期内继续有效。投标人可以拒绝延长投标有效期的要求，其保证金将及时无息退还。上述要求和答复都应以书面形式提交。</w:t>
      </w:r>
    </w:p>
    <w:p>
      <w:pPr>
        <w:spacing w:line="262" w:lineRule="auto"/>
        <w:jc w:val="center"/>
        <w:outlineLvl w:val="1"/>
        <w:rPr>
          <w:rFonts w:ascii="宋体" w:hAnsi="宋体" w:cs="宋体"/>
          <w:b/>
          <w:szCs w:val="21"/>
        </w:rPr>
      </w:pPr>
      <w:bookmarkStart w:id="117" w:name="_Hlt26670523"/>
      <w:bookmarkEnd w:id="117"/>
      <w:bookmarkStart w:id="118" w:name="_Hlt26954864"/>
      <w:bookmarkEnd w:id="118"/>
      <w:bookmarkStart w:id="119" w:name="_Toc620"/>
      <w:r>
        <w:rPr>
          <w:rFonts w:hint="eastAsia" w:ascii="宋体" w:hAnsi="宋体" w:cs="宋体"/>
          <w:b/>
          <w:szCs w:val="21"/>
        </w:rPr>
        <w:t>四、招标与评审</w:t>
      </w:r>
      <w:bookmarkEnd w:id="119"/>
    </w:p>
    <w:p>
      <w:pPr>
        <w:spacing w:line="262" w:lineRule="auto"/>
        <w:ind w:firstLine="422" w:firstLineChars="200"/>
        <w:rPr>
          <w:rFonts w:ascii="宋体" w:hAnsi="宋体" w:cs="宋体"/>
          <w:b/>
          <w:szCs w:val="21"/>
        </w:rPr>
      </w:pPr>
      <w:bookmarkStart w:id="120" w:name="_Toc20823302"/>
      <w:bookmarkStart w:id="121" w:name="_Toc16938546"/>
      <w:bookmarkStart w:id="122" w:name="_Toc513029230"/>
      <w:r>
        <w:rPr>
          <w:rFonts w:hint="eastAsia" w:ascii="宋体" w:hAnsi="宋体" w:cs="宋体"/>
          <w:b/>
          <w:szCs w:val="21"/>
        </w:rPr>
        <w:t>1、</w:t>
      </w:r>
      <w:bookmarkEnd w:id="120"/>
      <w:bookmarkEnd w:id="121"/>
      <w:bookmarkEnd w:id="122"/>
      <w:bookmarkStart w:id="123" w:name="_Toc16938547"/>
      <w:bookmarkStart w:id="124" w:name="_Toc513029231"/>
      <w:bookmarkStart w:id="125" w:name="_Toc20823303"/>
      <w:r>
        <w:rPr>
          <w:rFonts w:hint="eastAsia" w:ascii="宋体" w:hAnsi="宋体" w:cs="宋体"/>
          <w:b/>
          <w:szCs w:val="21"/>
        </w:rPr>
        <w:t>采购人、采购代理机构将参照《政府采购法》等规定组织开展本次采购活动，任何单位和个人不得非法干预、影响评审过程和结果。</w:t>
      </w:r>
    </w:p>
    <w:p>
      <w:pPr>
        <w:spacing w:line="262" w:lineRule="auto"/>
        <w:ind w:firstLine="422" w:firstLineChars="200"/>
        <w:rPr>
          <w:rFonts w:ascii="宋体" w:hAnsi="宋体" w:cs="宋体"/>
          <w:b/>
          <w:szCs w:val="21"/>
        </w:rPr>
      </w:pPr>
      <w:r>
        <w:rPr>
          <w:rFonts w:hint="eastAsia" w:ascii="宋体" w:hAnsi="宋体" w:cs="宋体"/>
          <w:b/>
          <w:szCs w:val="21"/>
        </w:rPr>
        <w:t>2、招标小组</w:t>
      </w:r>
    </w:p>
    <w:p>
      <w:pPr>
        <w:spacing w:line="262" w:lineRule="auto"/>
        <w:ind w:firstLine="420" w:firstLineChars="200"/>
        <w:rPr>
          <w:rFonts w:ascii="宋体" w:hAnsi="宋体" w:cs="宋体"/>
          <w:szCs w:val="21"/>
        </w:rPr>
      </w:pPr>
      <w:r>
        <w:rPr>
          <w:rFonts w:hint="eastAsia" w:ascii="宋体" w:hAnsi="宋体" w:cs="宋体"/>
          <w:szCs w:val="21"/>
        </w:rPr>
        <w:t>竞争性招标小组由采购人代表和评审专家共3人以上单数组成，其中评审专家人数不得少于竞争性招标小组成员总数的2/3。</w:t>
      </w:r>
    </w:p>
    <w:p>
      <w:pPr>
        <w:spacing w:line="262" w:lineRule="auto"/>
        <w:ind w:firstLine="422" w:firstLineChars="200"/>
        <w:rPr>
          <w:rFonts w:ascii="宋体" w:hAnsi="宋体" w:cs="宋体"/>
          <w:b/>
          <w:szCs w:val="21"/>
        </w:rPr>
      </w:pPr>
      <w:r>
        <w:rPr>
          <w:rFonts w:hint="eastAsia" w:ascii="宋体" w:hAnsi="宋体" w:cs="宋体"/>
          <w:b/>
          <w:szCs w:val="21"/>
        </w:rPr>
        <w:t>3、评审过程的保密</w:t>
      </w:r>
      <w:bookmarkEnd w:id="123"/>
      <w:bookmarkEnd w:id="124"/>
      <w:bookmarkEnd w:id="125"/>
      <w:r>
        <w:rPr>
          <w:rFonts w:hint="eastAsia" w:ascii="宋体" w:hAnsi="宋体" w:cs="宋体"/>
          <w:b/>
          <w:szCs w:val="21"/>
        </w:rPr>
        <w:t>与公正</w:t>
      </w:r>
    </w:p>
    <w:p>
      <w:pPr>
        <w:spacing w:line="262" w:lineRule="auto"/>
        <w:ind w:firstLine="420" w:firstLineChars="200"/>
        <w:rPr>
          <w:rFonts w:ascii="宋体" w:hAnsi="宋体" w:cs="宋体"/>
          <w:szCs w:val="21"/>
        </w:rPr>
      </w:pPr>
      <w:r>
        <w:rPr>
          <w:rFonts w:hint="eastAsia" w:ascii="宋体" w:hAnsi="宋体" w:cs="宋体"/>
          <w:szCs w:val="21"/>
        </w:rPr>
        <w:t>3.1专家小组所有成员集中与单一供应商分别进行招标。在招标中，招标的任何一方不得透露与招标有关的其他供应商的技术资料、价格和其他信息。</w:t>
      </w:r>
    </w:p>
    <w:p>
      <w:pPr>
        <w:spacing w:line="262" w:lineRule="auto"/>
        <w:ind w:firstLine="420" w:firstLineChars="200"/>
        <w:rPr>
          <w:rFonts w:ascii="宋体" w:hAnsi="宋体" w:cs="宋体"/>
          <w:szCs w:val="21"/>
        </w:rPr>
      </w:pPr>
      <w:r>
        <w:rPr>
          <w:rFonts w:hint="eastAsia" w:ascii="宋体" w:hAnsi="宋体" w:cs="宋体"/>
          <w:szCs w:val="21"/>
        </w:rPr>
        <w:t>3.2在评审过程中，如果供应商试图向采购代理机构和参与评审的人员施加任何影响，都将会导致其招标响应文件被拒绝。</w:t>
      </w:r>
      <w:bookmarkStart w:id="126" w:name="_Toc513029232"/>
      <w:bookmarkStart w:id="127" w:name="_Toc20823304"/>
      <w:bookmarkStart w:id="128" w:name="_Toc16938548"/>
    </w:p>
    <w:p>
      <w:pPr>
        <w:spacing w:line="262" w:lineRule="auto"/>
        <w:ind w:firstLine="422" w:firstLineChars="200"/>
        <w:rPr>
          <w:rFonts w:ascii="宋体" w:hAnsi="宋体" w:cs="宋体"/>
          <w:b/>
          <w:szCs w:val="21"/>
        </w:rPr>
      </w:pPr>
      <w:r>
        <w:rPr>
          <w:rFonts w:hint="eastAsia" w:ascii="宋体" w:hAnsi="宋体" w:cs="宋体"/>
          <w:b/>
          <w:szCs w:val="21"/>
        </w:rPr>
        <w:t>4、资格审查、符合性审查</w:t>
      </w:r>
    </w:p>
    <w:p>
      <w:pPr>
        <w:spacing w:line="262" w:lineRule="auto"/>
        <w:ind w:firstLine="420" w:firstLineChars="200"/>
        <w:rPr>
          <w:rFonts w:ascii="宋体" w:hAnsi="宋体" w:cs="宋体"/>
          <w:szCs w:val="21"/>
        </w:rPr>
      </w:pPr>
      <w:r>
        <w:rPr>
          <w:rFonts w:hint="eastAsia" w:ascii="宋体" w:hAnsi="宋体" w:cs="宋体"/>
          <w:szCs w:val="21"/>
        </w:rPr>
        <w:t>4.1专家小组依据法律法规和采购文件的规定，对供应商的资格证明文件进行资格审查，以确定供应商是否</w:t>
      </w:r>
      <w:r>
        <w:rPr>
          <w:rFonts w:hint="eastAsia" w:ascii="宋体" w:hAnsi="宋体" w:cs="宋体"/>
          <w:spacing w:val="15"/>
          <w:kern w:val="0"/>
          <w:szCs w:val="21"/>
        </w:rPr>
        <w:t>符合相应的资格条件</w:t>
      </w:r>
      <w:r>
        <w:rPr>
          <w:rFonts w:hint="eastAsia" w:ascii="宋体" w:hAnsi="宋体" w:cs="宋体"/>
          <w:szCs w:val="21"/>
        </w:rPr>
        <w:t>。</w:t>
      </w:r>
    </w:p>
    <w:p>
      <w:pPr>
        <w:spacing w:line="262" w:lineRule="auto"/>
        <w:ind w:firstLine="420" w:firstLineChars="200"/>
        <w:rPr>
          <w:rFonts w:ascii="宋体" w:hAnsi="宋体" w:cs="宋体"/>
          <w:szCs w:val="21"/>
        </w:rPr>
      </w:pPr>
      <w:r>
        <w:rPr>
          <w:rFonts w:hint="eastAsia" w:ascii="宋体" w:hAnsi="宋体" w:cs="宋体"/>
          <w:szCs w:val="21"/>
        </w:rPr>
        <w:t>4.2招标小组依据法律法规和采购文件的规定，对供应商响应文件的有效性、完整性和响应程度进行审查。以确定供应商提供的产品质量和服务均能满足采购文件规定的实质性要求。</w:t>
      </w:r>
    </w:p>
    <w:p>
      <w:pPr>
        <w:spacing w:line="262" w:lineRule="auto"/>
        <w:ind w:firstLine="420" w:firstLineChars="200"/>
        <w:rPr>
          <w:rFonts w:ascii="宋体" w:hAnsi="宋体" w:cs="宋体"/>
          <w:szCs w:val="21"/>
        </w:rPr>
      </w:pPr>
      <w:r>
        <w:rPr>
          <w:rFonts w:hint="eastAsia" w:ascii="宋体" w:hAnsi="宋体" w:cs="宋体"/>
          <w:szCs w:val="21"/>
        </w:rPr>
        <w:t>实质性响应的招标响应文件应该是与采购文件要求的全部条款、条件和规格相符，没有重大负偏离或保留。所谓重大负偏离或保留是指与采购文件规定的实质性要求存在负偏离，或者在实质上与招标文件不一致，而且限制了合同中买方的权利或供应商的义务，纠正这些偏离或保留将会对其他实质性响应要求的供应商的竞争地位产生不公正的影响。重大偏离由招标小组按照少数服从多数的原则认定。招标小组决定响应文件的响应性只根据招标响应文件本身的内容，而不寻求外部的证据。</w:t>
      </w:r>
    </w:p>
    <w:p>
      <w:pPr>
        <w:spacing w:line="262" w:lineRule="auto"/>
        <w:ind w:firstLine="422" w:firstLineChars="200"/>
        <w:rPr>
          <w:rFonts w:ascii="宋体" w:hAnsi="宋体" w:cs="宋体"/>
          <w:b/>
          <w:szCs w:val="21"/>
        </w:rPr>
      </w:pPr>
      <w:r>
        <w:rPr>
          <w:rFonts w:hint="eastAsia" w:ascii="宋体" w:hAnsi="宋体" w:cs="宋体"/>
          <w:b/>
          <w:szCs w:val="21"/>
        </w:rPr>
        <w:t>4.3</w:t>
      </w:r>
      <w:r>
        <w:rPr>
          <w:rFonts w:hint="eastAsia" w:ascii="宋体" w:hAnsi="宋体" w:cs="宋体"/>
          <w:b/>
          <w:bCs/>
          <w:szCs w:val="21"/>
        </w:rPr>
        <w:t>供应商</w:t>
      </w:r>
      <w:r>
        <w:rPr>
          <w:rFonts w:hint="eastAsia" w:ascii="宋体" w:hAnsi="宋体" w:cs="宋体"/>
          <w:b/>
          <w:szCs w:val="21"/>
        </w:rPr>
        <w:t>存在不良信用记录的，其投标将被认定为</w:t>
      </w:r>
      <w:r>
        <w:rPr>
          <w:rFonts w:hint="eastAsia" w:ascii="宋体" w:hAnsi="宋体" w:cs="宋体"/>
          <w:b/>
          <w:bCs/>
          <w:szCs w:val="21"/>
        </w:rPr>
        <w:t>投标</w:t>
      </w:r>
      <w:r>
        <w:rPr>
          <w:rFonts w:hint="eastAsia" w:ascii="宋体" w:hAnsi="宋体" w:cs="宋体"/>
          <w:b/>
          <w:szCs w:val="21"/>
        </w:rPr>
        <w:t>（报价）</w:t>
      </w:r>
      <w:r>
        <w:rPr>
          <w:rFonts w:hint="eastAsia" w:ascii="宋体" w:hAnsi="宋体" w:cs="宋体"/>
          <w:b/>
          <w:bCs/>
          <w:szCs w:val="21"/>
        </w:rPr>
        <w:t>无效</w:t>
      </w:r>
      <w:r>
        <w:rPr>
          <w:rFonts w:hint="eastAsia" w:ascii="宋体" w:hAnsi="宋体" w:cs="宋体"/>
          <w:b/>
          <w:szCs w:val="21"/>
        </w:rPr>
        <w:t>。</w:t>
      </w:r>
    </w:p>
    <w:p>
      <w:pPr>
        <w:spacing w:line="262" w:lineRule="auto"/>
        <w:ind w:firstLine="420" w:firstLineChars="200"/>
        <w:rPr>
          <w:rFonts w:ascii="宋体" w:hAnsi="宋体" w:cs="宋体"/>
          <w:b/>
          <w:szCs w:val="21"/>
        </w:rPr>
      </w:pPr>
      <w:r>
        <w:rPr>
          <w:rFonts w:hint="eastAsia" w:ascii="宋体" w:hAnsi="宋体" w:cs="宋体"/>
          <w:szCs w:val="21"/>
        </w:rPr>
        <w:t>不良信用记录指：供应商在中国政府采购网（www.ccgp.gov.cn）被列入政府采购严重违法失信行为记录名单，或在“信用中国”网站（www.creditchina.gov.cn）被列入失信被执行人、重大税收违法案件当事人名单。以联合体形式参加投标的，联合体任何成员存在以上不良信用记录的，联合体投标将被认定为投标无效。</w:t>
      </w:r>
    </w:p>
    <w:p>
      <w:pPr>
        <w:spacing w:line="262" w:lineRule="auto"/>
        <w:ind w:firstLine="422" w:firstLineChars="200"/>
        <w:rPr>
          <w:rFonts w:ascii="宋体" w:hAnsi="宋体" w:cs="宋体"/>
          <w:b/>
          <w:szCs w:val="21"/>
        </w:rPr>
      </w:pPr>
      <w:r>
        <w:rPr>
          <w:rFonts w:hint="eastAsia" w:ascii="宋体" w:hAnsi="宋体" w:cs="宋体"/>
          <w:b/>
          <w:szCs w:val="21"/>
        </w:rPr>
        <w:t>4.4★被认定为未实质性响应招标文件的响应文件的情形</w:t>
      </w:r>
    </w:p>
    <w:p>
      <w:pPr>
        <w:spacing w:line="262" w:lineRule="auto"/>
        <w:ind w:firstLine="420" w:firstLineChars="200"/>
        <w:rPr>
          <w:rFonts w:ascii="宋体" w:hAnsi="宋体" w:cs="宋体"/>
          <w:szCs w:val="21"/>
        </w:rPr>
      </w:pPr>
      <w:r>
        <w:rPr>
          <w:rFonts w:hint="eastAsia" w:ascii="宋体" w:hAnsi="宋体" w:cs="宋体"/>
          <w:szCs w:val="21"/>
        </w:rPr>
        <w:t>（1）供应商未按要求交纳保证金的（限要求响应文件提交截止时间之前提交保证金的项目）；</w:t>
      </w:r>
    </w:p>
    <w:p>
      <w:pPr>
        <w:spacing w:line="262" w:lineRule="auto"/>
        <w:ind w:firstLine="420" w:firstLineChars="200"/>
        <w:rPr>
          <w:rFonts w:ascii="宋体" w:hAnsi="宋体" w:cs="宋体"/>
          <w:szCs w:val="21"/>
        </w:rPr>
      </w:pPr>
      <w:r>
        <w:rPr>
          <w:rFonts w:hint="eastAsia" w:ascii="宋体" w:hAnsi="宋体" w:cs="宋体"/>
          <w:szCs w:val="21"/>
        </w:rPr>
        <w:t>（2）供应商未按照招标文件规定要求密封、签署、盖章的；</w:t>
      </w:r>
    </w:p>
    <w:p>
      <w:pPr>
        <w:spacing w:line="262" w:lineRule="auto"/>
        <w:ind w:firstLine="420" w:firstLineChars="200"/>
        <w:rPr>
          <w:rFonts w:ascii="宋体" w:hAnsi="宋体" w:cs="宋体"/>
          <w:szCs w:val="21"/>
        </w:rPr>
      </w:pPr>
      <w:r>
        <w:rPr>
          <w:rFonts w:hint="eastAsia" w:ascii="宋体" w:hAnsi="宋体" w:cs="宋体"/>
          <w:szCs w:val="21"/>
        </w:rPr>
        <w:t>（3）供应商不符合招标文件中规定的供应商资格条件（要求）的；</w:t>
      </w:r>
    </w:p>
    <w:p>
      <w:pPr>
        <w:spacing w:line="262" w:lineRule="auto"/>
        <w:ind w:firstLine="420" w:firstLineChars="200"/>
        <w:rPr>
          <w:rFonts w:ascii="宋体" w:hAnsi="宋体" w:cs="宋体"/>
          <w:szCs w:val="21"/>
        </w:rPr>
      </w:pPr>
      <w:r>
        <w:rPr>
          <w:rFonts w:hint="eastAsia" w:ascii="宋体" w:hAnsi="宋体" w:cs="宋体"/>
          <w:szCs w:val="21"/>
        </w:rPr>
        <w:t>（4）投标有效期不符合采购文件要求的；</w:t>
      </w:r>
    </w:p>
    <w:p>
      <w:pPr>
        <w:spacing w:line="262" w:lineRule="auto"/>
        <w:ind w:firstLine="420" w:firstLineChars="200"/>
        <w:rPr>
          <w:rFonts w:ascii="宋体" w:hAnsi="宋体" w:cs="宋体"/>
          <w:szCs w:val="21"/>
        </w:rPr>
      </w:pPr>
      <w:r>
        <w:rPr>
          <w:rFonts w:hint="eastAsia" w:ascii="宋体" w:hAnsi="宋体" w:cs="宋体"/>
          <w:szCs w:val="21"/>
        </w:rPr>
        <w:t>（5）供应商在报价时（单次报价中）采用选择性报价；</w:t>
      </w:r>
    </w:p>
    <w:p>
      <w:pPr>
        <w:spacing w:line="262" w:lineRule="auto"/>
        <w:ind w:firstLine="420" w:firstLineChars="200"/>
        <w:rPr>
          <w:rFonts w:ascii="宋体" w:hAnsi="宋体" w:cs="宋体"/>
          <w:szCs w:val="21"/>
        </w:rPr>
      </w:pPr>
      <w:r>
        <w:rPr>
          <w:rFonts w:hint="eastAsia" w:ascii="宋体" w:hAnsi="宋体" w:cs="宋体"/>
          <w:szCs w:val="21"/>
        </w:rPr>
        <w:t>（6）供应商提供的产品质量和服务均没有满足采购文件规定的实质性要求；</w:t>
      </w:r>
    </w:p>
    <w:p>
      <w:pPr>
        <w:spacing w:line="262" w:lineRule="auto"/>
        <w:ind w:firstLine="420" w:firstLineChars="200"/>
        <w:rPr>
          <w:rFonts w:ascii="宋体" w:hAnsi="宋体" w:cs="宋体"/>
          <w:szCs w:val="21"/>
        </w:rPr>
      </w:pPr>
      <w:r>
        <w:rPr>
          <w:rFonts w:hint="eastAsia" w:ascii="宋体" w:hAnsi="宋体" w:cs="宋体"/>
          <w:szCs w:val="21"/>
        </w:rPr>
        <w:t>（7）供应商被 “信用中国”网站（www.creditchina.gov.cn）列入失信被执行人或重大税收违法案件当事人名单或政府采购严重失信行为记录名单；</w:t>
      </w:r>
    </w:p>
    <w:p>
      <w:pPr>
        <w:spacing w:line="262" w:lineRule="auto"/>
        <w:ind w:firstLine="420" w:firstLineChars="200"/>
        <w:rPr>
          <w:rFonts w:ascii="宋体" w:hAnsi="宋体" w:cs="宋体"/>
          <w:szCs w:val="21"/>
        </w:rPr>
      </w:pPr>
      <w:r>
        <w:rPr>
          <w:rFonts w:hint="eastAsia" w:ascii="宋体" w:hAnsi="宋体" w:cs="宋体"/>
          <w:szCs w:val="21"/>
        </w:rPr>
        <w:t>（8）出现法律、法规及本招标文件规定的属未实质性响应的响应文件的情形。</w:t>
      </w:r>
    </w:p>
    <w:p>
      <w:pPr>
        <w:spacing w:line="262" w:lineRule="auto"/>
        <w:ind w:firstLine="422" w:firstLineChars="200"/>
        <w:rPr>
          <w:rFonts w:ascii="宋体" w:hAnsi="宋体" w:cs="宋体"/>
          <w:b/>
          <w:szCs w:val="21"/>
        </w:rPr>
      </w:pPr>
      <w:r>
        <w:rPr>
          <w:rFonts w:hint="eastAsia" w:ascii="宋体" w:hAnsi="宋体" w:cs="宋体"/>
          <w:b/>
          <w:szCs w:val="21"/>
        </w:rPr>
        <w:t>5、评审过程的澄清</w:t>
      </w:r>
      <w:bookmarkEnd w:id="126"/>
      <w:bookmarkEnd w:id="127"/>
      <w:bookmarkEnd w:id="128"/>
      <w:r>
        <w:rPr>
          <w:rFonts w:hint="eastAsia" w:ascii="宋体" w:hAnsi="宋体" w:cs="宋体"/>
          <w:b/>
          <w:szCs w:val="21"/>
        </w:rPr>
        <w:t>、说明和更正</w:t>
      </w:r>
      <w:bookmarkStart w:id="129" w:name="_Toc20823305"/>
      <w:bookmarkStart w:id="130" w:name="_Toc16938549"/>
      <w:bookmarkStart w:id="131" w:name="_Toc513029233"/>
    </w:p>
    <w:p>
      <w:pPr>
        <w:spacing w:line="262" w:lineRule="auto"/>
        <w:ind w:firstLine="420" w:firstLineChars="200"/>
        <w:rPr>
          <w:rFonts w:ascii="宋体" w:hAnsi="宋体" w:cs="宋体"/>
          <w:szCs w:val="21"/>
        </w:rPr>
      </w:pPr>
      <w:r>
        <w:rPr>
          <w:rFonts w:hint="eastAsia" w:ascii="宋体" w:hAnsi="宋体" w:cs="宋体"/>
          <w:szCs w:val="21"/>
        </w:rPr>
        <w:t>5.1专家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b/>
          <w:szCs w:val="21"/>
        </w:rPr>
        <w:t>招标小组要求供应商澄清、说明或者更正响应文件应当以书面形式作出。</w:t>
      </w:r>
      <w:r>
        <w:rPr>
          <w:rFonts w:hint="eastAsia" w:ascii="宋体" w:hAnsi="宋体" w:cs="宋体"/>
          <w:szCs w:val="21"/>
        </w:rPr>
        <w:t>接到招标小组要求（采购机构工作人员传达）的供应商应派人按招标小组通知的时间和地点做出澄清、说明或更正。供应商的澄清、说明或者更正应当由法定代表人或其授权代表签字或者加盖公章。由授权代表签字的，应当附法定代表人授权书。供应商为自然人的，应当由本人签字并附身份证明。</w:t>
      </w:r>
    </w:p>
    <w:p>
      <w:pPr>
        <w:spacing w:line="262" w:lineRule="auto"/>
        <w:ind w:firstLine="420" w:firstLineChars="200"/>
        <w:rPr>
          <w:rFonts w:ascii="宋体" w:hAnsi="宋体" w:cs="宋体"/>
          <w:szCs w:val="21"/>
        </w:rPr>
      </w:pPr>
      <w:r>
        <w:rPr>
          <w:rFonts w:hint="eastAsia" w:ascii="宋体" w:hAnsi="宋体" w:cs="宋体"/>
          <w:szCs w:val="21"/>
        </w:rPr>
        <w:t>5.3 接到招标小组澄清要求的供应商如未按规定做出澄清、说明或者更正的，其风险自行承担。</w:t>
      </w:r>
      <w:bookmarkEnd w:id="129"/>
      <w:bookmarkEnd w:id="130"/>
      <w:bookmarkEnd w:id="131"/>
    </w:p>
    <w:p>
      <w:pPr>
        <w:spacing w:line="262" w:lineRule="auto"/>
        <w:ind w:firstLine="422" w:firstLineChars="200"/>
        <w:rPr>
          <w:rFonts w:ascii="宋体" w:hAnsi="宋体" w:cs="宋体"/>
          <w:b/>
          <w:szCs w:val="21"/>
        </w:rPr>
      </w:pPr>
      <w:bookmarkStart w:id="132" w:name="_Toc20823306"/>
      <w:bookmarkStart w:id="133" w:name="_Toc513029234"/>
      <w:bookmarkStart w:id="134" w:name="_Toc16938550"/>
      <w:r>
        <w:rPr>
          <w:rFonts w:hint="eastAsia" w:ascii="宋体" w:hAnsi="宋体" w:cs="宋体"/>
          <w:b/>
          <w:szCs w:val="21"/>
        </w:rPr>
        <w:t>6、</w:t>
      </w:r>
      <w:bookmarkEnd w:id="132"/>
      <w:bookmarkEnd w:id="133"/>
      <w:bookmarkEnd w:id="134"/>
      <w:r>
        <w:rPr>
          <w:rFonts w:hint="eastAsia" w:ascii="宋体" w:hAnsi="宋体" w:cs="宋体"/>
          <w:b/>
          <w:szCs w:val="21"/>
        </w:rPr>
        <w:t>招标程序及成交原则</w:t>
      </w:r>
      <w:bookmarkStart w:id="135" w:name="_Toc20823307"/>
      <w:bookmarkStart w:id="136" w:name="_Toc513029235"/>
      <w:bookmarkStart w:id="137" w:name="_Toc16938551"/>
    </w:p>
    <w:p>
      <w:pPr>
        <w:spacing w:line="262" w:lineRule="auto"/>
        <w:ind w:firstLine="420" w:firstLineChars="200"/>
        <w:rPr>
          <w:rFonts w:ascii="宋体" w:hAnsi="宋体" w:cs="宋体"/>
          <w:szCs w:val="21"/>
        </w:rPr>
      </w:pPr>
      <w:r>
        <w:rPr>
          <w:rFonts w:hint="eastAsia" w:ascii="宋体" w:hAnsi="宋体" w:cs="宋体"/>
          <w:szCs w:val="21"/>
        </w:rPr>
        <w:t>6.1招标程序</w:t>
      </w:r>
    </w:p>
    <w:p>
      <w:pPr>
        <w:spacing w:line="262" w:lineRule="auto"/>
        <w:ind w:firstLine="420" w:firstLineChars="200"/>
        <w:rPr>
          <w:rFonts w:ascii="宋体" w:hAnsi="宋体" w:cs="宋体"/>
          <w:szCs w:val="21"/>
        </w:rPr>
      </w:pPr>
      <w:r>
        <w:rPr>
          <w:rFonts w:hint="eastAsia" w:ascii="宋体" w:hAnsi="宋体" w:cs="宋体"/>
          <w:szCs w:val="21"/>
        </w:rPr>
        <w:t>6.1.1对于通过资格性和符合性审查的供应商，招标小组所有成员将集中与单一供应商分别进行招标。</w:t>
      </w:r>
    </w:p>
    <w:p>
      <w:pPr>
        <w:spacing w:line="262" w:lineRule="auto"/>
        <w:ind w:firstLine="420" w:firstLineChars="200"/>
        <w:rPr>
          <w:rFonts w:ascii="宋体" w:hAnsi="宋体" w:cs="宋体"/>
          <w:szCs w:val="21"/>
        </w:rPr>
      </w:pPr>
      <w:r>
        <w:rPr>
          <w:rFonts w:hint="eastAsia" w:ascii="宋体" w:hAnsi="宋体" w:cs="宋体"/>
          <w:szCs w:val="21"/>
        </w:rPr>
        <w:t>在招标过程中，招标小组可能根据招标文件和招标情况实质性变动的内容有：</w:t>
      </w:r>
      <w:r>
        <w:rPr>
          <w:rFonts w:hint="eastAsia" w:ascii="宋体" w:hAnsi="宋体" w:cs="宋体"/>
          <w:b/>
          <w:szCs w:val="21"/>
        </w:rPr>
        <w:t>采购需求中的技术、服务要求以及合同草案条款。</w:t>
      </w:r>
      <w:r>
        <w:rPr>
          <w:rFonts w:hint="eastAsia" w:ascii="宋体" w:hAnsi="宋体" w:cs="宋体"/>
          <w:szCs w:val="21"/>
        </w:rPr>
        <w:t>对招标文件作出的实质性变动是招标文件的有效组成部分，招标小组将以书面形式同时通知所有参加招标的供应商。供应商应当按照招标文件的变动情况和招标小组的要求重新提交响应文件，并由其法定代表人或授权代表签字或者加盖公章。</w:t>
      </w:r>
    </w:p>
    <w:p>
      <w:pPr>
        <w:spacing w:line="262" w:lineRule="auto"/>
        <w:ind w:firstLine="420" w:firstLineChars="200"/>
        <w:rPr>
          <w:rFonts w:ascii="宋体" w:hAnsi="宋体" w:cs="宋体"/>
          <w:szCs w:val="21"/>
        </w:rPr>
      </w:pPr>
      <w:r>
        <w:rPr>
          <w:rFonts w:hint="eastAsia" w:ascii="宋体" w:hAnsi="宋体" w:cs="宋体"/>
          <w:szCs w:val="21"/>
        </w:rPr>
        <w:t xml:space="preserve"> 6.1.2招标文件能够详细列明采购标的的技术、服务要求的，招标结束后，招标小组将要求所有实质性响应的供应商在规定时间内提交最后报价。</w:t>
      </w:r>
    </w:p>
    <w:p>
      <w:pPr>
        <w:spacing w:line="262" w:lineRule="auto"/>
        <w:ind w:firstLine="420" w:firstLineChars="200"/>
        <w:rPr>
          <w:rFonts w:ascii="宋体" w:hAnsi="宋体" w:cs="宋体"/>
          <w:szCs w:val="21"/>
        </w:rPr>
      </w:pPr>
      <w:r>
        <w:rPr>
          <w:rFonts w:hint="eastAsia" w:ascii="宋体" w:hAnsi="宋体" w:cs="宋体"/>
          <w:szCs w:val="21"/>
        </w:rPr>
        <w:t>招标文件不能详细列明采购标的的技术、服务要求，需经招标由供应商提供最终设计方案或解决方案的，招标结束后，招标小组将按照少数服从多数的原则投票推荐2家以上供应商的设计方案或者解决方案，并要求其在规定时间内提交最后报价。</w:t>
      </w:r>
    </w:p>
    <w:p>
      <w:pPr>
        <w:spacing w:line="262" w:lineRule="auto"/>
        <w:ind w:firstLine="420" w:firstLineChars="200"/>
        <w:rPr>
          <w:rFonts w:ascii="宋体" w:hAnsi="宋体" w:cs="宋体"/>
          <w:szCs w:val="21"/>
        </w:rPr>
      </w:pPr>
      <w:r>
        <w:rPr>
          <w:rFonts w:hint="eastAsia" w:ascii="宋体" w:hAnsi="宋体" w:cs="宋体"/>
          <w:szCs w:val="21"/>
        </w:rPr>
        <w:t>最后报价是供应商响应文件的有效组成部分。</w:t>
      </w:r>
    </w:p>
    <w:p>
      <w:pPr>
        <w:spacing w:line="262" w:lineRule="auto"/>
        <w:ind w:firstLine="420" w:firstLineChars="200"/>
        <w:rPr>
          <w:rFonts w:ascii="宋体" w:hAnsi="宋体" w:cs="宋体"/>
          <w:szCs w:val="21"/>
        </w:rPr>
      </w:pPr>
      <w:r>
        <w:rPr>
          <w:rFonts w:hint="eastAsia" w:ascii="宋体" w:hAnsi="宋体" w:cs="宋体"/>
          <w:szCs w:val="21"/>
        </w:rPr>
        <w:t>6.1.3供应商未在招标小组规定的时间内完成最后报价的视为放弃招标，其招标响应按无效响应处理。最后报价须由供应商法定代表人或授权代表签字或者加盖公章。已提交响应文件的供应商，在提交最后报价之前，可以根据招标情况退出招标。</w:t>
      </w:r>
    </w:p>
    <w:p>
      <w:pPr>
        <w:spacing w:line="262" w:lineRule="auto"/>
        <w:ind w:firstLine="420" w:firstLineChars="200"/>
        <w:rPr>
          <w:rFonts w:ascii="宋体" w:hAnsi="宋体" w:cs="宋体"/>
          <w:szCs w:val="21"/>
        </w:rPr>
      </w:pPr>
      <w:r>
        <w:rPr>
          <w:rFonts w:hint="eastAsia" w:ascii="宋体" w:hAnsi="宋体" w:cs="宋体"/>
          <w:szCs w:val="21"/>
        </w:rPr>
        <w:t>6.1.4 各供应商最后报价结束后,如招标小组认为最后最低的供应商的报价明显低于其自身成本，涉嫌恶意竞争，有可能影响商品质量和不能诚信履约的，则有权要求其在接到通知半小时内提供书面文件予以说明理由，并提交相关证明材料（请在递交报价文件时一同携带相关证明材料原件）。若该供应商拒绝说明或未在规定期限内提供书面说明，或虽有书面说明但仍无法证明其报价合理性的，则招标小组有权取消其招标成交资格（</w:t>
      </w:r>
      <w:r>
        <w:rPr>
          <w:rFonts w:hint="eastAsia" w:ascii="宋体" w:hAnsi="宋体" w:cs="宋体"/>
          <w:kern w:val="0"/>
          <w:szCs w:val="21"/>
        </w:rPr>
        <w:t>将其作为无效投标处理。</w:t>
      </w:r>
      <w:r>
        <w:rPr>
          <w:rFonts w:hint="eastAsia" w:ascii="宋体" w:hAnsi="宋体" w:cs="宋体"/>
          <w:szCs w:val="21"/>
        </w:rPr>
        <w:t>本采购文件约定条款），按顺序由最后报价次低的供应商递补，以此类推。</w:t>
      </w:r>
    </w:p>
    <w:p>
      <w:pPr>
        <w:spacing w:line="262" w:lineRule="auto"/>
        <w:ind w:firstLine="422" w:firstLineChars="200"/>
        <w:rPr>
          <w:rFonts w:ascii="宋体" w:hAnsi="宋体" w:cs="宋体"/>
          <w:b/>
          <w:szCs w:val="21"/>
        </w:rPr>
      </w:pPr>
      <w:r>
        <w:rPr>
          <w:rFonts w:hint="eastAsia" w:ascii="宋体" w:hAnsi="宋体" w:cs="宋体"/>
          <w:b/>
          <w:szCs w:val="21"/>
        </w:rPr>
        <w:t>6.2 成交原则</w:t>
      </w:r>
    </w:p>
    <w:p>
      <w:pPr>
        <w:spacing w:line="262" w:lineRule="auto"/>
        <w:ind w:firstLine="422" w:firstLineChars="200"/>
        <w:rPr>
          <w:rFonts w:ascii="宋体" w:hAnsi="宋体" w:cs="宋体"/>
          <w:b/>
          <w:szCs w:val="21"/>
        </w:rPr>
      </w:pPr>
      <w:r>
        <w:rPr>
          <w:rFonts w:hint="eastAsia" w:ascii="宋体" w:hAnsi="宋体" w:cs="宋体"/>
          <w:b/>
          <w:szCs w:val="21"/>
        </w:rPr>
        <w:t>专家小组应当从质量和服务（供应商提供的产品质量和服务）均能满足采购文件实质性响应要求的供应商中，按照最后报价由低到高的顺序（</w:t>
      </w:r>
      <w:r>
        <w:rPr>
          <w:rFonts w:hint="eastAsia" w:ascii="宋体" w:hAnsi="宋体" w:cs="宋体"/>
          <w:b/>
          <w:kern w:val="0"/>
          <w:szCs w:val="21"/>
        </w:rPr>
        <w:t>报价相同的并列</w:t>
      </w:r>
      <w:r>
        <w:rPr>
          <w:rFonts w:hint="eastAsia" w:ascii="宋体" w:hAnsi="宋体" w:cs="宋体"/>
          <w:b/>
          <w:szCs w:val="21"/>
        </w:rPr>
        <w:t>）提出成交候选人。</w:t>
      </w:r>
    </w:p>
    <w:p>
      <w:pPr>
        <w:spacing w:line="262" w:lineRule="auto"/>
        <w:ind w:firstLine="422" w:firstLineChars="200"/>
        <w:rPr>
          <w:rFonts w:ascii="宋体" w:hAnsi="宋体" w:cs="宋体"/>
          <w:b/>
          <w:szCs w:val="21"/>
        </w:rPr>
      </w:pPr>
      <w:r>
        <w:rPr>
          <w:rFonts w:hint="eastAsia" w:ascii="宋体" w:hAnsi="宋体" w:cs="宋体"/>
          <w:b/>
          <w:szCs w:val="21"/>
        </w:rPr>
        <w:t>6.3采购活动终止的情况</w:t>
      </w:r>
    </w:p>
    <w:p>
      <w:pPr>
        <w:spacing w:line="262" w:lineRule="auto"/>
        <w:ind w:firstLine="420" w:firstLineChars="200"/>
        <w:rPr>
          <w:rFonts w:ascii="宋体" w:hAnsi="宋体" w:cs="宋体"/>
          <w:szCs w:val="21"/>
        </w:rPr>
      </w:pPr>
      <w:r>
        <w:rPr>
          <w:rFonts w:hint="eastAsia" w:ascii="宋体" w:hAnsi="宋体" w:cs="宋体"/>
          <w:szCs w:val="21"/>
        </w:rPr>
        <w:t>出现下列情形之一的，采购人或者采购代理机构应当终止竞争性招标采购活动，发布项目终止公告并说明原因，重新开展采购活动：</w:t>
      </w:r>
    </w:p>
    <w:p>
      <w:pPr>
        <w:spacing w:line="262" w:lineRule="auto"/>
        <w:ind w:firstLine="420" w:firstLineChars="200"/>
        <w:rPr>
          <w:rFonts w:ascii="宋体" w:hAnsi="宋体" w:cs="宋体"/>
          <w:szCs w:val="21"/>
        </w:rPr>
      </w:pPr>
      <w:r>
        <w:rPr>
          <w:rFonts w:hint="eastAsia" w:ascii="宋体" w:hAnsi="宋体" w:cs="宋体"/>
          <w:szCs w:val="21"/>
        </w:rPr>
        <w:t>（一）因情况变化，不再符合规定的竞争性招标采购方式适用情形的；</w:t>
      </w:r>
    </w:p>
    <w:p>
      <w:pPr>
        <w:spacing w:line="262" w:lineRule="auto"/>
        <w:ind w:firstLine="420" w:firstLineChars="200"/>
        <w:rPr>
          <w:rFonts w:ascii="宋体" w:hAnsi="宋体" w:cs="宋体"/>
          <w:szCs w:val="21"/>
        </w:rPr>
      </w:pPr>
      <w:r>
        <w:rPr>
          <w:rFonts w:hint="eastAsia" w:ascii="宋体" w:hAnsi="宋体" w:cs="宋体"/>
          <w:szCs w:val="21"/>
        </w:rPr>
        <w:t>（二）出现影响采购公正的违法、违规行为的；</w:t>
      </w:r>
    </w:p>
    <w:bookmarkEnd w:id="135"/>
    <w:bookmarkEnd w:id="136"/>
    <w:bookmarkEnd w:id="137"/>
    <w:p>
      <w:pPr>
        <w:spacing w:line="262" w:lineRule="auto"/>
        <w:ind w:firstLine="420" w:firstLineChars="200"/>
        <w:rPr>
          <w:rFonts w:ascii="宋体" w:hAnsi="宋体" w:cs="宋体"/>
          <w:b/>
          <w:szCs w:val="21"/>
        </w:rPr>
      </w:pPr>
      <w:r>
        <w:rPr>
          <w:rFonts w:hint="eastAsia" w:ascii="宋体" w:hAnsi="宋体" w:cs="宋体"/>
          <w:szCs w:val="21"/>
        </w:rPr>
        <w:t>在采购过程中符合竞争要求的供应商或者报价未超过采购预算的供应商不足3家的，采购人可以终止采购活动，也可以按照“以合理的价格购买数量、质量合适的产品”的原则继续评审（须符合质优价廉，且价格低于市场平均价）。</w:t>
      </w:r>
    </w:p>
    <w:p>
      <w:pPr>
        <w:spacing w:line="262" w:lineRule="auto"/>
        <w:jc w:val="center"/>
        <w:outlineLvl w:val="1"/>
        <w:rPr>
          <w:rFonts w:ascii="宋体" w:hAnsi="宋体" w:cs="宋体"/>
          <w:b/>
          <w:szCs w:val="21"/>
        </w:rPr>
      </w:pPr>
      <w:bookmarkStart w:id="138" w:name="_Toc29738"/>
      <w:r>
        <w:rPr>
          <w:rFonts w:hint="eastAsia" w:ascii="宋体" w:hAnsi="宋体" w:cs="宋体"/>
          <w:b/>
          <w:szCs w:val="21"/>
        </w:rPr>
        <w:t>五、成交</w:t>
      </w:r>
      <w:bookmarkEnd w:id="138"/>
    </w:p>
    <w:p>
      <w:pPr>
        <w:spacing w:line="262" w:lineRule="auto"/>
        <w:ind w:firstLine="422" w:firstLineChars="200"/>
        <w:rPr>
          <w:rFonts w:ascii="宋体" w:hAnsi="宋体" w:cs="宋体"/>
          <w:b/>
          <w:szCs w:val="21"/>
        </w:rPr>
      </w:pPr>
      <w:bookmarkStart w:id="139" w:name="_Toc513029238"/>
      <w:bookmarkStart w:id="140" w:name="_Toc16938554"/>
      <w:bookmarkStart w:id="141" w:name="_Toc20823310"/>
      <w:r>
        <w:rPr>
          <w:rFonts w:hint="eastAsia" w:ascii="宋体" w:hAnsi="宋体" w:cs="宋体"/>
          <w:b/>
          <w:szCs w:val="21"/>
        </w:rPr>
        <w:t>1、</w:t>
      </w:r>
      <w:bookmarkEnd w:id="139"/>
      <w:r>
        <w:rPr>
          <w:rFonts w:hint="eastAsia" w:ascii="宋体" w:hAnsi="宋体" w:cs="宋体"/>
          <w:b/>
          <w:szCs w:val="21"/>
        </w:rPr>
        <w:t>确定</w:t>
      </w:r>
      <w:bookmarkEnd w:id="140"/>
      <w:bookmarkEnd w:id="141"/>
      <w:r>
        <w:rPr>
          <w:rFonts w:hint="eastAsia" w:ascii="宋体" w:hAnsi="宋体" w:cs="宋体"/>
          <w:b/>
          <w:szCs w:val="21"/>
        </w:rPr>
        <w:t>成交单位</w:t>
      </w:r>
    </w:p>
    <w:p>
      <w:pPr>
        <w:spacing w:line="262" w:lineRule="auto"/>
        <w:ind w:firstLine="420" w:firstLineChars="200"/>
        <w:rPr>
          <w:rFonts w:ascii="宋体" w:hAnsi="宋体" w:cs="宋体"/>
          <w:szCs w:val="21"/>
        </w:rPr>
      </w:pPr>
      <w:r>
        <w:rPr>
          <w:rFonts w:hint="eastAsia" w:ascii="宋体" w:hAnsi="宋体" w:cs="宋体"/>
          <w:szCs w:val="21"/>
        </w:rPr>
        <w:t>1.1招标小组应当从质量和服务均能满足采购文件实质性响应要求的供应商中，按照最后报价由低到高的顺序提出成交候选人，并编写评审报告。</w:t>
      </w:r>
    </w:p>
    <w:p>
      <w:pPr>
        <w:spacing w:line="262" w:lineRule="auto"/>
        <w:ind w:firstLine="420" w:firstLineChars="200"/>
        <w:rPr>
          <w:rFonts w:ascii="宋体" w:hAnsi="宋体" w:cs="宋体"/>
          <w:szCs w:val="21"/>
        </w:rPr>
      </w:pPr>
      <w:r>
        <w:rPr>
          <w:rFonts w:hint="eastAsia" w:ascii="宋体" w:hAnsi="宋体" w:cs="宋体"/>
          <w:szCs w:val="21"/>
        </w:rPr>
        <w:t>1.2采购代理机构应当在评审结束后2个工作日内将评审报告送采购人确认。</w:t>
      </w:r>
      <w:r>
        <w:rPr>
          <w:rFonts w:hint="eastAsia" w:ascii="宋体" w:hAnsi="宋体" w:cs="宋体"/>
          <w:szCs w:val="21"/>
        </w:rPr>
        <w:br w:type="textWrapping"/>
      </w:r>
      <w:r>
        <w:rPr>
          <w:rFonts w:hint="eastAsia" w:ascii="宋体" w:hAnsi="宋体" w:cs="宋体"/>
          <w:szCs w:val="21"/>
        </w:rPr>
        <w:t>　　采购人应当在收到评审报告后5个工作日内，从评审报告提出的成交候选人中，根据质量和服务均能满足采购文件实质性响应要求且最后报价最低的原则确定成交供应商（多种并列情形的，采购人将自行确定），也可以书面授权招标小组直接确定成交供应商。</w:t>
      </w:r>
    </w:p>
    <w:p>
      <w:pPr>
        <w:spacing w:line="262" w:lineRule="auto"/>
        <w:ind w:firstLine="420" w:firstLineChars="200"/>
        <w:rPr>
          <w:rFonts w:ascii="宋体" w:hAnsi="宋体" w:cs="宋体"/>
          <w:szCs w:val="21"/>
        </w:rPr>
      </w:pPr>
      <w:r>
        <w:rPr>
          <w:rFonts w:hint="eastAsia" w:ascii="宋体" w:hAnsi="宋体" w:cs="宋体"/>
          <w:szCs w:val="21"/>
        </w:rPr>
        <w:t>采购人确定成交供应商后，将以电子邮件等方式通知所有参加采购的供应商。</w:t>
      </w:r>
    </w:p>
    <w:p>
      <w:pPr>
        <w:spacing w:line="262" w:lineRule="auto"/>
        <w:ind w:firstLine="420" w:firstLineChars="200"/>
        <w:rPr>
          <w:rFonts w:ascii="宋体" w:hAnsi="宋体" w:cs="宋体"/>
          <w:szCs w:val="21"/>
        </w:rPr>
      </w:pPr>
      <w:r>
        <w:rPr>
          <w:rFonts w:hint="eastAsia" w:ascii="宋体" w:hAnsi="宋体" w:cs="宋体"/>
          <w:szCs w:val="21"/>
        </w:rPr>
        <w:t>1.3若有充分证据证明，成交供应商出现下列情况之一的，一经查实，将被取消成交资格：</w:t>
      </w:r>
    </w:p>
    <w:p>
      <w:pPr>
        <w:spacing w:line="262" w:lineRule="auto"/>
        <w:ind w:firstLine="420" w:firstLineChars="200"/>
        <w:rPr>
          <w:rFonts w:ascii="宋体" w:hAnsi="宋体" w:cs="宋体"/>
          <w:szCs w:val="21"/>
        </w:rPr>
      </w:pPr>
      <w:r>
        <w:rPr>
          <w:rFonts w:hint="eastAsia" w:ascii="宋体" w:hAnsi="宋体" w:cs="宋体"/>
          <w:szCs w:val="21"/>
        </w:rPr>
        <w:t>（1）提供虚假材料谋取成交的；</w:t>
      </w:r>
    </w:p>
    <w:p>
      <w:pPr>
        <w:spacing w:line="262" w:lineRule="auto"/>
        <w:ind w:firstLine="420" w:firstLineChars="200"/>
        <w:rPr>
          <w:rFonts w:ascii="宋体" w:hAnsi="宋体" w:cs="宋体"/>
          <w:szCs w:val="21"/>
        </w:rPr>
      </w:pPr>
      <w:r>
        <w:rPr>
          <w:rFonts w:hint="eastAsia" w:ascii="宋体" w:hAnsi="宋体" w:cs="宋体"/>
          <w:szCs w:val="21"/>
        </w:rPr>
        <w:t>（2）与评审专家、采购人、其他供应商或者采购代理机构工作人员恶意串通的；</w:t>
      </w:r>
    </w:p>
    <w:p>
      <w:pPr>
        <w:spacing w:line="262" w:lineRule="auto"/>
        <w:ind w:firstLine="420" w:firstLineChars="200"/>
        <w:rPr>
          <w:rFonts w:ascii="宋体" w:hAnsi="宋体" w:cs="宋体"/>
          <w:szCs w:val="21"/>
        </w:rPr>
      </w:pPr>
      <w:r>
        <w:rPr>
          <w:rFonts w:hint="eastAsia" w:ascii="宋体" w:hAnsi="宋体" w:cs="宋体"/>
          <w:szCs w:val="21"/>
        </w:rPr>
        <w:t>（3）向评审专家、采购人或采购代理机构工作人员行贿或者提供其他不正当利益的；</w:t>
      </w:r>
    </w:p>
    <w:p>
      <w:pPr>
        <w:spacing w:line="262" w:lineRule="auto"/>
        <w:ind w:firstLine="420" w:firstLineChars="200"/>
        <w:rPr>
          <w:rFonts w:ascii="宋体" w:hAnsi="宋体" w:cs="宋体"/>
          <w:szCs w:val="21"/>
        </w:rPr>
      </w:pPr>
      <w:r>
        <w:rPr>
          <w:rFonts w:hint="eastAsia" w:ascii="宋体" w:hAnsi="宋体" w:cs="宋体"/>
          <w:szCs w:val="21"/>
        </w:rPr>
        <w:t>（4）恶意竞争，最终总报价明显低于其自身合理成本且又无法提供证明的；</w:t>
      </w:r>
    </w:p>
    <w:p>
      <w:pPr>
        <w:spacing w:line="262" w:lineRule="auto"/>
        <w:ind w:firstLine="420" w:firstLineChars="200"/>
        <w:rPr>
          <w:rFonts w:ascii="宋体" w:hAnsi="宋体" w:cs="宋体"/>
          <w:szCs w:val="21"/>
        </w:rPr>
      </w:pPr>
      <w:r>
        <w:rPr>
          <w:rFonts w:hint="eastAsia" w:ascii="宋体" w:hAnsi="宋体" w:cs="宋体"/>
          <w:szCs w:val="21"/>
        </w:rPr>
        <w:t>（5）不满足本采购文件规定的实质性要求，但在评审过程中又未被招标小组发现的；</w:t>
      </w:r>
    </w:p>
    <w:p>
      <w:pPr>
        <w:spacing w:line="262" w:lineRule="auto"/>
        <w:ind w:firstLine="420" w:firstLineChars="200"/>
        <w:rPr>
          <w:rFonts w:ascii="宋体" w:hAnsi="宋体" w:cs="宋体"/>
          <w:szCs w:val="21"/>
        </w:rPr>
      </w:pPr>
      <w:r>
        <w:rPr>
          <w:rFonts w:hint="eastAsia" w:ascii="宋体" w:hAnsi="宋体" w:cs="宋体"/>
          <w:szCs w:val="21"/>
        </w:rPr>
        <w:t>（6）成交后无正当理由拒不与采购人签订政府采购合同或者未按照采购文件确定的事项签订政府采购合同；</w:t>
      </w:r>
    </w:p>
    <w:p>
      <w:pPr>
        <w:spacing w:line="262" w:lineRule="auto"/>
        <w:ind w:firstLine="420" w:firstLineChars="200"/>
        <w:rPr>
          <w:rFonts w:ascii="宋体" w:hAnsi="宋体" w:cs="宋体"/>
          <w:szCs w:val="21"/>
        </w:rPr>
      </w:pPr>
      <w:r>
        <w:rPr>
          <w:rFonts w:hint="eastAsia" w:ascii="宋体" w:hAnsi="宋体" w:cs="宋体"/>
          <w:szCs w:val="21"/>
        </w:rPr>
        <w:t>（7）违法将政府采购合同转包；</w:t>
      </w:r>
    </w:p>
    <w:p>
      <w:pPr>
        <w:spacing w:line="262" w:lineRule="auto"/>
        <w:ind w:firstLine="420" w:firstLineChars="200"/>
        <w:rPr>
          <w:rFonts w:ascii="宋体" w:hAnsi="宋体" w:cs="宋体"/>
          <w:szCs w:val="21"/>
        </w:rPr>
      </w:pPr>
      <w:r>
        <w:rPr>
          <w:rFonts w:hint="eastAsia" w:ascii="宋体" w:hAnsi="宋体" w:cs="宋体"/>
          <w:szCs w:val="21"/>
        </w:rPr>
        <w:t>（8）法律、法规、规章规定的属于成交无效的其他情形。</w:t>
      </w:r>
    </w:p>
    <w:p>
      <w:pPr>
        <w:spacing w:line="262" w:lineRule="auto"/>
        <w:ind w:firstLine="422" w:firstLineChars="200"/>
        <w:rPr>
          <w:rFonts w:ascii="宋体" w:hAnsi="宋体" w:cs="宋体"/>
          <w:szCs w:val="21"/>
        </w:rPr>
      </w:pPr>
      <w:r>
        <w:rPr>
          <w:rFonts w:hint="eastAsia" w:ascii="宋体" w:hAnsi="宋体" w:cs="宋体"/>
          <w:b/>
          <w:szCs w:val="21"/>
        </w:rPr>
        <w:t>2、质疑处理</w:t>
      </w:r>
    </w:p>
    <w:p>
      <w:pPr>
        <w:spacing w:line="262" w:lineRule="auto"/>
        <w:ind w:firstLine="420" w:firstLineChars="200"/>
        <w:rPr>
          <w:rFonts w:ascii="宋体" w:hAnsi="宋体" w:cs="宋体"/>
          <w:b/>
          <w:szCs w:val="21"/>
        </w:rPr>
      </w:pPr>
      <w:r>
        <w:rPr>
          <w:rFonts w:hint="eastAsia" w:ascii="宋体" w:hAnsi="宋体" w:cs="宋体"/>
          <w:szCs w:val="21"/>
        </w:rPr>
        <w:t>2.1供应商认为采购文件、采购过程和采购结果使自己的权益受到损害的，须在知道或者应知其权益受到损害之日起</w:t>
      </w:r>
      <w:r>
        <w:rPr>
          <w:rFonts w:hint="eastAsia" w:ascii="宋体" w:hAnsi="宋体" w:cs="宋体"/>
          <w:szCs w:val="21"/>
          <w:lang w:val="en-US" w:eastAsia="zh-CN"/>
        </w:rPr>
        <w:t>三天</w:t>
      </w:r>
      <w:r>
        <w:rPr>
          <w:rFonts w:hint="eastAsia" w:ascii="宋体" w:hAnsi="宋体" w:cs="宋体"/>
          <w:szCs w:val="21"/>
        </w:rPr>
        <w:t>内以书面形式送达的方式（请使用EMS等书面形式）向采购代理机构或采购人提出质疑。非书面形式、逾期（以采购代理机构或采购人收悉时间为准）提交以及匿名的质疑将不予受理。</w:t>
      </w:r>
    </w:p>
    <w:p>
      <w:pPr>
        <w:spacing w:line="262" w:lineRule="auto"/>
        <w:ind w:firstLine="420" w:firstLineChars="200"/>
        <w:rPr>
          <w:rFonts w:ascii="宋体" w:hAnsi="宋体" w:cs="宋体"/>
          <w:szCs w:val="21"/>
        </w:rPr>
      </w:pPr>
      <w:r>
        <w:rPr>
          <w:rFonts w:hint="eastAsia" w:ascii="宋体" w:hAnsi="宋体" w:cs="宋体"/>
          <w:szCs w:val="21"/>
        </w:rPr>
        <w:t>2.2质疑函应当包括下列内容：供应商提出质疑应当提交质疑函和必要的证明材料。质疑函应当包括下列内容：</w:t>
      </w:r>
    </w:p>
    <w:p>
      <w:pPr>
        <w:spacing w:line="262" w:lineRule="auto"/>
        <w:ind w:firstLine="420" w:firstLineChars="200"/>
        <w:rPr>
          <w:rFonts w:ascii="宋体" w:hAnsi="宋体" w:cs="宋体"/>
          <w:szCs w:val="21"/>
        </w:rPr>
      </w:pPr>
      <w:r>
        <w:rPr>
          <w:rFonts w:hint="eastAsia" w:ascii="宋体" w:hAnsi="宋体" w:cs="宋体"/>
          <w:szCs w:val="21"/>
        </w:rPr>
        <w:t>（一）供应商的姓名或者名称、地址、邮编、联系人及联系电话；</w:t>
      </w:r>
    </w:p>
    <w:p>
      <w:pPr>
        <w:spacing w:line="262" w:lineRule="auto"/>
        <w:ind w:firstLine="420" w:firstLineChars="200"/>
        <w:rPr>
          <w:rFonts w:ascii="宋体" w:hAnsi="宋体" w:cs="宋体"/>
          <w:szCs w:val="21"/>
        </w:rPr>
      </w:pPr>
      <w:r>
        <w:rPr>
          <w:rFonts w:hint="eastAsia" w:ascii="宋体" w:hAnsi="宋体" w:cs="宋体"/>
          <w:szCs w:val="21"/>
        </w:rPr>
        <w:t>（二）质疑项目的名称、编号；</w:t>
      </w:r>
    </w:p>
    <w:p>
      <w:pPr>
        <w:spacing w:line="262" w:lineRule="auto"/>
        <w:ind w:firstLine="420" w:firstLineChars="200"/>
        <w:rPr>
          <w:rFonts w:ascii="宋体" w:hAnsi="宋体" w:cs="宋体"/>
          <w:szCs w:val="21"/>
        </w:rPr>
      </w:pPr>
      <w:r>
        <w:rPr>
          <w:rFonts w:hint="eastAsia" w:ascii="宋体" w:hAnsi="宋体" w:cs="宋体"/>
          <w:szCs w:val="21"/>
        </w:rPr>
        <w:t>（三）具体、明确的质疑事项和与质疑事项相关的请求；</w:t>
      </w:r>
    </w:p>
    <w:p>
      <w:pPr>
        <w:spacing w:line="262" w:lineRule="auto"/>
        <w:ind w:firstLine="420" w:firstLineChars="200"/>
        <w:rPr>
          <w:rFonts w:ascii="宋体" w:hAnsi="宋体" w:cs="宋体"/>
          <w:szCs w:val="21"/>
        </w:rPr>
      </w:pPr>
      <w:r>
        <w:rPr>
          <w:rFonts w:hint="eastAsia" w:ascii="宋体" w:hAnsi="宋体" w:cs="宋体"/>
          <w:szCs w:val="21"/>
        </w:rPr>
        <w:t>（四）事实依据；</w:t>
      </w:r>
    </w:p>
    <w:p>
      <w:pPr>
        <w:spacing w:line="262" w:lineRule="auto"/>
        <w:ind w:firstLine="420" w:firstLineChars="200"/>
        <w:rPr>
          <w:rFonts w:ascii="宋体" w:hAnsi="宋体" w:cs="宋体"/>
          <w:szCs w:val="21"/>
        </w:rPr>
      </w:pPr>
      <w:r>
        <w:rPr>
          <w:rFonts w:hint="eastAsia" w:ascii="宋体" w:hAnsi="宋体" w:cs="宋体"/>
          <w:szCs w:val="21"/>
        </w:rPr>
        <w:t>（五）必要的法律依据；</w:t>
      </w:r>
    </w:p>
    <w:p>
      <w:pPr>
        <w:spacing w:line="262" w:lineRule="auto"/>
        <w:ind w:firstLine="420" w:firstLineChars="200"/>
        <w:rPr>
          <w:rFonts w:ascii="宋体" w:hAnsi="宋体" w:cs="宋体"/>
          <w:szCs w:val="21"/>
        </w:rPr>
      </w:pPr>
      <w:r>
        <w:rPr>
          <w:rFonts w:hint="eastAsia" w:ascii="宋体" w:hAnsi="宋体" w:cs="宋体"/>
          <w:szCs w:val="21"/>
        </w:rPr>
        <w:t>（六）提出质疑的日期。</w:t>
      </w:r>
    </w:p>
    <w:p>
      <w:pPr>
        <w:spacing w:line="262" w:lineRule="auto"/>
        <w:ind w:firstLine="420" w:firstLineChars="20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pPr>
        <w:spacing w:line="262" w:lineRule="auto"/>
        <w:ind w:firstLine="420" w:firstLineChars="200"/>
        <w:rPr>
          <w:rFonts w:ascii="宋体" w:hAnsi="宋体" w:cs="宋体"/>
          <w:szCs w:val="21"/>
        </w:rPr>
      </w:pPr>
      <w:r>
        <w:rPr>
          <w:rFonts w:hint="eastAsia" w:ascii="宋体" w:hAnsi="宋体" w:cs="宋体"/>
          <w:szCs w:val="21"/>
        </w:rPr>
        <w:t>注：对可以质疑的采购文件提出质疑的，为收到采购文件之日或者采购文件公告期限届满之日；对采购过程提出质疑的，为各采购程序环节结束之日；对中标或者成交结果提出质疑的，为中标或者成交结果公告期限届满之日。未参加招标采购活动的供应商或在招标采购活动中自身权益未受到损害的供应商所提出的质疑不予受理。未购买采购文件的供应商，无权知道本采购文件相关内容，采购人、采购代理机构有权不予受理。</w:t>
      </w:r>
    </w:p>
    <w:p>
      <w:pPr>
        <w:spacing w:line="262" w:lineRule="auto"/>
        <w:ind w:firstLine="420" w:firstLineChars="200"/>
        <w:rPr>
          <w:rFonts w:ascii="宋体" w:hAnsi="宋体" w:cs="宋体"/>
          <w:b/>
          <w:szCs w:val="21"/>
        </w:rPr>
      </w:pPr>
      <w:r>
        <w:rPr>
          <w:rFonts w:hint="eastAsia" w:ascii="宋体" w:hAnsi="宋体" w:cs="宋体"/>
          <w:szCs w:val="21"/>
        </w:rPr>
        <w:t>2.3</w:t>
      </w:r>
      <w:r>
        <w:rPr>
          <w:rFonts w:hint="eastAsia" w:ascii="宋体" w:hAnsi="宋体" w:cs="宋体"/>
          <w:b/>
          <w:szCs w:val="21"/>
        </w:rPr>
        <w:t>质疑供应商对采购人、采购代理机构的答复不满意或者采购人、采购代理机构未在规定的时间内作出答复的，可以在答复期满后</w:t>
      </w:r>
      <w:r>
        <w:rPr>
          <w:rFonts w:hint="eastAsia" w:ascii="宋体" w:hAnsi="宋体" w:cs="宋体"/>
          <w:b/>
          <w:szCs w:val="21"/>
          <w:lang w:val="en-US" w:eastAsia="zh-CN"/>
        </w:rPr>
        <w:t>3天</w:t>
      </w:r>
      <w:r>
        <w:rPr>
          <w:rFonts w:hint="eastAsia" w:ascii="宋体" w:hAnsi="宋体" w:cs="宋体"/>
          <w:b/>
          <w:szCs w:val="21"/>
        </w:rPr>
        <w:t>内向采购人的领导班子投诉或向纪检组反映情况。</w:t>
      </w:r>
    </w:p>
    <w:p>
      <w:pPr>
        <w:spacing w:line="262" w:lineRule="auto"/>
        <w:ind w:firstLine="420" w:firstLineChars="200"/>
        <w:rPr>
          <w:rFonts w:ascii="宋体" w:hAnsi="宋体" w:cs="宋体"/>
          <w:szCs w:val="21"/>
        </w:rPr>
      </w:pPr>
      <w:r>
        <w:rPr>
          <w:rFonts w:hint="eastAsia" w:ascii="宋体" w:hAnsi="宋体" w:cs="宋体"/>
          <w:szCs w:val="21"/>
        </w:rPr>
        <w:t>2.4供应商提出书面质疑必须有理、有据，不得恶意质疑或提交虚假质疑。否则，一经查实，采购代理机构有权依据政府采购的有关规定，报请政府采购监管部门对该供应商进行相应的行政处罚。</w:t>
      </w:r>
    </w:p>
    <w:p>
      <w:pPr>
        <w:spacing w:line="262" w:lineRule="auto"/>
        <w:jc w:val="center"/>
        <w:outlineLvl w:val="1"/>
        <w:rPr>
          <w:rFonts w:ascii="宋体" w:hAnsi="宋体" w:cs="宋体"/>
          <w:b/>
          <w:szCs w:val="21"/>
        </w:rPr>
      </w:pPr>
      <w:bookmarkStart w:id="142" w:name="_Toc13375"/>
      <w:bookmarkStart w:id="143" w:name="_Toc513029237"/>
      <w:bookmarkStart w:id="144" w:name="_Toc20823309"/>
      <w:bookmarkStart w:id="145" w:name="_Toc16938553"/>
      <w:r>
        <w:rPr>
          <w:rFonts w:hint="eastAsia" w:ascii="宋体" w:hAnsi="宋体" w:cs="宋体"/>
          <w:b/>
          <w:szCs w:val="21"/>
        </w:rPr>
        <w:t>六、合同签订相关事项</w:t>
      </w:r>
      <w:bookmarkEnd w:id="142"/>
    </w:p>
    <w:p>
      <w:pPr>
        <w:spacing w:line="262" w:lineRule="auto"/>
        <w:ind w:firstLine="422" w:firstLineChars="200"/>
        <w:rPr>
          <w:rFonts w:ascii="宋体" w:hAnsi="宋体" w:cs="宋体"/>
          <w:b/>
          <w:szCs w:val="21"/>
        </w:rPr>
      </w:pPr>
      <w:r>
        <w:rPr>
          <w:rFonts w:hint="eastAsia" w:ascii="宋体" w:hAnsi="宋体" w:cs="宋体"/>
          <w:b/>
          <w:szCs w:val="21"/>
        </w:rPr>
        <w:t>1、签订合同</w:t>
      </w:r>
    </w:p>
    <w:p>
      <w:pPr>
        <w:spacing w:line="262" w:lineRule="auto"/>
        <w:ind w:firstLine="420" w:firstLineChars="200"/>
        <w:rPr>
          <w:rFonts w:ascii="宋体" w:hAnsi="宋体" w:cs="宋体"/>
          <w:szCs w:val="21"/>
        </w:rPr>
      </w:pPr>
      <w:r>
        <w:rPr>
          <w:rFonts w:hint="eastAsia" w:ascii="宋体" w:hAnsi="宋体" w:cs="宋体"/>
          <w:szCs w:val="21"/>
        </w:rPr>
        <w:t>1.l成交供应商确定后，采购代理机构将向成交供应商发出成交通知书。成交供应商应按成交通知书规定的时间、地点,按照采购文件确定的事项与采购人签订政府采购合同，且不得迟于成交通知书发出之日起三十日内，否则保证金将不予退还，由此给采购人造成损失的，成交供应商还应承担赔偿责任。</w:t>
      </w:r>
    </w:p>
    <w:p>
      <w:pPr>
        <w:spacing w:line="262" w:lineRule="auto"/>
        <w:ind w:firstLine="420" w:firstLineChars="200"/>
        <w:rPr>
          <w:rFonts w:ascii="宋体" w:hAnsi="宋体" w:cs="宋体"/>
          <w:szCs w:val="21"/>
        </w:rPr>
      </w:pPr>
      <w:r>
        <w:rPr>
          <w:rFonts w:hint="eastAsia" w:ascii="宋体" w:hAnsi="宋体" w:cs="宋体"/>
          <w:szCs w:val="21"/>
        </w:rPr>
        <w:t>1.2 采购文件、成交供应商的招标响应文件及招标采购过程中有关澄清、承诺文件均应作为合同附件。</w:t>
      </w:r>
    </w:p>
    <w:p>
      <w:pPr>
        <w:spacing w:line="262" w:lineRule="auto"/>
        <w:ind w:firstLine="420" w:firstLineChars="200"/>
        <w:rPr>
          <w:rFonts w:ascii="宋体" w:hAnsi="宋体" w:cs="宋体"/>
          <w:szCs w:val="21"/>
        </w:rPr>
      </w:pPr>
      <w:r>
        <w:rPr>
          <w:rFonts w:hint="eastAsia" w:ascii="宋体" w:hAnsi="宋体" w:cs="宋体"/>
          <w:szCs w:val="21"/>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262" w:lineRule="auto"/>
        <w:ind w:firstLine="422" w:firstLineChars="200"/>
        <w:rPr>
          <w:rFonts w:hint="eastAsia" w:ascii="宋体" w:hAnsi="宋体" w:eastAsia="宋体" w:cs="宋体"/>
          <w:b/>
          <w:szCs w:val="21"/>
          <w:lang w:eastAsia="zh-CN"/>
        </w:rPr>
      </w:pPr>
      <w:r>
        <w:rPr>
          <w:rFonts w:hint="eastAsia" w:ascii="宋体" w:hAnsi="宋体" w:cs="宋体"/>
          <w:b/>
          <w:szCs w:val="21"/>
        </w:rPr>
        <w:t>2、履约保证金</w:t>
      </w:r>
      <w:r>
        <w:rPr>
          <w:rFonts w:hint="eastAsia" w:ascii="宋体" w:hAnsi="宋体" w:cs="宋体"/>
          <w:b/>
          <w:szCs w:val="21"/>
          <w:lang w:eastAsia="zh-CN"/>
        </w:rPr>
        <w:t>（详见合同中履约保证金条款）</w:t>
      </w:r>
    </w:p>
    <w:bookmarkEnd w:id="143"/>
    <w:bookmarkEnd w:id="144"/>
    <w:bookmarkEnd w:id="145"/>
    <w:p>
      <w:pPr>
        <w:spacing w:line="262" w:lineRule="auto"/>
        <w:ind w:firstLine="420" w:firstLineChars="200"/>
        <w:rPr>
          <w:rFonts w:ascii="宋体" w:hAnsi="宋体" w:cs="宋体"/>
          <w:szCs w:val="21"/>
        </w:rPr>
      </w:pPr>
      <w:r>
        <w:rPr>
          <w:rFonts w:hint="eastAsia" w:ascii="宋体" w:hAnsi="宋体" w:cs="宋体"/>
          <w:szCs w:val="21"/>
        </w:rPr>
        <w:t>2.1履约保证金金额：合同总价的5%（去尾法，到百元）。</w:t>
      </w:r>
    </w:p>
    <w:p>
      <w:pPr>
        <w:spacing w:line="262" w:lineRule="auto"/>
        <w:ind w:firstLine="420" w:firstLineChars="200"/>
        <w:rPr>
          <w:rFonts w:ascii="宋体" w:hAnsi="宋体" w:cs="宋体"/>
          <w:szCs w:val="21"/>
        </w:rPr>
      </w:pPr>
      <w:r>
        <w:rPr>
          <w:rFonts w:hint="eastAsia" w:ascii="宋体" w:hAnsi="宋体" w:cs="宋体"/>
          <w:szCs w:val="21"/>
        </w:rPr>
        <w:t>2.2在签订合同前，中标人需向招标人交纳履约保证金（请将履约保证金汇款凭证发送至QQ邮箱：532223373@qq.com），具体金额为中标价的5%。拟中标人应当按照招标人的要求及时、足额缴纳履约保证金，履约保证金待项目到期后20日内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0" w:firstLineChars="200"/>
        <w:rPr>
          <w:rFonts w:ascii="宋体" w:hAnsi="宋体" w:cs="宋体"/>
          <w:szCs w:val="21"/>
        </w:rPr>
      </w:pPr>
      <w:r>
        <w:rPr>
          <w:rFonts w:hint="eastAsia" w:ascii="宋体" w:hAnsi="宋体" w:cs="宋体"/>
          <w:szCs w:val="21"/>
        </w:rPr>
        <w:t>2.3履约保证金专户帐户信息。</w:t>
      </w:r>
    </w:p>
    <w:p>
      <w:pPr>
        <w:spacing w:line="262" w:lineRule="auto"/>
        <w:ind w:firstLine="420" w:firstLineChars="200"/>
        <w:rPr>
          <w:rFonts w:ascii="宋体" w:hAnsi="宋体" w:cs="宋体"/>
          <w:szCs w:val="21"/>
        </w:rPr>
      </w:pPr>
      <w:r>
        <w:rPr>
          <w:rFonts w:hint="eastAsia" w:ascii="宋体" w:hAnsi="宋体" w:cs="宋体"/>
          <w:szCs w:val="21"/>
        </w:rPr>
        <w:t>单位名称：江苏医药职业学院</w:t>
      </w:r>
    </w:p>
    <w:p>
      <w:pPr>
        <w:spacing w:line="262" w:lineRule="auto"/>
        <w:ind w:firstLine="420" w:firstLineChars="200"/>
        <w:rPr>
          <w:rFonts w:ascii="宋体" w:hAnsi="宋体" w:cs="宋体"/>
          <w:szCs w:val="21"/>
        </w:rPr>
      </w:pPr>
      <w:r>
        <w:rPr>
          <w:rFonts w:hint="eastAsia" w:ascii="宋体" w:hAnsi="宋体" w:cs="宋体"/>
          <w:szCs w:val="21"/>
        </w:rPr>
        <w:t>开户行名称：建行盐城市城南支行</w:t>
      </w:r>
    </w:p>
    <w:p>
      <w:pPr>
        <w:spacing w:line="262" w:lineRule="auto"/>
        <w:ind w:firstLine="420" w:firstLineChars="200"/>
        <w:rPr>
          <w:rFonts w:ascii="宋体" w:hAnsi="宋体" w:cs="宋体"/>
          <w:szCs w:val="21"/>
        </w:rPr>
      </w:pPr>
      <w:r>
        <w:rPr>
          <w:rFonts w:hint="eastAsia" w:ascii="宋体" w:hAnsi="宋体" w:cs="宋体"/>
          <w:szCs w:val="21"/>
        </w:rPr>
        <w:t>银行帐号：32001735038052500575</w:t>
      </w:r>
    </w:p>
    <w:p>
      <w:pPr>
        <w:spacing w:line="262" w:lineRule="auto"/>
        <w:ind w:firstLine="420" w:firstLineChars="200"/>
        <w:rPr>
          <w:rFonts w:ascii="宋体" w:hAnsi="宋体" w:cs="宋体"/>
          <w:szCs w:val="21"/>
        </w:rPr>
      </w:pPr>
      <w:r>
        <w:rPr>
          <w:rFonts w:hint="eastAsia" w:ascii="宋体" w:hAnsi="宋体" w:cs="宋体"/>
          <w:szCs w:val="21"/>
        </w:rPr>
        <w:t>地址：江苏省盐城市解放南路283号</w:t>
      </w:r>
    </w:p>
    <w:p>
      <w:pPr>
        <w:spacing w:line="262" w:lineRule="auto"/>
        <w:ind w:firstLine="420" w:firstLineChars="200"/>
        <w:rPr>
          <w:rFonts w:ascii="宋体" w:hAnsi="宋体" w:cs="宋体"/>
          <w:szCs w:val="21"/>
        </w:rPr>
      </w:pPr>
      <w:r>
        <w:rPr>
          <w:rFonts w:hint="eastAsia" w:ascii="宋体" w:hAnsi="宋体" w:cs="宋体"/>
          <w:szCs w:val="21"/>
        </w:rPr>
        <w:t>电话：0515-88550311</w:t>
      </w:r>
    </w:p>
    <w:p>
      <w:pPr>
        <w:spacing w:line="262" w:lineRule="auto"/>
        <w:ind w:firstLine="420" w:firstLineChars="200"/>
        <w:rPr>
          <w:rFonts w:ascii="宋体" w:hAnsi="宋体" w:cs="宋体"/>
          <w:szCs w:val="21"/>
        </w:rPr>
      </w:pPr>
      <w:r>
        <w:rPr>
          <w:rFonts w:hint="eastAsia" w:ascii="宋体" w:hAnsi="宋体" w:cs="宋体"/>
          <w:szCs w:val="21"/>
        </w:rPr>
        <w:t>2.4具有AA评级及以上政府采购供应商，提供信用管理部门备案的第三方信用报告（可在“信用盐城”查证），可以向采购人申请免收履约保证金或降低履约保证金缴纳比例；否则采购人有权取消其成交资格。</w:t>
      </w:r>
    </w:p>
    <w:p>
      <w:pPr>
        <w:spacing w:line="262" w:lineRule="auto"/>
        <w:ind w:firstLine="420" w:firstLineChars="200"/>
        <w:rPr>
          <w:rFonts w:ascii="宋体" w:hAnsi="宋体" w:cs="宋体"/>
          <w:szCs w:val="21"/>
        </w:rPr>
      </w:pPr>
      <w:r>
        <w:rPr>
          <w:rFonts w:hint="eastAsia" w:ascii="宋体" w:hAnsi="宋体" w:cs="宋体"/>
          <w:szCs w:val="21"/>
        </w:rPr>
        <w:t>2.5履约保证金用以约束成交供应商在合同履行中的行为，弥补合同执行中由于自身行为可能给采购人带来的各种损失。如果成交供应商不同意按照规定去做，采购人有权取消本次采购成交决定。</w:t>
      </w:r>
    </w:p>
    <w:p>
      <w:pPr>
        <w:spacing w:line="262" w:lineRule="auto"/>
        <w:ind w:firstLine="422" w:firstLineChars="200"/>
        <w:rPr>
          <w:rFonts w:ascii="宋体" w:hAnsi="宋体" w:cs="宋体"/>
          <w:b/>
          <w:szCs w:val="21"/>
        </w:rPr>
      </w:pPr>
      <w:r>
        <w:rPr>
          <w:rFonts w:hint="eastAsia" w:ascii="宋体" w:hAnsi="宋体" w:cs="宋体"/>
          <w:b/>
          <w:szCs w:val="21"/>
        </w:rPr>
        <w:t>3、代理服务费(详见前附表）</w:t>
      </w:r>
    </w:p>
    <w:p>
      <w:pPr>
        <w:spacing w:line="262" w:lineRule="auto"/>
        <w:ind w:firstLine="420" w:firstLineChars="200"/>
        <w:rPr>
          <w:rFonts w:ascii="宋体" w:hAnsi="宋体" w:cs="宋体"/>
          <w:szCs w:val="21"/>
        </w:rPr>
      </w:pPr>
      <w:r>
        <w:rPr>
          <w:rFonts w:hint="eastAsia" w:ascii="宋体" w:hAnsi="宋体" w:cs="宋体"/>
          <w:szCs w:val="21"/>
        </w:rPr>
        <w:t>3.1代理服务费收费标准：代理服务费（中标服务费）：本项目的代理服务费由成交供应商承担。</w:t>
      </w:r>
    </w:p>
    <w:p>
      <w:pPr>
        <w:spacing w:line="262" w:lineRule="auto"/>
        <w:ind w:firstLine="420" w:firstLineChars="200"/>
        <w:rPr>
          <w:rFonts w:ascii="宋体" w:hAnsi="宋体" w:cs="宋体"/>
          <w:szCs w:val="21"/>
        </w:rPr>
      </w:pPr>
      <w:r>
        <w:rPr>
          <w:rFonts w:hint="eastAsia" w:ascii="宋体" w:hAnsi="宋体" w:cs="宋体"/>
          <w:szCs w:val="21"/>
        </w:rPr>
        <w:t>3.2代理服务费支付形式为：电款、转账等；发票为普通发票。账户信息：开户名：盐城市携手阳光集中采购代理有限公司；开户行：兴业银行盐城分行；帐号：402010100100119375）。如中标单位逾期未支持中标服务费的，携手阳光公司有权全额没收其相关保证金作为预定的损害赔偿（超出收费标准部分作为资金占用赔偿），并保留诉讼的权利。</w:t>
      </w:r>
    </w:p>
    <w:p>
      <w:pPr>
        <w:spacing w:line="262" w:lineRule="auto"/>
        <w:ind w:firstLine="422" w:firstLineChars="200"/>
        <w:rPr>
          <w:rFonts w:ascii="宋体" w:hAnsi="宋体" w:cs="宋体"/>
          <w:b/>
          <w:szCs w:val="21"/>
        </w:rPr>
      </w:pPr>
      <w:r>
        <w:rPr>
          <w:rFonts w:hint="eastAsia" w:ascii="宋体" w:hAnsi="宋体" w:cs="宋体"/>
          <w:b/>
          <w:szCs w:val="21"/>
        </w:rPr>
        <w:t>4、成交供应商违约、违规责任</w:t>
      </w:r>
    </w:p>
    <w:p>
      <w:pPr>
        <w:spacing w:line="262" w:lineRule="auto"/>
        <w:ind w:firstLine="420" w:firstLineChars="200"/>
        <w:rPr>
          <w:rFonts w:ascii="宋体" w:hAnsi="宋体" w:cs="宋体"/>
          <w:spacing w:val="15"/>
          <w:kern w:val="0"/>
          <w:szCs w:val="21"/>
        </w:rPr>
      </w:pPr>
      <w:r>
        <w:rPr>
          <w:rFonts w:hint="eastAsia" w:ascii="宋体" w:hAnsi="宋体" w:cs="宋体"/>
          <w:szCs w:val="21"/>
        </w:rPr>
        <w:t>4.1</w:t>
      </w:r>
      <w:r>
        <w:rPr>
          <w:rFonts w:hint="eastAsia" w:ascii="宋体" w:hAnsi="宋体" w:cs="宋体"/>
          <w:spacing w:val="15"/>
          <w:kern w:val="0"/>
          <w:szCs w:val="21"/>
        </w:rPr>
        <w:t>政府采购遵循诚实信用原则。为保证政府采购效率及采购人的合法权益，</w:t>
      </w:r>
      <w:r>
        <w:rPr>
          <w:rFonts w:hint="eastAsia" w:ascii="宋体" w:hAnsi="宋体" w:cs="宋体"/>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宋体" w:hAnsi="宋体" w:cs="宋体"/>
          <w:szCs w:val="21"/>
        </w:rPr>
      </w:pPr>
      <w:r>
        <w:rPr>
          <w:rFonts w:hint="eastAsia" w:ascii="宋体" w:hAnsi="宋体" w:cs="宋体"/>
          <w:szCs w:val="21"/>
        </w:rPr>
        <w:t>4.2如成交供应商出现下例情况的，采购人或采购代理机构有权拒绝其供应商参加采购代理机构代理的或采购人的各类招标采购活动（视为没有良好的商业信誉而拒绝参加）：</w:t>
      </w:r>
    </w:p>
    <w:p>
      <w:pPr>
        <w:spacing w:line="262" w:lineRule="auto"/>
        <w:ind w:firstLine="420" w:firstLineChars="200"/>
        <w:rPr>
          <w:rFonts w:ascii="宋体" w:hAnsi="宋体" w:cs="宋体"/>
          <w:szCs w:val="21"/>
        </w:rPr>
      </w:pPr>
      <w:r>
        <w:rPr>
          <w:rFonts w:hint="eastAsia" w:ascii="宋体" w:hAnsi="宋体" w:cs="宋体"/>
          <w:szCs w:val="21"/>
        </w:rPr>
        <w:t>1、逾期未与采购人签订合同（放弃成交）；2、未能在规定的时间内完成施工或达到采购人的验收；3、未按照采购文件、投标（响应）文件及合同条款履约；4、成交供应商逾期未向携手阳光公司支持招标代理服务费的（视为没有良好的商业信誉）；5、出现其它违法、违规、违约行为的。</w:t>
      </w:r>
    </w:p>
    <w:p>
      <w:pPr>
        <w:spacing w:line="262" w:lineRule="auto"/>
        <w:ind w:firstLine="420" w:firstLineChars="200"/>
        <w:rPr>
          <w:rFonts w:ascii="宋体" w:hAnsi="宋体" w:cs="宋体"/>
          <w:szCs w:val="21"/>
        </w:rPr>
      </w:pPr>
      <w:r>
        <w:rPr>
          <w:rFonts w:hint="eastAsia" w:ascii="宋体" w:hAnsi="宋体" w:cs="宋体"/>
          <w:szCs w:val="21"/>
        </w:rPr>
        <w:t>以上情节严重的，将报请政府采购监督管理部门进行相应的行政处罚。造成采购人损失的，成交供应商须承担全部赔偿责任，采购人保留诉讼的权利。</w:t>
      </w:r>
      <w:r>
        <w:rPr>
          <w:rFonts w:hint="eastAsia" w:ascii="宋体" w:hAnsi="宋体" w:cs="宋体"/>
          <w:spacing w:val="15"/>
          <w:kern w:val="0"/>
          <w:szCs w:val="21"/>
        </w:rPr>
        <w:t> </w:t>
      </w:r>
    </w:p>
    <w:p>
      <w:pPr>
        <w:spacing w:line="262" w:lineRule="auto"/>
        <w:ind w:firstLine="420" w:firstLineChars="200"/>
        <w:rPr>
          <w:rFonts w:ascii="宋体" w:hAnsi="宋体" w:cs="宋体"/>
          <w:szCs w:val="21"/>
        </w:rPr>
      </w:pPr>
      <w:r>
        <w:rPr>
          <w:rFonts w:hint="eastAsia" w:ascii="宋体" w:hAnsi="宋体" w:cs="宋体"/>
          <w:szCs w:val="21"/>
        </w:rPr>
        <w:t>4.3法律法规规定的其它违约、违规责任。</w:t>
      </w:r>
    </w:p>
    <w:p>
      <w:pPr>
        <w:spacing w:line="262" w:lineRule="auto"/>
        <w:ind w:firstLine="422" w:firstLineChars="200"/>
        <w:jc w:val="center"/>
        <w:outlineLvl w:val="1"/>
        <w:rPr>
          <w:rFonts w:ascii="宋体" w:hAnsi="宋体" w:cs="宋体"/>
          <w:szCs w:val="21"/>
        </w:rPr>
      </w:pPr>
      <w:bookmarkStart w:id="146" w:name="_Toc3646"/>
      <w:r>
        <w:rPr>
          <w:rFonts w:hint="eastAsia" w:ascii="宋体" w:hAnsi="宋体" w:cs="宋体"/>
          <w:b/>
          <w:szCs w:val="21"/>
        </w:rPr>
        <w:t>七、其他</w:t>
      </w:r>
      <w:bookmarkEnd w:id="146"/>
    </w:p>
    <w:p>
      <w:pPr>
        <w:spacing w:line="262" w:lineRule="auto"/>
        <w:ind w:firstLine="422" w:firstLineChars="200"/>
        <w:rPr>
          <w:rFonts w:ascii="宋体" w:hAnsi="宋体" w:cs="宋体"/>
          <w:szCs w:val="21"/>
        </w:rPr>
      </w:pPr>
      <w:r>
        <w:rPr>
          <w:rFonts w:hint="eastAsia" w:ascii="宋体" w:hAnsi="宋体" w:cs="宋体"/>
          <w:b/>
          <w:szCs w:val="21"/>
        </w:rPr>
        <w:t>1、政府采购履约资金扶持政策</w:t>
      </w:r>
      <w:r>
        <w:rPr>
          <w:rFonts w:hint="eastAsia" w:ascii="宋体" w:hAnsi="宋体" w:cs="宋体"/>
          <w:szCs w:val="21"/>
        </w:rPr>
        <w:t>：根据国家扶持中小企业的有关政策，政府采购中标人在履约过程中如遇到资金困难，凭中标通知书在相关金融机构办理授信申请。相关事宜向采购代理机构咨询。</w:t>
      </w:r>
    </w:p>
    <w:p>
      <w:pPr>
        <w:spacing w:line="262" w:lineRule="auto"/>
        <w:ind w:firstLine="422" w:firstLineChars="200"/>
        <w:rPr>
          <w:rFonts w:ascii="宋体" w:hAnsi="宋体" w:cs="宋体"/>
          <w:szCs w:val="21"/>
        </w:rPr>
      </w:pPr>
      <w:r>
        <w:rPr>
          <w:rFonts w:hint="eastAsia" w:ascii="宋体" w:hAnsi="宋体" w:cs="宋体"/>
          <w:b/>
          <w:szCs w:val="21"/>
        </w:rPr>
        <w:t>2、解释（定义）及其它：</w:t>
      </w:r>
      <w:r>
        <w:rPr>
          <w:rFonts w:hint="eastAsia" w:ascii="宋体" w:hAnsi="宋体" w:cs="宋体"/>
          <w:szCs w:val="21"/>
        </w:rPr>
        <w:t>本次采购活动（含采购文件）中的“货物”包含需要涉及（使用）的服务、工程等有关的所有事宜，“服务”包含需要涉及（使用）的货物、工程等有关的所有事宜，“工程”包含需要涉及（使用）的货物、服务等有关的所有事宜。</w:t>
      </w:r>
    </w:p>
    <w:p>
      <w:pPr>
        <w:spacing w:line="262" w:lineRule="auto"/>
        <w:ind w:firstLine="420" w:firstLineChars="200"/>
        <w:rPr>
          <w:rFonts w:ascii="宋体" w:hAnsi="宋体" w:cs="宋体"/>
          <w:szCs w:val="21"/>
        </w:rPr>
      </w:pPr>
      <w:r>
        <w:rPr>
          <w:rFonts w:hint="eastAsia" w:ascii="宋体" w:hAnsi="宋体" w:cs="宋体"/>
          <w:szCs w:val="21"/>
        </w:rPr>
        <w:t>如无特殊说明，本次招标使用时间为北京时间（24小时制）、日历天；使用货币单位为人民币。</w:t>
      </w:r>
    </w:p>
    <w:p>
      <w:pPr>
        <w:spacing w:line="262" w:lineRule="auto"/>
        <w:ind w:firstLine="420" w:firstLineChars="200"/>
        <w:rPr>
          <w:rFonts w:ascii="宋体" w:hAnsi="宋体" w:cs="宋体"/>
          <w:b/>
          <w:szCs w:val="21"/>
        </w:rPr>
      </w:pPr>
      <w:r>
        <w:rPr>
          <w:rFonts w:hint="eastAsia" w:ascii="宋体" w:hAnsi="宋体" w:cs="宋体"/>
          <w:szCs w:val="21"/>
        </w:rPr>
        <w:t>如无特殊说明，本招标文件中近三个月、近三年等时间均以投标文件递交截止时间（当年或当月）为准[例：递交截止时间为2020年7月1日，近三个月以来是指2020年4月（含）以来；近三年以来是指2017年（含）以来]。如为2018年以来的，是指2018年1月1日以来。如设定年龄的，以出生当年计[不以具体出生月日计。例：递交截止时间为2020年，50岁以下是指1970年1月1日（含）以后出生]。</w:t>
      </w:r>
    </w:p>
    <w:p>
      <w:pPr>
        <w:spacing w:line="262" w:lineRule="auto"/>
        <w:ind w:firstLine="420" w:firstLineChars="200"/>
        <w:rPr>
          <w:rFonts w:ascii="宋体" w:hAnsi="宋体" w:cs="宋体"/>
          <w:b/>
          <w:szCs w:val="21"/>
        </w:rPr>
      </w:pPr>
      <w:r>
        <w:rPr>
          <w:rFonts w:hint="eastAsia" w:ascii="宋体" w:hAnsi="宋体" w:cs="宋体"/>
          <w:szCs w:val="21"/>
        </w:rPr>
        <w:t>如投标人为非法人单位的，“法定代表人”可为自然人本人、经营者本人、负责人。</w:t>
      </w:r>
    </w:p>
    <w:p>
      <w:pPr>
        <w:spacing w:line="262" w:lineRule="auto"/>
        <w:ind w:firstLine="420" w:firstLineChars="200"/>
        <w:jc w:val="left"/>
        <w:rPr>
          <w:rFonts w:ascii="宋体" w:hAnsi="宋体" w:cs="宋体"/>
          <w:szCs w:val="21"/>
        </w:rPr>
      </w:pPr>
      <w:r>
        <w:rPr>
          <w:rFonts w:hint="eastAsia" w:ascii="宋体" w:hAnsi="宋体" w:cs="宋体"/>
          <w:szCs w:val="21"/>
        </w:rPr>
        <w:t>如招标文件中要求提供原件的，原件须与投标文件一起递交，否视为未提供（未响应）。如相关原件以装订等方式装订在投标文件中的，视为一次性证明，不再退还给投标人。“原件备查”是指原件须与投标文件一起携带到投标文件递交地点直至评审结束。评审期间，如评委需要核查原件时，携手阳光公司工作人员将以电话方式通知投标人代表</w:t>
      </w:r>
      <w:r>
        <w:rPr>
          <w:rFonts w:hint="eastAsia" w:ascii="宋体" w:hAnsi="宋体" w:cs="宋体"/>
          <w:bCs/>
          <w:szCs w:val="21"/>
        </w:rPr>
        <w:t>（以投标文件为准）</w:t>
      </w:r>
      <w:r>
        <w:rPr>
          <w:rFonts w:hint="eastAsia" w:ascii="宋体" w:hAnsi="宋体" w:cs="宋体"/>
          <w:szCs w:val="21"/>
        </w:rPr>
        <w:t>，投标人代表必须在接到通知15分钟以内向评委提供（可由携手阳光公司工作人员转交），否视为未提供。</w:t>
      </w:r>
    </w:p>
    <w:p>
      <w:pPr>
        <w:spacing w:line="262" w:lineRule="auto"/>
        <w:ind w:firstLine="420" w:firstLineChars="200"/>
        <w:jc w:val="left"/>
        <w:rPr>
          <w:rFonts w:ascii="宋体" w:hAnsi="宋体" w:cs="宋体"/>
          <w:szCs w:val="21"/>
        </w:rPr>
      </w:pPr>
      <w:r>
        <w:rPr>
          <w:rFonts w:hint="eastAsia" w:ascii="宋体" w:hAnsi="宋体" w:cs="宋体"/>
          <w:szCs w:val="21"/>
        </w:rPr>
        <w:t>投标人应确保相关证书的有效性（如：证书所注明的有效时间在投标文件递交时间之后）。如证书有效性可以不受证书时间限制的，投标人应当在投标文件中进行说明并提供相关法律依据，以便评委评审。</w:t>
      </w:r>
    </w:p>
    <w:p>
      <w:pPr>
        <w:spacing w:line="262" w:lineRule="auto"/>
        <w:ind w:firstLine="420" w:firstLineChars="200"/>
        <w:jc w:val="left"/>
        <w:rPr>
          <w:rFonts w:ascii="宋体" w:hAnsi="宋体" w:cs="宋体"/>
          <w:szCs w:val="21"/>
        </w:rPr>
      </w:pPr>
      <w:r>
        <w:rPr>
          <w:rFonts w:hint="eastAsia" w:ascii="宋体" w:hAnsi="宋体" w:cs="宋体"/>
          <w:szCs w:val="21"/>
        </w:rPr>
        <w:t>本采购文件中所称的“以上”、“以下”、“内”、“以内”，包括本数；所称的“不足”，不包括本数；本采购文件当中“投标”、“投标人”、“投标文件”、“中标”、“中标人”等，分别是指（本次采购活动中可以称为）“参加招标响应”、“参加竞争性招标的供应商”、“招标响应文件”、“成交”、“ 成交供应商”等；</w:t>
      </w:r>
    </w:p>
    <w:p>
      <w:pPr>
        <w:spacing w:line="262" w:lineRule="auto"/>
        <w:ind w:firstLine="422" w:firstLineChars="200"/>
        <w:rPr>
          <w:rFonts w:ascii="宋体" w:hAnsi="宋体" w:cs="宋体"/>
          <w:szCs w:val="21"/>
        </w:rPr>
      </w:pPr>
      <w:r>
        <w:rPr>
          <w:rFonts w:hint="eastAsia" w:ascii="宋体" w:hAnsi="宋体" w:cs="宋体"/>
          <w:b/>
          <w:szCs w:val="21"/>
        </w:rPr>
        <w:t>3、特别说明：采购文件如有异议或表达不准，供应商应当在获取采购文件后及时（3个工作日内）与采购代理机构联系。由此导致投标（响应）文件无效，由各供应商自行承担责任。</w:t>
      </w:r>
    </w:p>
    <w:p>
      <w:pPr>
        <w:spacing w:line="440" w:lineRule="exact"/>
        <w:ind w:firstLine="422" w:firstLineChars="200"/>
        <w:jc w:val="left"/>
        <w:rPr>
          <w:rFonts w:ascii="宋体" w:hAnsi="宋体" w:cs="宋体"/>
          <w:b/>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pStyle w:val="29"/>
        <w:spacing w:line="440" w:lineRule="exact"/>
        <w:rPr>
          <w:rFonts w:cs="宋体"/>
          <w:color w:val="000000" w:themeColor="text1"/>
          <w:szCs w:val="21"/>
          <w14:textFill>
            <w14:solidFill>
              <w14:schemeClr w14:val="tx1"/>
            </w14:solidFill>
          </w14:textFill>
        </w:rPr>
      </w:pPr>
    </w:p>
    <w:p>
      <w:pPr>
        <w:spacing w:line="440" w:lineRule="exact"/>
        <w:rPr>
          <w:rFonts w:ascii="宋体" w:hAnsi="宋体" w:cs="宋体"/>
          <w:b/>
          <w:color w:val="000000" w:themeColor="text1"/>
          <w:szCs w:val="21"/>
          <w14:textFill>
            <w14:solidFill>
              <w14:schemeClr w14:val="tx1"/>
            </w14:solidFill>
          </w14:textFill>
        </w:rPr>
      </w:pPr>
      <w:bookmarkStart w:id="147" w:name="_Toc108041640"/>
    </w:p>
    <w:p>
      <w:pPr>
        <w:spacing w:line="440" w:lineRule="exact"/>
        <w:jc w:val="center"/>
        <w:rPr>
          <w:rFonts w:ascii="宋体" w:hAnsi="宋体" w:cs="宋体"/>
          <w:b/>
          <w:color w:val="000000" w:themeColor="text1"/>
          <w:szCs w:val="21"/>
          <w14:textFill>
            <w14:solidFill>
              <w14:schemeClr w14:val="tx1"/>
            </w14:solidFill>
          </w14:textFill>
        </w:rPr>
      </w:pPr>
      <w:bookmarkStart w:id="148" w:name="_Toc108881174"/>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p>
    <w:p>
      <w:pPr>
        <w:spacing w:line="440" w:lineRule="exact"/>
        <w:rPr>
          <w:rFonts w:ascii="宋体" w:hAnsi="宋体" w:cs="宋体"/>
          <w:b/>
          <w:color w:val="000000" w:themeColor="text1"/>
          <w:szCs w:val="21"/>
          <w14:textFill>
            <w14:solidFill>
              <w14:schemeClr w14:val="tx1"/>
            </w14:solidFill>
          </w14:textFill>
        </w:rPr>
      </w:pPr>
    </w:p>
    <w:p>
      <w:pPr>
        <w:spacing w:line="440" w:lineRule="exact"/>
        <w:jc w:val="center"/>
        <w:rPr>
          <w:rFonts w:ascii="宋体" w:hAnsi="宋体" w:cs="宋体"/>
          <w:b/>
          <w:color w:val="000000" w:themeColor="text1"/>
          <w:szCs w:val="21"/>
          <w14:textFill>
            <w14:solidFill>
              <w14:schemeClr w14:val="tx1"/>
            </w14:solidFill>
          </w14:textFill>
        </w:rPr>
      </w:pPr>
      <w:bookmarkStart w:id="149" w:name="_Toc115881315"/>
    </w:p>
    <w:p>
      <w:pPr>
        <w:spacing w:line="440" w:lineRule="exact"/>
        <w:jc w:val="center"/>
        <w:rPr>
          <w:rFonts w:ascii="宋体" w:hAnsi="宋体" w:cs="宋体"/>
          <w:b/>
          <w:color w:val="000000" w:themeColor="text1"/>
          <w:szCs w:val="21"/>
          <w14:textFill>
            <w14:solidFill>
              <w14:schemeClr w14:val="tx1"/>
            </w14:solidFill>
          </w14:textFill>
        </w:rPr>
      </w:pPr>
    </w:p>
    <w:p>
      <w:pPr>
        <w:pStyle w:val="23"/>
        <w:ind w:left="3360"/>
        <w:rPr>
          <w:rFonts w:ascii="宋体" w:hAnsi="宋体" w:cs="宋体"/>
          <w:szCs w:val="21"/>
        </w:rPr>
      </w:pPr>
    </w:p>
    <w:p>
      <w:pPr>
        <w:rPr>
          <w:rFonts w:ascii="宋体" w:hAnsi="宋体" w:cs="宋体"/>
          <w:szCs w:val="21"/>
        </w:rPr>
      </w:pPr>
    </w:p>
    <w:p>
      <w:pPr>
        <w:pStyle w:val="23"/>
        <w:ind w:left="3360"/>
        <w:rPr>
          <w:rFonts w:ascii="宋体" w:hAnsi="宋体" w:cs="宋体"/>
          <w:szCs w:val="21"/>
        </w:rPr>
      </w:pPr>
    </w:p>
    <w:p>
      <w:pPr>
        <w:rPr>
          <w:rFonts w:ascii="宋体" w:hAnsi="宋体" w:cs="宋体"/>
          <w:szCs w:val="21"/>
        </w:rPr>
      </w:pPr>
    </w:p>
    <w:p>
      <w:pPr>
        <w:spacing w:line="440" w:lineRule="exact"/>
        <w:rPr>
          <w:rFonts w:ascii="宋体" w:hAnsi="宋体" w:cs="宋体"/>
          <w:b/>
          <w:color w:val="000000" w:themeColor="text1"/>
          <w:szCs w:val="21"/>
          <w14:textFill>
            <w14:solidFill>
              <w14:schemeClr w14:val="tx1"/>
            </w14:solidFill>
          </w14:textFill>
        </w:rPr>
      </w:pPr>
    </w:p>
    <w:p>
      <w:pPr>
        <w:spacing w:line="460" w:lineRule="exact"/>
        <w:jc w:val="center"/>
        <w:outlineLvl w:val="0"/>
        <w:rPr>
          <w:rFonts w:ascii="宋体" w:hAnsi="宋体" w:cs="宋体"/>
          <w:b/>
          <w:color w:val="000000" w:themeColor="text1"/>
          <w:sz w:val="28"/>
          <w:szCs w:val="21"/>
          <w14:textFill>
            <w14:solidFill>
              <w14:schemeClr w14:val="tx1"/>
            </w14:solidFill>
          </w14:textFill>
        </w:rPr>
      </w:pPr>
      <w:bookmarkStart w:id="150" w:name="_Toc25336"/>
      <w:r>
        <w:rPr>
          <w:rFonts w:hint="eastAsia" w:ascii="宋体" w:hAnsi="宋体" w:cs="宋体"/>
          <w:b/>
          <w:color w:val="000000" w:themeColor="text1"/>
          <w:sz w:val="28"/>
          <w:szCs w:val="21"/>
          <w14:textFill>
            <w14:solidFill>
              <w14:schemeClr w14:val="tx1"/>
            </w14:solidFill>
          </w14:textFill>
        </w:rPr>
        <w:t>第三章  采购需求及政府采购合同（拟签订的合同文本）</w:t>
      </w:r>
      <w:bookmarkEnd w:id="147"/>
      <w:bookmarkEnd w:id="148"/>
      <w:bookmarkEnd w:id="149"/>
      <w:bookmarkEnd w:id="150"/>
      <w:bookmarkStart w:id="151" w:name="_Toc108041641"/>
    </w:p>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采购需求及</w:t>
      </w:r>
      <w:r>
        <w:rPr>
          <w:rFonts w:hint="eastAsia" w:ascii="宋体" w:hAnsi="宋体" w:cs="宋体"/>
          <w:b/>
          <w:color w:val="000000" w:themeColor="text1"/>
          <w:szCs w:val="21"/>
          <w14:textFill>
            <w14:solidFill>
              <w14:schemeClr w14:val="tx1"/>
            </w14:solidFill>
          </w14:textFill>
        </w:rPr>
        <w:t>政府采购合同</w:t>
      </w:r>
      <w:r>
        <w:rPr>
          <w:rFonts w:hint="eastAsia" w:ascii="宋体" w:hAnsi="宋体" w:cs="宋体"/>
          <w:b/>
          <w:bCs/>
          <w:color w:val="000000" w:themeColor="text1"/>
          <w:szCs w:val="21"/>
          <w14:textFill>
            <w14:solidFill>
              <w14:schemeClr w14:val="tx1"/>
            </w14:solidFill>
          </w14:textFill>
        </w:rPr>
        <w:t>前附表</w:t>
      </w:r>
      <w:bookmarkEnd w:id="151"/>
    </w:p>
    <w:p>
      <w:pPr>
        <w:spacing w:line="440" w:lineRule="exact"/>
        <w:ind w:left="42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★本表是</w:t>
      </w:r>
      <w:r>
        <w:rPr>
          <w:rFonts w:hint="eastAsia" w:ascii="宋体" w:hAnsi="宋体" w:cs="宋体"/>
          <w:b/>
          <w:bCs/>
          <w:color w:val="000000" w:themeColor="text1"/>
          <w:szCs w:val="21"/>
          <w14:textFill>
            <w14:solidFill>
              <w14:schemeClr w14:val="tx1"/>
            </w14:solidFill>
          </w14:textFill>
        </w:rPr>
        <w:t>采购需求及</w:t>
      </w:r>
      <w:r>
        <w:rPr>
          <w:rFonts w:hint="eastAsia" w:ascii="宋体" w:hAnsi="宋体" w:cs="宋体"/>
          <w:b/>
          <w:color w:val="000000" w:themeColor="text1"/>
          <w:szCs w:val="21"/>
          <w14:textFill>
            <w14:solidFill>
              <w14:schemeClr w14:val="tx1"/>
            </w14:solidFill>
          </w14:textFill>
        </w:rPr>
        <w:t>政府采购合同相关内容的说明和补充，如有矛盾，应以本表为准。</w:t>
      </w:r>
    </w:p>
    <w:tbl>
      <w:tblPr>
        <w:tblStyle w:val="30"/>
        <w:tblW w:w="96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23"/>
        <w:gridCol w:w="6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6758"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采购标的需实现的功能或者目标，采购标的的数量，所有技术、服务、安全等要求</w:t>
            </w:r>
          </w:p>
        </w:tc>
        <w:tc>
          <w:tcPr>
            <w:tcW w:w="6758" w:type="dxa"/>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★质量标准</w:t>
            </w:r>
          </w:p>
        </w:tc>
        <w:tc>
          <w:tcPr>
            <w:tcW w:w="6758" w:type="dxa"/>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合格（</w:t>
            </w:r>
            <w:r>
              <w:rPr>
                <w:rFonts w:hint="eastAsia" w:ascii="宋体" w:hAnsi="宋体" w:cs="宋体"/>
                <w:color w:val="000000" w:themeColor="text1"/>
                <w:szCs w:val="21"/>
                <w:lang w:eastAsia="zh-CN"/>
                <w14:textFill>
                  <w14:solidFill>
                    <w14:schemeClr w14:val="tx1"/>
                  </w14:solidFill>
                </w14:textFill>
              </w:rPr>
              <w:t>完全响应招标文件要求</w:t>
            </w:r>
            <w:r>
              <w:rPr>
                <w:rFonts w:hint="eastAsia" w:ascii="宋体" w:hAnsi="宋体" w:cs="宋体"/>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eastAsia="宋体" w:cs="宋体"/>
                <w:b/>
                <w:color w:val="000000" w:themeColor="text1"/>
                <w:kern w:val="2"/>
                <w:sz w:val="21"/>
                <w:szCs w:val="21"/>
                <w:lang w:val="en-US" w:eastAsia="zh-CN" w:bidi="ar-SA"/>
                <w14:textFill>
                  <w14:solidFill>
                    <w14:schemeClr w14:val="tx1"/>
                  </w14:solidFill>
                </w14:textFill>
              </w:rPr>
              <w:t>质</w:t>
            </w:r>
            <w:r>
              <w:rPr>
                <w:rFonts w:hint="eastAsia" w:ascii="宋体" w:hAnsi="宋体" w:cs="宋体"/>
                <w:b/>
                <w:color w:val="000000" w:themeColor="text1"/>
                <w:kern w:val="2"/>
                <w:sz w:val="21"/>
                <w:szCs w:val="21"/>
                <w:lang w:val="en-US" w:eastAsia="zh-CN" w:bidi="ar-SA"/>
                <w14:textFill>
                  <w14:solidFill>
                    <w14:schemeClr w14:val="tx1"/>
                  </w14:solidFill>
                </w14:textFill>
              </w:rPr>
              <w:t>保期（</w:t>
            </w:r>
            <w:r>
              <w:rPr>
                <w:rFonts w:hint="eastAsia" w:ascii="宋体" w:hAnsi="宋体" w:cs="宋体"/>
                <w:b/>
                <w:color w:val="000000" w:themeColor="text1"/>
                <w:szCs w:val="21"/>
                <w14:textFill>
                  <w14:solidFill>
                    <w14:schemeClr w14:val="tx1"/>
                  </w14:solidFill>
                </w14:textFill>
              </w:rPr>
              <w:t>合同履行期限</w:t>
            </w:r>
            <w:r>
              <w:rPr>
                <w:rFonts w:hint="eastAsia" w:ascii="宋体" w:hAnsi="宋体" w:cs="宋体"/>
                <w:b/>
                <w:color w:val="000000" w:themeColor="text1"/>
                <w:kern w:val="2"/>
                <w:sz w:val="21"/>
                <w:szCs w:val="21"/>
                <w:lang w:val="en-US" w:eastAsia="zh-CN" w:bidi="ar-SA"/>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：以验收合格之日起计算</w:t>
            </w:r>
          </w:p>
        </w:tc>
        <w:tc>
          <w:tcPr>
            <w:tcW w:w="6758" w:type="dxa"/>
            <w:vAlign w:val="center"/>
          </w:tcPr>
          <w:p>
            <w:pPr>
              <w:widowControl/>
              <w:tabs>
                <w:tab w:val="left" w:pos="851"/>
              </w:tabs>
              <w:spacing w:before="163" w:after="163"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不少于</w:t>
            </w:r>
            <w:r>
              <w:rPr>
                <w:rFonts w:hint="eastAsia" w:ascii="宋体" w:hAnsi="宋体" w:cs="宋体"/>
                <w:b/>
                <w:bCs/>
                <w:color w:val="000000" w:themeColor="text1"/>
                <w:szCs w:val="21"/>
                <w:u w:val="single"/>
                <w14:textFill>
                  <w14:solidFill>
                    <w14:schemeClr w14:val="tx1"/>
                  </w14:solidFill>
                </w14:textFill>
              </w:rPr>
              <w:t>叁</w:t>
            </w:r>
            <w:r>
              <w:rPr>
                <w:rFonts w:hint="eastAsia" w:ascii="宋体" w:hAnsi="宋体" w:cs="宋体"/>
                <w:b/>
                <w:bCs/>
                <w:color w:val="000000" w:themeColor="text1"/>
                <w:szCs w:val="21"/>
                <w14:textFill>
                  <w14:solidFill>
                    <w14:schemeClr w14:val="tx1"/>
                  </w14:solidFill>
                </w14:textFill>
              </w:rPr>
              <w:t>年</w:t>
            </w:r>
            <w:r>
              <w:rPr>
                <w:rFonts w:hint="eastAsia" w:ascii="宋体" w:hAnsi="宋体" w:cs="宋体"/>
                <w:color w:val="000000" w:themeColor="text1"/>
                <w:szCs w:val="21"/>
                <w14:textFill>
                  <w14:solidFill>
                    <w14:schemeClr w14:val="tx1"/>
                  </w14:solidFill>
                </w14:textFill>
              </w:rPr>
              <w:t>（自验收合格之日起算）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★交付或者实施的时间</w:t>
            </w:r>
          </w:p>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（交货期或工期）</w:t>
            </w:r>
          </w:p>
        </w:tc>
        <w:tc>
          <w:tcPr>
            <w:tcW w:w="6758" w:type="dxa"/>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合同签订后</w:t>
            </w:r>
            <w:r>
              <w:rPr>
                <w:rFonts w:hint="eastAsia" w:ascii="宋体" w:hAnsi="宋体" w:cs="宋体"/>
                <w:color w:val="000000" w:themeColor="text1"/>
                <w:szCs w:val="21"/>
                <w:u w:val="none"/>
                <w:lang w:val="en-US" w:eastAsia="zh-CN"/>
                <w14:textFill>
                  <w14:solidFill>
                    <w14:schemeClr w14:val="tx1"/>
                  </w14:solidFill>
                </w14:textFill>
              </w:rPr>
              <w:t>30</w:t>
            </w:r>
            <w:r>
              <w:rPr>
                <w:rFonts w:hint="eastAsia" w:ascii="宋体" w:hAnsi="宋体" w:cs="宋体"/>
                <w:color w:val="000000" w:themeColor="text1"/>
                <w:szCs w:val="21"/>
                <w:lang w:val="en-US" w:eastAsia="zh-CN"/>
                <w14:textFill>
                  <w14:solidFill>
                    <w14:schemeClr w14:val="tx1"/>
                  </w14:solidFill>
                </w14:textFill>
              </w:rPr>
              <w:t>日（日历天）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★交付或者实施的地点</w:t>
            </w:r>
          </w:p>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（交付地点或施工地点）</w:t>
            </w:r>
          </w:p>
        </w:tc>
        <w:tc>
          <w:tcPr>
            <w:tcW w:w="6758" w:type="dxa"/>
            <w:vAlign w:val="center"/>
          </w:tcPr>
          <w:p>
            <w:pPr>
              <w:spacing w:line="44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江苏医药职业学院指定地点（具体地点以采购人通知为准）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 w:hRule="atLeast"/>
          <w:jc w:val="center"/>
        </w:trPr>
        <w:tc>
          <w:tcPr>
            <w:tcW w:w="2923" w:type="dxa"/>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★采购资金的支付方式、时间、条件（付款方式）</w:t>
            </w:r>
          </w:p>
        </w:tc>
        <w:tc>
          <w:tcPr>
            <w:tcW w:w="6758" w:type="dxa"/>
            <w:vAlign w:val="center"/>
          </w:tcPr>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1.支付方式：电汇或转账等非现金方式</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2.支付时间、条件付款方式：</w:t>
            </w:r>
          </w:p>
          <w:p>
            <w:pPr>
              <w:spacing w:line="440" w:lineRule="exact"/>
              <w:ind w:firstLine="422"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项目验收合格后无质量问题支付合同价的70%款项；审计合格后付至审计价的90%，余款</w:t>
            </w:r>
            <w:r>
              <w:rPr>
                <w:rFonts w:hint="eastAsia" w:ascii="宋体" w:hAnsi="宋体" w:cs="宋体"/>
                <w:b/>
                <w:bCs/>
                <w:color w:val="000000" w:themeColor="text1"/>
                <w:szCs w:val="21"/>
                <w:lang w:val="en-US" w:eastAsia="zh-CN"/>
                <w14:textFill>
                  <w14:solidFill>
                    <w14:schemeClr w14:val="tx1"/>
                  </w14:solidFill>
                </w14:textFill>
              </w:rPr>
              <w:t>于满三年后</w:t>
            </w:r>
            <w:r>
              <w:rPr>
                <w:rFonts w:hint="eastAsia" w:ascii="宋体" w:hAnsi="宋体" w:cs="宋体"/>
                <w:b/>
                <w:bCs/>
                <w:color w:val="000000" w:themeColor="text1"/>
                <w:szCs w:val="21"/>
                <w14:textFill>
                  <w14:solidFill>
                    <w14:schemeClr w14:val="tx1"/>
                  </w14:solidFill>
                </w14:textFill>
              </w:rPr>
              <w:t>一次性无息付清。</w:t>
            </w:r>
          </w:p>
          <w:p>
            <w:pPr>
              <w:pStyle w:val="23"/>
              <w:spacing w:line="360" w:lineRule="auto"/>
              <w:ind w:left="0" w:leftChars="0"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7" w:hRule="atLeast"/>
          <w:jc w:val="center"/>
        </w:trPr>
        <w:tc>
          <w:tcPr>
            <w:tcW w:w="9681" w:type="dxa"/>
            <w:gridSpan w:val="2"/>
            <w:vAlign w:val="center"/>
          </w:tcPr>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本表当中，加★部分为实质性要求，不接受负偏离。</w:t>
            </w:r>
          </w:p>
        </w:tc>
      </w:tr>
    </w:tbl>
    <w:p>
      <w:pPr>
        <w:pStyle w:val="11"/>
        <w:spacing w:line="440" w:lineRule="exact"/>
        <w:jc w:val="center"/>
        <w:rPr>
          <w:rFonts w:ascii="宋体" w:hAnsi="宋体" w:eastAsia="宋体" w:cs="宋体"/>
          <w:b/>
          <w:sz w:val="21"/>
          <w:szCs w:val="21"/>
        </w:rPr>
      </w:pPr>
      <w:bookmarkStart w:id="152" w:name="_Toc18313"/>
      <w:bookmarkStart w:id="153" w:name="_Toc115881316"/>
      <w:bookmarkStart w:id="154" w:name="_Toc108881176"/>
      <w:bookmarkStart w:id="155" w:name="_Toc108041642"/>
    </w:p>
    <w:p/>
    <w:p>
      <w:pPr>
        <w:pStyle w:val="11"/>
        <w:spacing w:line="440" w:lineRule="exact"/>
        <w:rPr>
          <w:rFonts w:ascii="宋体" w:hAnsi="宋体" w:eastAsia="宋体" w:cs="宋体"/>
          <w:b/>
          <w:sz w:val="21"/>
          <w:szCs w:val="21"/>
        </w:rPr>
      </w:pPr>
    </w:p>
    <w:p/>
    <w:p/>
    <w:p/>
    <w:p>
      <w:pPr>
        <w:pStyle w:val="11"/>
        <w:spacing w:line="440" w:lineRule="exact"/>
        <w:jc w:val="center"/>
        <w:outlineLvl w:val="1"/>
        <w:rPr>
          <w:rFonts w:hint="eastAsia" w:ascii="宋体" w:hAnsi="宋体" w:eastAsia="宋体" w:cs="宋体"/>
          <w:b/>
          <w:sz w:val="21"/>
          <w:szCs w:val="21"/>
        </w:rPr>
      </w:pPr>
    </w:p>
    <w:p>
      <w:pPr>
        <w:pStyle w:val="11"/>
        <w:spacing w:line="440" w:lineRule="exact"/>
        <w:jc w:val="center"/>
        <w:outlineLvl w:val="1"/>
        <w:rPr>
          <w:rFonts w:hint="eastAsia" w:ascii="宋体" w:hAnsi="宋体" w:eastAsia="宋体" w:cs="宋体"/>
          <w:b/>
          <w:sz w:val="21"/>
          <w:szCs w:val="21"/>
        </w:rPr>
      </w:pPr>
    </w:p>
    <w:p>
      <w:pPr>
        <w:rPr>
          <w:rFonts w:hint="eastAsia"/>
        </w:rPr>
      </w:pPr>
    </w:p>
    <w:p>
      <w:pPr>
        <w:pStyle w:val="11"/>
        <w:spacing w:line="440" w:lineRule="exact"/>
        <w:jc w:val="center"/>
        <w:outlineLvl w:val="1"/>
        <w:rPr>
          <w:rFonts w:hint="eastAsia" w:ascii="宋体" w:hAnsi="宋体" w:eastAsia="宋体" w:cs="宋体"/>
          <w:b/>
          <w:sz w:val="21"/>
          <w:szCs w:val="21"/>
        </w:rPr>
      </w:pPr>
    </w:p>
    <w:p>
      <w:pPr>
        <w:pStyle w:val="11"/>
        <w:spacing w:line="440" w:lineRule="exact"/>
        <w:jc w:val="center"/>
        <w:outlineLvl w:val="1"/>
        <w:rPr>
          <w:rFonts w:hint="eastAsia" w:ascii="宋体" w:hAnsi="宋体" w:eastAsia="宋体" w:cs="宋体"/>
          <w:b/>
          <w:sz w:val="21"/>
          <w:szCs w:val="21"/>
        </w:rPr>
      </w:pPr>
    </w:p>
    <w:p>
      <w:pPr>
        <w:pStyle w:val="11"/>
        <w:spacing w:line="440" w:lineRule="exact"/>
        <w:jc w:val="center"/>
        <w:outlineLvl w:val="1"/>
        <w:rPr>
          <w:rFonts w:hint="eastAsia" w:ascii="宋体" w:hAnsi="宋体" w:eastAsia="宋体" w:cs="宋体"/>
          <w:b/>
          <w:sz w:val="21"/>
          <w:szCs w:val="21"/>
        </w:rPr>
      </w:pPr>
    </w:p>
    <w:p>
      <w:pPr>
        <w:pStyle w:val="11"/>
        <w:spacing w:line="440" w:lineRule="exact"/>
        <w:jc w:val="center"/>
        <w:outlineLvl w:val="1"/>
        <w:rPr>
          <w:rFonts w:ascii="宋体" w:hAnsi="宋体" w:eastAsia="宋体" w:cs="宋体"/>
          <w:b/>
          <w:sz w:val="21"/>
          <w:szCs w:val="21"/>
        </w:rPr>
      </w:pPr>
      <w:bookmarkStart w:id="156" w:name="_Toc26709"/>
      <w:r>
        <w:rPr>
          <w:rFonts w:hint="eastAsia" w:ascii="宋体" w:hAnsi="宋体" w:eastAsia="宋体" w:cs="宋体"/>
          <w:b/>
          <w:sz w:val="21"/>
          <w:szCs w:val="21"/>
        </w:rPr>
        <w:t>第一部分：采购需求及参数要求</w:t>
      </w:r>
      <w:bookmarkEnd w:id="152"/>
      <w:bookmarkEnd w:id="153"/>
      <w:bookmarkEnd w:id="156"/>
    </w:p>
    <w:bookmarkEnd w:id="154"/>
    <w:bookmarkEnd w:id="155"/>
    <w:p>
      <w:pPr>
        <w:widowControl/>
        <w:rPr>
          <w:rFonts w:ascii="宋体" w:hAnsi="宋体" w:cs="宋体"/>
          <w:b/>
          <w:kern w:val="0"/>
          <w:szCs w:val="21"/>
        </w:rPr>
      </w:pPr>
      <w:bookmarkStart w:id="157" w:name="_Toc108881184"/>
      <w:bookmarkStart w:id="158" w:name="_Toc108041646"/>
      <w:bookmarkStart w:id="159" w:name="_Toc115881320"/>
    </w:p>
    <w:bookmarkEnd w:id="157"/>
    <w:bookmarkEnd w:id="158"/>
    <w:bookmarkEnd w:id="159"/>
    <w:p>
      <w:pPr>
        <w:spacing w:line="336" w:lineRule="auto"/>
        <w:rPr>
          <w:rFonts w:ascii="宋体" w:hAnsi="宋体" w:cs="宋体"/>
          <w:b/>
          <w:szCs w:val="21"/>
        </w:rPr>
      </w:pPr>
      <w:bookmarkStart w:id="160" w:name="_Toc108041647"/>
      <w:bookmarkStart w:id="161" w:name="_Toc108881185"/>
      <w:r>
        <w:rPr>
          <w:rFonts w:hint="eastAsia" w:ascii="宋体" w:hAnsi="宋体" w:cs="宋体"/>
          <w:b/>
          <w:szCs w:val="21"/>
        </w:rPr>
        <w:t>一、项目内容</w:t>
      </w:r>
    </w:p>
    <w:p>
      <w:pPr>
        <w:ind w:firstLine="420" w:firstLineChars="200"/>
        <w:rPr>
          <w:rFonts w:hint="eastAsia" w:ascii="宋体" w:hAnsi="宋体" w:cs="宋体"/>
          <w:bCs/>
          <w:kern w:val="0"/>
          <w:szCs w:val="21"/>
        </w:rPr>
      </w:pPr>
      <w:r>
        <w:rPr>
          <w:rFonts w:hint="eastAsia" w:ascii="宋体" w:hAnsi="宋体" w:cs="宋体"/>
          <w:szCs w:val="21"/>
        </w:rPr>
        <w:t>因西园图书馆重新设计改造出新，为了给西园的师生创造一个良好舒适的阅读环境，重新采购桌椅、书架，沙发等家具。</w:t>
      </w:r>
    </w:p>
    <w:p>
      <w:pPr>
        <w:numPr>
          <w:ilvl w:val="0"/>
          <w:numId w:val="0"/>
        </w:numPr>
        <w:rPr>
          <w:rFonts w:hint="eastAsia"/>
          <w:b/>
          <w:bCs/>
          <w:lang w:val="en-US" w:eastAsia="zh-CN"/>
        </w:rPr>
      </w:pPr>
      <w:r>
        <w:rPr>
          <w:rFonts w:hint="eastAsia" w:ascii="Times New Roman" w:hAnsi="Times New Roman" w:eastAsia="宋体" w:cs="Times New Roman"/>
          <w:b/>
          <w:bCs/>
          <w:kern w:val="2"/>
          <w:sz w:val="21"/>
          <w:szCs w:val="24"/>
          <w:lang w:val="en-US" w:eastAsia="zh-CN" w:bidi="ar-SA"/>
        </w:rPr>
        <w:t>二、</w:t>
      </w:r>
      <w:r>
        <w:rPr>
          <w:rFonts w:hint="eastAsia"/>
          <w:b/>
          <w:bCs/>
          <w:lang w:val="en-US" w:eastAsia="zh-CN"/>
        </w:rPr>
        <w:t>项目清单</w:t>
      </w:r>
    </w:p>
    <w:tbl>
      <w:tblPr>
        <w:tblStyle w:val="30"/>
        <w:tblW w:w="9889" w:type="dxa"/>
        <w:jc w:val="center"/>
        <w:tblLayout w:type="fixed"/>
        <w:tblCellMar>
          <w:top w:w="0" w:type="dxa"/>
          <w:left w:w="108" w:type="dxa"/>
          <w:bottom w:w="0" w:type="dxa"/>
          <w:right w:w="108" w:type="dxa"/>
        </w:tblCellMar>
      </w:tblPr>
      <w:tblGrid>
        <w:gridCol w:w="515"/>
        <w:gridCol w:w="795"/>
        <w:gridCol w:w="1470"/>
        <w:gridCol w:w="1305"/>
        <w:gridCol w:w="3417"/>
        <w:gridCol w:w="1305"/>
        <w:gridCol w:w="557"/>
        <w:gridCol w:w="525"/>
      </w:tblGrid>
      <w:tr>
        <w:tblPrEx>
          <w:tblCellMar>
            <w:top w:w="0" w:type="dxa"/>
            <w:left w:w="108" w:type="dxa"/>
            <w:bottom w:w="0" w:type="dxa"/>
            <w:right w:w="108" w:type="dxa"/>
          </w:tblCellMar>
        </w:tblPrEx>
        <w:trPr>
          <w:trHeight w:val="435" w:hRule="atLeast"/>
          <w:jc w:val="center"/>
        </w:trPr>
        <w:tc>
          <w:tcPr>
            <w:tcW w:w="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名称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参考图片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规格</w:t>
            </w:r>
          </w:p>
        </w:tc>
        <w:tc>
          <w:tcPr>
            <w:tcW w:w="3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材质说明</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颜色</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走道</w:t>
            </w:r>
          </w:p>
        </w:tc>
      </w:tr>
      <w:tr>
        <w:tblPrEx>
          <w:tblCellMar>
            <w:top w:w="0" w:type="dxa"/>
            <w:left w:w="108" w:type="dxa"/>
            <w:bottom w:w="0" w:type="dxa"/>
            <w:right w:w="108" w:type="dxa"/>
          </w:tblCellMar>
        </w:tblPrEx>
        <w:trPr>
          <w:trHeight w:val="2539"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7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椭圆形桌</w:t>
            </w:r>
          </w:p>
        </w:tc>
        <w:tc>
          <w:tcPr>
            <w:tcW w:w="147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8720" behindDoc="0" locked="0" layoutInCell="1" allowOverlap="1">
                  <wp:simplePos x="0" y="0"/>
                  <wp:positionH relativeFrom="column">
                    <wp:posOffset>71120</wp:posOffset>
                  </wp:positionH>
                  <wp:positionV relativeFrom="paragraph">
                    <wp:posOffset>516890</wp:posOffset>
                  </wp:positionV>
                  <wp:extent cx="746125" cy="617855"/>
                  <wp:effectExtent l="0" t="0" r="15875" b="10795"/>
                  <wp:wrapNone/>
                  <wp:docPr id="70" name="图片_5"/>
                  <wp:cNvGraphicFramePr/>
                  <a:graphic xmlns:a="http://schemas.openxmlformats.org/drawingml/2006/main">
                    <a:graphicData uri="http://schemas.openxmlformats.org/drawingml/2006/picture">
                      <pic:pic xmlns:pic="http://schemas.openxmlformats.org/drawingml/2006/picture">
                        <pic:nvPicPr>
                          <pic:cNvPr id="70" name="图片_5"/>
                          <pic:cNvPicPr/>
                        </pic:nvPicPr>
                        <pic:blipFill>
                          <a:blip r:embed="rId10"/>
                          <a:stretch>
                            <a:fillRect/>
                          </a:stretch>
                        </pic:blipFill>
                        <pic:spPr>
                          <a:xfrm>
                            <a:off x="0" y="0"/>
                            <a:ext cx="746125" cy="617855"/>
                          </a:xfrm>
                          <a:prstGeom prst="rect">
                            <a:avLst/>
                          </a:prstGeom>
                          <a:noFill/>
                          <a:ln>
                            <a:noFill/>
                          </a:ln>
                        </pic:spPr>
                      </pic:pic>
                    </a:graphicData>
                  </a:graphic>
                </wp:anchor>
              </w:drawing>
            </w:r>
          </w:p>
        </w:tc>
        <w:tc>
          <w:tcPr>
            <w:tcW w:w="130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2000×1000×750 mm</w:t>
            </w:r>
          </w:p>
        </w:tc>
        <w:tc>
          <w:tcPr>
            <w:tcW w:w="3417"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2)优质PVC封边条；</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3)采用优质铝合金,表面经静电粉末喷涂</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4)塑胶件,ABS材质</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S-56卡斯丁</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抛光S-59流星灰</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r>
      <w:tr>
        <w:tblPrEx>
          <w:tblCellMar>
            <w:top w:w="0" w:type="dxa"/>
            <w:left w:w="108" w:type="dxa"/>
            <w:bottom w:w="0" w:type="dxa"/>
            <w:right w:w="108" w:type="dxa"/>
          </w:tblCellMar>
        </w:tblPrEx>
        <w:trPr>
          <w:trHeight w:val="134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9744" behindDoc="0" locked="0" layoutInCell="1" allowOverlap="1">
                  <wp:simplePos x="0" y="0"/>
                  <wp:positionH relativeFrom="column">
                    <wp:posOffset>120650</wp:posOffset>
                  </wp:positionH>
                  <wp:positionV relativeFrom="paragraph">
                    <wp:posOffset>78740</wp:posOffset>
                  </wp:positionV>
                  <wp:extent cx="515620" cy="670560"/>
                  <wp:effectExtent l="0" t="0" r="17780" b="15240"/>
                  <wp:wrapNone/>
                  <wp:docPr id="71" name="图片_14"/>
                  <wp:cNvGraphicFramePr/>
                  <a:graphic xmlns:a="http://schemas.openxmlformats.org/drawingml/2006/main">
                    <a:graphicData uri="http://schemas.openxmlformats.org/drawingml/2006/picture">
                      <pic:pic xmlns:pic="http://schemas.openxmlformats.org/drawingml/2006/picture">
                        <pic:nvPicPr>
                          <pic:cNvPr id="71" name="图片_14"/>
                          <pic:cNvPicPr/>
                        </pic:nvPicPr>
                        <pic:blipFill>
                          <a:blip r:embed="rId11"/>
                          <a:stretch>
                            <a:fillRect/>
                          </a:stretch>
                        </pic:blipFill>
                        <pic:spPr>
                          <a:xfrm>
                            <a:off x="0" y="0"/>
                            <a:ext cx="515620" cy="67056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504×530×765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1)整椅PP+GF15，座面可承受57KG质量的100000次循环；</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2)可堆叠存放</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szCs w:val="21"/>
              </w:rPr>
              <w:t>红色</w:t>
            </w:r>
          </w:p>
        </w:tc>
        <w:tc>
          <w:tcPr>
            <w:tcW w:w="5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张</w:t>
            </w:r>
          </w:p>
        </w:tc>
        <w:tc>
          <w:tcPr>
            <w:tcW w:w="52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多功能区</w:t>
            </w:r>
          </w:p>
        </w:tc>
      </w:tr>
      <w:tr>
        <w:tblPrEx>
          <w:tblCellMar>
            <w:top w:w="0" w:type="dxa"/>
            <w:left w:w="108" w:type="dxa"/>
            <w:bottom w:w="0" w:type="dxa"/>
            <w:right w:w="108" w:type="dxa"/>
          </w:tblCellMar>
        </w:tblPrEx>
        <w:trPr>
          <w:trHeight w:val="1590"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高吧椅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0768" behindDoc="0" locked="0" layoutInCell="1" allowOverlap="1">
                  <wp:simplePos x="0" y="0"/>
                  <wp:positionH relativeFrom="column">
                    <wp:posOffset>27940</wp:posOffset>
                  </wp:positionH>
                  <wp:positionV relativeFrom="paragraph">
                    <wp:posOffset>137160</wp:posOffset>
                  </wp:positionV>
                  <wp:extent cx="655320" cy="680720"/>
                  <wp:effectExtent l="0" t="0" r="11430" b="5080"/>
                  <wp:wrapNone/>
                  <wp:docPr id="72" name="图片_1"/>
                  <wp:cNvGraphicFramePr/>
                  <a:graphic xmlns:a="http://schemas.openxmlformats.org/drawingml/2006/main">
                    <a:graphicData uri="http://schemas.openxmlformats.org/drawingml/2006/picture">
                      <pic:pic xmlns:pic="http://schemas.openxmlformats.org/drawingml/2006/picture">
                        <pic:nvPicPr>
                          <pic:cNvPr id="72" name="图片_1"/>
                          <pic:cNvPicPr/>
                        </pic:nvPicPr>
                        <pic:blipFill>
                          <a:blip r:embed="rId12"/>
                          <a:stretch>
                            <a:fillRect/>
                          </a:stretch>
                        </pic:blipFill>
                        <pic:spPr>
                          <a:xfrm>
                            <a:off x="0" y="0"/>
                            <a:ext cx="655320" cy="68072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475×545×970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1)尼龙+20%玻纤背框</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2)气杆,升降平稳,无漏声、噪声</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3)钢制电镀五星脚</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4)PA椅轮,转动轻快灵活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莫兰迪绿色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座垫：TM-CI21B灰色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9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活动桌</w:t>
            </w:r>
          </w:p>
        </w:tc>
        <w:tc>
          <w:tcPr>
            <w:tcW w:w="147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77696" behindDoc="0" locked="0" layoutInCell="1" allowOverlap="1">
                  <wp:simplePos x="0" y="0"/>
                  <wp:positionH relativeFrom="column">
                    <wp:posOffset>12065</wp:posOffset>
                  </wp:positionH>
                  <wp:positionV relativeFrom="paragraph">
                    <wp:posOffset>243205</wp:posOffset>
                  </wp:positionV>
                  <wp:extent cx="692785" cy="793115"/>
                  <wp:effectExtent l="0" t="0" r="12065" b="6985"/>
                  <wp:wrapNone/>
                  <wp:docPr id="73" name="图片_75"/>
                  <wp:cNvGraphicFramePr/>
                  <a:graphic xmlns:a="http://schemas.openxmlformats.org/drawingml/2006/main">
                    <a:graphicData uri="http://schemas.openxmlformats.org/drawingml/2006/picture">
                      <pic:pic xmlns:pic="http://schemas.openxmlformats.org/drawingml/2006/picture">
                        <pic:nvPicPr>
                          <pic:cNvPr id="73" name="图片_75"/>
                          <pic:cNvPicPr/>
                        </pic:nvPicPr>
                        <pic:blipFill>
                          <a:blip r:embed="rId13"/>
                          <a:stretch>
                            <a:fillRect/>
                          </a:stretch>
                        </pic:blipFill>
                        <pic:spPr>
                          <a:xfrm>
                            <a:off x="0" y="0"/>
                            <a:ext cx="692785" cy="793115"/>
                          </a:xfrm>
                          <a:prstGeom prst="rect">
                            <a:avLst/>
                          </a:prstGeom>
                          <a:noFill/>
                          <a:ln>
                            <a:noFill/>
                          </a:ln>
                        </pic:spPr>
                      </pic:pic>
                    </a:graphicData>
                  </a:graphic>
                </wp:anchor>
              </w:drawing>
            </w:r>
          </w:p>
        </w:tc>
        <w:tc>
          <w:tcPr>
            <w:tcW w:w="130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816×520×750 mm</w:t>
            </w:r>
          </w:p>
        </w:tc>
        <w:tc>
          <w:tcPr>
            <w:tcW w:w="341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3)螺杆式万向轮</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4)钢脚壁厚2.0mm,表面静电粉末喷涂,漆膜厚度60μm-130μm</w:t>
            </w:r>
            <w:r>
              <w:rPr>
                <w:rFonts w:hint="eastAsia" w:ascii="宋体" w:hAnsi="宋体" w:eastAsia="宋体" w:cs="宋体"/>
                <w:kern w:val="0"/>
                <w:szCs w:val="21"/>
                <w:lang w:eastAsia="zh-CN" w:bidi="ar"/>
              </w:rPr>
              <w:t>;</w:t>
            </w:r>
          </w:p>
        </w:tc>
        <w:tc>
          <w:tcPr>
            <w:tcW w:w="1305"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S-57暖白色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流星灰</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张</w:t>
            </w:r>
          </w:p>
        </w:tc>
        <w:tc>
          <w:tcPr>
            <w:tcW w:w="52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79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2816" behindDoc="0" locked="0" layoutInCell="1" allowOverlap="1">
                  <wp:simplePos x="0" y="0"/>
                  <wp:positionH relativeFrom="column">
                    <wp:posOffset>116205</wp:posOffset>
                  </wp:positionH>
                  <wp:positionV relativeFrom="paragraph">
                    <wp:posOffset>177800</wp:posOffset>
                  </wp:positionV>
                  <wp:extent cx="594995" cy="738505"/>
                  <wp:effectExtent l="0" t="0" r="14605" b="4445"/>
                  <wp:wrapNone/>
                  <wp:docPr id="74" name="图片_17"/>
                  <wp:cNvGraphicFramePr/>
                  <a:graphic xmlns:a="http://schemas.openxmlformats.org/drawingml/2006/main">
                    <a:graphicData uri="http://schemas.openxmlformats.org/drawingml/2006/picture">
                      <pic:pic xmlns:pic="http://schemas.openxmlformats.org/drawingml/2006/picture">
                        <pic:nvPicPr>
                          <pic:cNvPr id="74" name="图片_17"/>
                          <pic:cNvPicPr/>
                        </pic:nvPicPr>
                        <pic:blipFill>
                          <a:blip r:embed="rId14"/>
                          <a:stretch>
                            <a:fillRect/>
                          </a:stretch>
                        </pic:blipFill>
                        <pic:spPr>
                          <a:xfrm>
                            <a:off x="0" y="0"/>
                            <a:ext cx="594995" cy="738505"/>
                          </a:xfrm>
                          <a:prstGeom prst="rect">
                            <a:avLst/>
                          </a:prstGeom>
                          <a:noFill/>
                          <a:ln>
                            <a:noFill/>
                          </a:ln>
                        </pic:spPr>
                      </pic:pic>
                    </a:graphicData>
                  </a:graphic>
                </wp:anchor>
              </w:drawing>
            </w:r>
          </w:p>
        </w:tc>
        <w:tc>
          <w:tcPr>
            <w:tcW w:w="130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495×515×760 mm</w:t>
            </w:r>
          </w:p>
        </w:tc>
        <w:tc>
          <w:tcPr>
            <w:tcW w:w="3417" w:type="dxa"/>
            <w:tcBorders>
              <w:top w:val="nil"/>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1)PP+30%玻纤背框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3)PU静音椅轮,转动轻快灵活</w:t>
            </w:r>
            <w:r>
              <w:rPr>
                <w:rFonts w:hint="eastAsia" w:ascii="宋体" w:hAnsi="宋体" w:eastAsia="宋体" w:cs="宋体"/>
                <w:kern w:val="0"/>
                <w:szCs w:val="21"/>
                <w:lang w:eastAsia="zh-CN" w:bidi="ar"/>
              </w:rPr>
              <w:t>;</w:t>
            </w:r>
          </w:p>
        </w:tc>
        <w:tc>
          <w:tcPr>
            <w:tcW w:w="1305"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豆绿色/灰白色/ 珊瑚色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黑色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服务大厅</w:t>
            </w:r>
          </w:p>
        </w:tc>
      </w:tr>
      <w:tr>
        <w:tblPrEx>
          <w:tblCellMar>
            <w:top w:w="0" w:type="dxa"/>
            <w:left w:w="108" w:type="dxa"/>
            <w:bottom w:w="0" w:type="dxa"/>
            <w:right w:w="108" w:type="dxa"/>
          </w:tblCellMar>
        </w:tblPrEx>
        <w:trPr>
          <w:trHeight w:val="5384"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办公桌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3840" behindDoc="0" locked="0" layoutInCell="1" allowOverlap="1">
                  <wp:simplePos x="0" y="0"/>
                  <wp:positionH relativeFrom="column">
                    <wp:posOffset>37465</wp:posOffset>
                  </wp:positionH>
                  <wp:positionV relativeFrom="paragraph">
                    <wp:posOffset>1850390</wp:posOffset>
                  </wp:positionV>
                  <wp:extent cx="810895" cy="521970"/>
                  <wp:effectExtent l="0" t="0" r="8255" b="11430"/>
                  <wp:wrapNone/>
                  <wp:docPr id="68" name="图片_8"/>
                  <wp:cNvGraphicFramePr/>
                  <a:graphic xmlns:a="http://schemas.openxmlformats.org/drawingml/2006/main">
                    <a:graphicData uri="http://schemas.openxmlformats.org/drawingml/2006/picture">
                      <pic:pic xmlns:pic="http://schemas.openxmlformats.org/drawingml/2006/picture">
                        <pic:nvPicPr>
                          <pic:cNvPr id="68" name="图片_8"/>
                          <pic:cNvPicPr/>
                        </pic:nvPicPr>
                        <pic:blipFill>
                          <a:blip r:embed="rId15"/>
                          <a:stretch>
                            <a:fillRect/>
                          </a:stretch>
                        </pic:blipFill>
                        <pic:spPr>
                          <a:xfrm>
                            <a:off x="0" y="0"/>
                            <a:ext cx="810895" cy="52197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1200×600×750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4)优质滑轨,表面黑色喷涂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6)优质翻板线盒（含86面板）</w:t>
            </w:r>
            <w:r>
              <w:rPr>
                <w:rFonts w:hint="eastAsia" w:ascii="宋体" w:hAnsi="宋体" w:eastAsia="宋体" w:cs="宋体"/>
                <w:kern w:val="0"/>
                <w:szCs w:val="21"/>
                <w:lang w:eastAsia="zh-CN" w:bidi="ar"/>
              </w:rPr>
              <w:t>;</w:t>
            </w:r>
          </w:p>
          <w:p>
            <w:pPr>
              <w:widowControl/>
              <w:jc w:val="left"/>
              <w:rPr>
                <w:rFonts w:ascii="宋体" w:hAnsi="宋体" w:cs="宋体"/>
                <w:b/>
                <w:bCs/>
                <w:color w:val="000000"/>
              </w:rPr>
            </w:pPr>
            <w:r>
              <w:rPr>
                <w:rFonts w:hint="eastAsia"/>
                <w:b/>
                <w:bCs/>
              </w:rPr>
              <w:t>★</w:t>
            </w:r>
            <w:r>
              <w:rPr>
                <w:rFonts w:hint="eastAsia"/>
                <w:b/>
                <w:bCs/>
                <w:lang w:val="en-US" w:eastAsia="zh-CN"/>
              </w:rPr>
              <w:t>7</w:t>
            </w:r>
            <w:r>
              <w:rPr>
                <w:rFonts w:hint="eastAsia"/>
                <w:b/>
                <w:bCs/>
                <w:color w:val="000000"/>
              </w:rPr>
              <w:t>）提供办公桌具</w:t>
            </w:r>
            <w:r>
              <w:rPr>
                <w:rFonts w:hint="eastAsia" w:ascii="宋体" w:hAnsi="宋体" w:eastAsia="宋体" w:cs="宋体"/>
                <w:b/>
                <w:bCs/>
                <w:color w:val="000000"/>
              </w:rPr>
              <w:t>有CMA或CNAS认证检测机构检测报告复印件</w:t>
            </w:r>
            <w:r>
              <w:rPr>
                <w:rFonts w:hint="eastAsia" w:ascii="宋体" w:hAnsi="宋体" w:eastAsia="宋体" w:cs="宋体"/>
                <w:b/>
                <w:bCs/>
                <w:color w:val="000000"/>
                <w:lang w:val="en-US" w:eastAsia="zh-CN"/>
              </w:rPr>
              <w:t>并</w:t>
            </w:r>
            <w:r>
              <w:rPr>
                <w:rFonts w:hint="eastAsia" w:ascii="宋体" w:hAnsi="宋体" w:eastAsia="宋体" w:cs="宋体"/>
                <w:b/>
                <w:bCs/>
                <w:color w:val="000000"/>
              </w:rPr>
              <w:t>加</w:t>
            </w:r>
            <w:r>
              <w:rPr>
                <w:rFonts w:hint="eastAsia"/>
                <w:b/>
                <w:bCs/>
                <w:color w:val="000000"/>
              </w:rPr>
              <w:t>盖投人公章，检测依据须包含以下内</w:t>
            </w:r>
            <w:r>
              <w:rPr>
                <w:rFonts w:hint="eastAsia" w:ascii="宋体" w:hAnsi="宋体" w:cs="宋体"/>
                <w:b/>
                <w:bCs/>
                <w:color w:val="000000"/>
              </w:rPr>
              <w:t>容：</w:t>
            </w:r>
          </w:p>
          <w:p>
            <w:pPr>
              <w:pStyle w:val="49"/>
            </w:pPr>
            <w:r>
              <w:rPr>
                <w:rFonts w:hint="eastAsia" w:ascii="宋体" w:hAnsi="宋体" w:cs="宋体"/>
                <w:b/>
                <w:bCs/>
                <w:color w:val="auto"/>
                <w:sz w:val="21"/>
                <w:szCs w:val="21"/>
                <w:lang w:bidi="ar"/>
              </w:rPr>
              <w:t>金属喷漆（塑）涂层理化性能硬度达H，冲击强度（冲击高度400mm）试验无剥落、裂纹、皱纹，耐腐蚀100h试验无锈迹、剥落、起皱、变色和失光等现象（检测方法依据GB/T 3325-2017），木制件表面贴皮层耐干热、耐湿热、耐污染性能≥4级（检测方法依据GB/T 3325-2017），甲醛释放量≤0.2mg/L（检测方法依据GB 18584-2001），重金属含量（可溶性铬、镉、铅、汞）未检出（检测方法依据GB 18584-2001）。</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TM-VI21B 灰色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317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职员椅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4864" behindDoc="0" locked="0" layoutInCell="1" allowOverlap="1">
                  <wp:simplePos x="0" y="0"/>
                  <wp:positionH relativeFrom="column">
                    <wp:posOffset>54610</wp:posOffset>
                  </wp:positionH>
                  <wp:positionV relativeFrom="paragraph">
                    <wp:posOffset>949325</wp:posOffset>
                  </wp:positionV>
                  <wp:extent cx="674370" cy="971550"/>
                  <wp:effectExtent l="0" t="0" r="11430" b="0"/>
                  <wp:wrapNone/>
                  <wp:docPr id="3" name="图片_23"/>
                  <wp:cNvGraphicFramePr/>
                  <a:graphic xmlns:a="http://schemas.openxmlformats.org/drawingml/2006/main">
                    <a:graphicData uri="http://schemas.openxmlformats.org/drawingml/2006/picture">
                      <pic:pic xmlns:pic="http://schemas.openxmlformats.org/drawingml/2006/picture">
                        <pic:nvPicPr>
                          <pic:cNvPr id="3" name="图片_23"/>
                          <pic:cNvPicPr/>
                        </pic:nvPicPr>
                        <pic:blipFill>
                          <a:blip r:embed="rId16"/>
                          <a:stretch>
                            <a:fillRect/>
                          </a:stretch>
                        </pic:blipFill>
                        <pic:spPr>
                          <a:xfrm>
                            <a:off x="0" y="0"/>
                            <a:ext cx="674370" cy="9715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595×630×1240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1)PU静音椅轮,转动轻快灵活</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2)尼龙五星脚</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3)气杆升降平稳,无漏声、噪声</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4)同步倾仰底盘,四档锁定功能,自负重无需调节倾仰力度</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5)升降PU面扶手,坚韧有弹性，承托更舒适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6)一体成型胶合板,甲醛释放量优于国家标准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7)一体成型高密度定型绵,美标防火,座感舒适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8)尼龙+30%玻纤背框,腰托可调节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9)优质网布面料,不含致癌芳香胺染料</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高吧椅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5888" behindDoc="0" locked="0" layoutInCell="1" allowOverlap="1">
                  <wp:simplePos x="0" y="0"/>
                  <wp:positionH relativeFrom="column">
                    <wp:posOffset>54610</wp:posOffset>
                  </wp:positionH>
                  <wp:positionV relativeFrom="paragraph">
                    <wp:posOffset>196850</wp:posOffset>
                  </wp:positionV>
                  <wp:extent cx="712470" cy="804545"/>
                  <wp:effectExtent l="0" t="0" r="11430" b="14605"/>
                  <wp:wrapNone/>
                  <wp:docPr id="69" name="图片_7"/>
                  <wp:cNvGraphicFramePr/>
                  <a:graphic xmlns:a="http://schemas.openxmlformats.org/drawingml/2006/main">
                    <a:graphicData uri="http://schemas.openxmlformats.org/drawingml/2006/picture">
                      <pic:pic xmlns:pic="http://schemas.openxmlformats.org/drawingml/2006/picture">
                        <pic:nvPicPr>
                          <pic:cNvPr id="69" name="图片_7"/>
                          <pic:cNvPicPr/>
                        </pic:nvPicPr>
                        <pic:blipFill>
                          <a:blip r:embed="rId12"/>
                          <a:stretch>
                            <a:fillRect/>
                          </a:stretch>
                        </pic:blipFill>
                        <pic:spPr>
                          <a:xfrm>
                            <a:off x="0" y="0"/>
                            <a:ext cx="712470" cy="804545"/>
                          </a:xfrm>
                          <a:prstGeom prst="rect">
                            <a:avLst/>
                          </a:prstGeom>
                          <a:noFill/>
                          <a:ln>
                            <a:noFill/>
                          </a:ln>
                        </pic:spPr>
                      </pic:pic>
                    </a:graphicData>
                  </a:graphic>
                </wp:anchor>
              </w:drawing>
            </w:r>
          </w:p>
        </w:tc>
        <w:tc>
          <w:tcPr>
            <w:tcW w:w="130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475×545×970 mm</w:t>
            </w:r>
          </w:p>
        </w:tc>
        <w:tc>
          <w:tcPr>
            <w:tcW w:w="3417" w:type="dxa"/>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1)尼龙+20%玻纤背框</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2)气杆,升降平稳,无漏声、噪声</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3)钢制电镀五星脚</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4)PA椅轮,转动轻快灵活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莫兰迪绿/ 珊瑚色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TM-CI21B灰色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r>
      <w:tr>
        <w:tblPrEx>
          <w:tblCellMar>
            <w:top w:w="0" w:type="dxa"/>
            <w:left w:w="108" w:type="dxa"/>
            <w:bottom w:w="0" w:type="dxa"/>
            <w:right w:w="108" w:type="dxa"/>
          </w:tblCellMar>
        </w:tblPrEx>
        <w:trPr>
          <w:trHeight w:val="4435"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转角沙</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发组</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1792" behindDoc="0" locked="0" layoutInCell="1" allowOverlap="1">
                  <wp:simplePos x="0" y="0"/>
                  <wp:positionH relativeFrom="column">
                    <wp:posOffset>47625</wp:posOffset>
                  </wp:positionH>
                  <wp:positionV relativeFrom="paragraph">
                    <wp:posOffset>1872615</wp:posOffset>
                  </wp:positionV>
                  <wp:extent cx="716280" cy="361315"/>
                  <wp:effectExtent l="0" t="0" r="7620" b="635"/>
                  <wp:wrapNone/>
                  <wp:docPr id="45" name="图片_32"/>
                  <wp:cNvGraphicFramePr/>
                  <a:graphic xmlns:a="http://schemas.openxmlformats.org/drawingml/2006/main">
                    <a:graphicData uri="http://schemas.openxmlformats.org/drawingml/2006/picture">
                      <pic:pic xmlns:pic="http://schemas.openxmlformats.org/drawingml/2006/picture">
                        <pic:nvPicPr>
                          <pic:cNvPr id="45" name="图片_32"/>
                          <pic:cNvPicPr/>
                        </pic:nvPicPr>
                        <pic:blipFill>
                          <a:blip r:embed="rId17"/>
                          <a:stretch>
                            <a:fillRect/>
                          </a:stretch>
                        </pic:blipFill>
                        <pic:spPr>
                          <a:xfrm>
                            <a:off x="0" y="0"/>
                            <a:ext cx="716280" cy="36131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2105×2105×740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2)天然实木(松木),经久耐用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3)高密度高回弹裁切海绵,具有良好的抗震性、柔软性,抗撕拉</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5)钢制沙发脚,表面喷涂处理</w:t>
            </w:r>
            <w:r>
              <w:rPr>
                <w:rFonts w:hint="eastAsia" w:ascii="宋体" w:hAnsi="宋体" w:eastAsia="宋体" w:cs="宋体"/>
                <w:kern w:val="0"/>
                <w:szCs w:val="21"/>
                <w:lang w:eastAsia="zh-CN" w:bidi="ar"/>
              </w:rPr>
              <w:t>;</w:t>
            </w:r>
          </w:p>
          <w:p>
            <w:pPr>
              <w:pStyle w:val="49"/>
              <w:rPr>
                <w:rFonts w:hint="eastAsia" w:eastAsia="宋体"/>
                <w:color w:val="auto"/>
                <w:lang w:val="en-US" w:eastAsia="zh-CN"/>
              </w:rPr>
            </w:pPr>
            <w:r>
              <w:rPr>
                <w:rFonts w:hint="eastAsia" w:ascii="宋体" w:hAnsi="宋体" w:cs="宋体"/>
                <w:b/>
                <w:bCs/>
                <w:color w:val="auto"/>
                <w:sz w:val="21"/>
                <w:szCs w:val="21"/>
                <w:lang w:bidi="ar"/>
              </w:rPr>
              <w:t>★6）提供布艺沙发具有CMA或CNAS认证检测机构检测报告复印件</w:t>
            </w:r>
            <w:r>
              <w:rPr>
                <w:rFonts w:hint="eastAsia" w:ascii="宋体" w:hAnsi="宋体" w:cs="宋体"/>
                <w:b/>
                <w:bCs/>
                <w:color w:val="auto"/>
                <w:sz w:val="21"/>
                <w:szCs w:val="21"/>
                <w:lang w:val="en-US" w:eastAsia="zh-CN" w:bidi="ar"/>
              </w:rPr>
              <w:t>并</w:t>
            </w:r>
            <w:r>
              <w:rPr>
                <w:rFonts w:hint="eastAsia" w:ascii="宋体" w:hAnsi="宋体" w:cs="宋体"/>
                <w:b/>
                <w:bCs/>
                <w:color w:val="auto"/>
                <w:sz w:val="21"/>
                <w:szCs w:val="21"/>
                <w:lang w:bidi="ar"/>
              </w:rPr>
              <w:t>加盖投人公章，检测依据须包含以下内容：1.检测依据：QB/T 1952.2-2012《软体家具 沙发》；GB/T 35607-2017《绿色产品评价 家具》；GB 18584-2001《室内装饰装修材料 木家具中有害物质限量》； 2.甲醛释放量≤0.05mg/m³； 3.TVOC含量≤0.15mg/m³； 4.木材含水率≤12.5%； 5.表观密度≥30kg/m³； 6.染色牢度耐水、耐酸汗渍、耐碱汗渍、耐干摩擦等级达4级； 7.可分解致癌芳香胺染料未检出</w:t>
            </w:r>
            <w:r>
              <w:rPr>
                <w:rFonts w:hint="eastAsia" w:ascii="宋体" w:hAnsi="宋体" w:cs="宋体"/>
                <w:b/>
                <w:bCs/>
                <w:color w:val="auto"/>
                <w:sz w:val="21"/>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TM-CI80B蓝色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TM-CI60B绿色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茶几</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6912" behindDoc="0" locked="0" layoutInCell="1" allowOverlap="1">
                  <wp:simplePos x="0" y="0"/>
                  <wp:positionH relativeFrom="column">
                    <wp:posOffset>39370</wp:posOffset>
                  </wp:positionH>
                  <wp:positionV relativeFrom="paragraph">
                    <wp:posOffset>402590</wp:posOffset>
                  </wp:positionV>
                  <wp:extent cx="577850" cy="432435"/>
                  <wp:effectExtent l="0" t="0" r="12700" b="5715"/>
                  <wp:wrapNone/>
                  <wp:docPr id="34" name="图片_31"/>
                  <wp:cNvGraphicFramePr/>
                  <a:graphic xmlns:a="http://schemas.openxmlformats.org/drawingml/2006/main">
                    <a:graphicData uri="http://schemas.openxmlformats.org/drawingml/2006/picture">
                      <pic:pic xmlns:pic="http://schemas.openxmlformats.org/drawingml/2006/picture">
                        <pic:nvPicPr>
                          <pic:cNvPr id="34" name="图片_31"/>
                          <pic:cNvPicPr/>
                        </pic:nvPicPr>
                        <pic:blipFill>
                          <a:blip r:embed="rId18"/>
                          <a:stretch>
                            <a:fillRect/>
                          </a:stretch>
                        </pic:blipFill>
                        <pic:spPr>
                          <a:xfrm>
                            <a:off x="0" y="0"/>
                            <a:ext cx="577850" cy="43243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1200×600×420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莫兰迪绿</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辅导员办公室</w:t>
            </w:r>
          </w:p>
        </w:tc>
      </w:tr>
      <w:tr>
        <w:tblPrEx>
          <w:tblCellMar>
            <w:top w:w="0" w:type="dxa"/>
            <w:left w:w="108" w:type="dxa"/>
            <w:bottom w:w="0" w:type="dxa"/>
            <w:right w:w="108" w:type="dxa"/>
          </w:tblCellMar>
        </w:tblPrEx>
        <w:trPr>
          <w:trHeight w:val="348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Cs w:val="21"/>
              </w:rPr>
            </w:pPr>
            <w:r>
              <w:rPr>
                <w:rFonts w:hint="eastAsia" w:ascii="宋体" w:hAnsi="宋体" w:eastAsia="宋体" w:cs="宋体"/>
                <w:szCs w:val="21"/>
              </w:rPr>
              <w:t>教师桌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7936" behindDoc="0" locked="0" layoutInCell="1" allowOverlap="1">
                  <wp:simplePos x="0" y="0"/>
                  <wp:positionH relativeFrom="column">
                    <wp:posOffset>-52070</wp:posOffset>
                  </wp:positionH>
                  <wp:positionV relativeFrom="paragraph">
                    <wp:posOffset>904240</wp:posOffset>
                  </wp:positionV>
                  <wp:extent cx="690245" cy="363855"/>
                  <wp:effectExtent l="0" t="0" r="14605" b="17145"/>
                  <wp:wrapNone/>
                  <wp:docPr id="61" name="图片_57"/>
                  <wp:cNvGraphicFramePr/>
                  <a:graphic xmlns:a="http://schemas.openxmlformats.org/drawingml/2006/main">
                    <a:graphicData uri="http://schemas.openxmlformats.org/drawingml/2006/picture">
                      <pic:pic xmlns:pic="http://schemas.openxmlformats.org/drawingml/2006/picture">
                        <pic:nvPicPr>
                          <pic:cNvPr id="61" name="图片_57"/>
                          <pic:cNvPicPr/>
                        </pic:nvPicPr>
                        <pic:blipFill>
                          <a:blip r:embed="rId19"/>
                          <a:stretch>
                            <a:fillRect/>
                          </a:stretch>
                        </pic:blipFill>
                        <pic:spPr>
                          <a:xfrm>
                            <a:off x="0" y="0"/>
                            <a:ext cx="690245" cy="36385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1600×1600×750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3)优质滑轨,表面黑色喷涂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4)优质阻尼铰链</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6)优质翻板线盒</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2)抽屉采用包覆工艺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r>
      <w:tr>
        <w:tblPrEx>
          <w:tblCellMar>
            <w:top w:w="0" w:type="dxa"/>
            <w:left w:w="108" w:type="dxa"/>
            <w:bottom w:w="0" w:type="dxa"/>
            <w:right w:w="108" w:type="dxa"/>
          </w:tblCellMar>
        </w:tblPrEx>
        <w:trPr>
          <w:trHeight w:val="317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职员椅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8960" behindDoc="0" locked="0" layoutInCell="1" allowOverlap="1">
                  <wp:simplePos x="0" y="0"/>
                  <wp:positionH relativeFrom="column">
                    <wp:posOffset>17145</wp:posOffset>
                  </wp:positionH>
                  <wp:positionV relativeFrom="paragraph">
                    <wp:posOffset>843280</wp:posOffset>
                  </wp:positionV>
                  <wp:extent cx="713740" cy="945515"/>
                  <wp:effectExtent l="0" t="0" r="10160" b="6985"/>
                  <wp:wrapNone/>
                  <wp:docPr id="60" name="图片_33"/>
                  <wp:cNvGraphicFramePr/>
                  <a:graphic xmlns:a="http://schemas.openxmlformats.org/drawingml/2006/main">
                    <a:graphicData uri="http://schemas.openxmlformats.org/drawingml/2006/picture">
                      <pic:pic xmlns:pic="http://schemas.openxmlformats.org/drawingml/2006/picture">
                        <pic:nvPicPr>
                          <pic:cNvPr id="60" name="图片_33"/>
                          <pic:cNvPicPr/>
                        </pic:nvPicPr>
                        <pic:blipFill>
                          <a:blip r:embed="rId20"/>
                          <a:stretch>
                            <a:fillRect/>
                          </a:stretch>
                        </pic:blipFill>
                        <pic:spPr>
                          <a:xfrm>
                            <a:off x="0" y="0"/>
                            <a:ext cx="713740" cy="94551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595×630×1240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1)PU静音椅轮,转动轻快灵活</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2)尼龙五星脚</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3)气杆升降平稳,无漏声、噪声</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4)同步倾仰底盘,四档锁定功能,自负重无需调节倾仰力度</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5)升降PU面扶手,坚韧有弹性，承托更舒适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6)一体成型胶合板,甲醛释放量优于国家标准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7)一体成型高密度定型绵,美标防火,座感舒适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8)尼龙+30%玻纤背框,腰托可调节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9)优质网布面料,不含致癌芳香胺染料</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洽谈椅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89984" behindDoc="0" locked="0" layoutInCell="1" allowOverlap="1">
                  <wp:simplePos x="0" y="0"/>
                  <wp:positionH relativeFrom="column">
                    <wp:posOffset>78105</wp:posOffset>
                  </wp:positionH>
                  <wp:positionV relativeFrom="paragraph">
                    <wp:posOffset>431165</wp:posOffset>
                  </wp:positionV>
                  <wp:extent cx="520700" cy="600710"/>
                  <wp:effectExtent l="0" t="0" r="12700" b="8890"/>
                  <wp:wrapNone/>
                  <wp:docPr id="54" name="图片_51"/>
                  <wp:cNvGraphicFramePr/>
                  <a:graphic xmlns:a="http://schemas.openxmlformats.org/drawingml/2006/main">
                    <a:graphicData uri="http://schemas.openxmlformats.org/drawingml/2006/picture">
                      <pic:pic xmlns:pic="http://schemas.openxmlformats.org/drawingml/2006/picture">
                        <pic:nvPicPr>
                          <pic:cNvPr id="54" name="图片_51"/>
                          <pic:cNvPicPr/>
                        </pic:nvPicPr>
                        <pic:blipFill>
                          <a:blip r:embed="rId21"/>
                          <a:stretch>
                            <a:fillRect/>
                          </a:stretch>
                        </pic:blipFill>
                        <pic:spPr>
                          <a:xfrm>
                            <a:off x="0" y="0"/>
                            <a:ext cx="520700" cy="60071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660×620×820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一体成型高密度定型绵</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2)沙发油漆脚,榉木实木材质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3)EPU皮,聚氨酯合成革</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4)天然木制件,表面水性油漆涂饰</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TM-CI80B蓝色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TPH-EPU21流星灰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E-11极夜黑</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475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三人位</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沙发</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1008" behindDoc="0" locked="0" layoutInCell="1" allowOverlap="1">
                  <wp:simplePos x="0" y="0"/>
                  <wp:positionH relativeFrom="column">
                    <wp:posOffset>-4445</wp:posOffset>
                  </wp:positionH>
                  <wp:positionV relativeFrom="paragraph">
                    <wp:posOffset>1809750</wp:posOffset>
                  </wp:positionV>
                  <wp:extent cx="777240" cy="446405"/>
                  <wp:effectExtent l="0" t="0" r="3810" b="10795"/>
                  <wp:wrapNone/>
                  <wp:docPr id="35" name="图片_50"/>
                  <wp:cNvGraphicFramePr/>
                  <a:graphic xmlns:a="http://schemas.openxmlformats.org/drawingml/2006/main">
                    <a:graphicData uri="http://schemas.openxmlformats.org/drawingml/2006/picture">
                      <pic:pic xmlns:pic="http://schemas.openxmlformats.org/drawingml/2006/picture">
                        <pic:nvPicPr>
                          <pic:cNvPr id="35" name="图片_50"/>
                          <pic:cNvPicPr/>
                        </pic:nvPicPr>
                        <pic:blipFill>
                          <a:blip r:embed="rId22"/>
                          <a:stretch>
                            <a:fillRect/>
                          </a:stretch>
                        </pic:blipFill>
                        <pic:spPr>
                          <a:xfrm>
                            <a:off x="0" y="0"/>
                            <a:ext cx="777240" cy="44640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1840×760×760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1)天然实木(松木),经久耐用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2)钢制沙发脚,表面喷涂处理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kern w:val="0"/>
                <w:szCs w:val="21"/>
                <w:lang w:bidi="ar"/>
              </w:rPr>
              <w:t>)高密度高回弹裁切海绵,具有良好的抗震性、柔软性,抗撕拉</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5</w:t>
            </w:r>
            <w:r>
              <w:rPr>
                <w:rFonts w:hint="eastAsia" w:ascii="宋体" w:hAnsi="宋体" w:eastAsia="宋体" w:cs="宋体"/>
                <w:kern w:val="0"/>
                <w:szCs w:val="21"/>
                <w:lang w:bidi="ar"/>
              </w:rPr>
              <w:t>)优质麻绒面料,不含致癌芳香胺染料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6)一体成型高密度定型绵</w:t>
            </w:r>
            <w:r>
              <w:rPr>
                <w:rFonts w:hint="eastAsia" w:ascii="宋体" w:hAnsi="宋体" w:eastAsia="宋体" w:cs="宋体"/>
                <w:kern w:val="0"/>
                <w:szCs w:val="21"/>
                <w:lang w:eastAsia="zh-CN" w:bidi="ar"/>
              </w:rPr>
              <w:t>；</w:t>
            </w:r>
          </w:p>
          <w:p>
            <w:pPr>
              <w:pStyle w:val="49"/>
            </w:pPr>
            <w:r>
              <w:rPr>
                <w:rFonts w:hint="eastAsia" w:ascii="宋体" w:hAnsi="宋体" w:eastAsia="宋体" w:cs="宋体"/>
                <w:b/>
                <w:bCs/>
                <w:sz w:val="21"/>
                <w:szCs w:val="21"/>
              </w:rPr>
              <w:t>★7）提供高弹海绵的CMA或CNAS认证检测机构检测报告复印件</w:t>
            </w:r>
            <w:r>
              <w:rPr>
                <w:rFonts w:hint="eastAsia" w:ascii="宋体" w:hAnsi="宋体" w:eastAsia="宋体" w:cs="宋体"/>
                <w:b/>
                <w:bCs/>
                <w:sz w:val="21"/>
                <w:szCs w:val="21"/>
                <w:lang w:val="en-US" w:eastAsia="zh-CN"/>
              </w:rPr>
              <w:t>并</w:t>
            </w:r>
            <w:r>
              <w:rPr>
                <w:rFonts w:hint="eastAsia" w:ascii="宋体" w:hAnsi="宋体" w:eastAsia="宋体" w:cs="宋体"/>
                <w:b/>
                <w:bCs/>
                <w:sz w:val="21"/>
                <w:szCs w:val="21"/>
              </w:rPr>
              <w:t>加盖投人公章，检测依据须包含以下内容：符合GB/T 10802-2006标准、QB/T 2280-2016标准、GB 17927.2-2011标准；25%压陷硬度、75%压缩永久变形、撕裂强度、干热老化后拉伸强度、湿热老化后拉伸强度均合格，其中伸长率≥110%；撕裂强度≥2.0N/cm；甲醛释放≤0.120mg/㎡h；TVOC≤0.10mg/㎡h；抗引燃性不低于II级。</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TM-CI60B绿色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茶几</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2032" behindDoc="0" locked="0" layoutInCell="1" allowOverlap="1">
                  <wp:simplePos x="0" y="0"/>
                  <wp:positionH relativeFrom="column">
                    <wp:posOffset>33655</wp:posOffset>
                  </wp:positionH>
                  <wp:positionV relativeFrom="paragraph">
                    <wp:posOffset>220345</wp:posOffset>
                  </wp:positionV>
                  <wp:extent cx="752475" cy="720725"/>
                  <wp:effectExtent l="0" t="0" r="9525" b="3175"/>
                  <wp:wrapNone/>
                  <wp:docPr id="5" name="图片_54"/>
                  <wp:cNvGraphicFramePr/>
                  <a:graphic xmlns:a="http://schemas.openxmlformats.org/drawingml/2006/main">
                    <a:graphicData uri="http://schemas.openxmlformats.org/drawingml/2006/picture">
                      <pic:pic xmlns:pic="http://schemas.openxmlformats.org/drawingml/2006/picture">
                        <pic:nvPicPr>
                          <pic:cNvPr id="5" name="图片_54"/>
                          <pic:cNvPicPr/>
                        </pic:nvPicPr>
                        <pic:blipFill>
                          <a:blip r:embed="rId23"/>
                          <a:stretch>
                            <a:fillRect/>
                          </a:stretch>
                        </pic:blipFill>
                        <pic:spPr>
                          <a:xfrm>
                            <a:off x="0" y="0"/>
                            <a:ext cx="752475" cy="72072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800×800×600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亚光白色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2539"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文件柜</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3056" behindDoc="0" locked="0" layoutInCell="1" allowOverlap="1">
                  <wp:simplePos x="0" y="0"/>
                  <wp:positionH relativeFrom="column">
                    <wp:posOffset>-41275</wp:posOffset>
                  </wp:positionH>
                  <wp:positionV relativeFrom="paragraph">
                    <wp:posOffset>508000</wp:posOffset>
                  </wp:positionV>
                  <wp:extent cx="799465" cy="567055"/>
                  <wp:effectExtent l="0" t="0" r="635" b="4445"/>
                  <wp:wrapNone/>
                  <wp:docPr id="46" name="图片_3"/>
                  <wp:cNvGraphicFramePr/>
                  <a:graphic xmlns:a="http://schemas.openxmlformats.org/drawingml/2006/main">
                    <a:graphicData uri="http://schemas.openxmlformats.org/drawingml/2006/picture">
                      <pic:pic xmlns:pic="http://schemas.openxmlformats.org/drawingml/2006/picture">
                        <pic:nvPicPr>
                          <pic:cNvPr id="46" name="图片_3"/>
                          <pic:cNvPicPr/>
                        </pic:nvPicPr>
                        <pic:blipFill>
                          <a:blip r:embed="rId24"/>
                          <a:stretch>
                            <a:fillRect/>
                          </a:stretch>
                        </pic:blipFill>
                        <pic:spPr>
                          <a:xfrm>
                            <a:off x="0" y="0"/>
                            <a:ext cx="799465" cy="56705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2356×400×1966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szCs w:val="21"/>
              </w:rPr>
              <w:t>3)优质</w:t>
            </w:r>
            <w:r>
              <w:rPr>
                <w:rFonts w:hint="eastAsia" w:ascii="宋体" w:hAnsi="宋体" w:eastAsia="宋体" w:cs="宋体"/>
                <w:kern w:val="0"/>
                <w:szCs w:val="21"/>
                <w:lang w:bidi="ar"/>
              </w:rPr>
              <w:t>阻尼铰链</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2)Z型封边工艺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茶水</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柜1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4080" behindDoc="0" locked="0" layoutInCell="1" allowOverlap="1">
                  <wp:simplePos x="0" y="0"/>
                  <wp:positionH relativeFrom="column">
                    <wp:posOffset>12065</wp:posOffset>
                  </wp:positionH>
                  <wp:positionV relativeFrom="paragraph">
                    <wp:posOffset>274955</wp:posOffset>
                  </wp:positionV>
                  <wp:extent cx="767080" cy="725170"/>
                  <wp:effectExtent l="0" t="0" r="13970" b="17780"/>
                  <wp:wrapNone/>
                  <wp:docPr id="42" name="图片_29"/>
                  <wp:cNvGraphicFramePr/>
                  <a:graphic xmlns:a="http://schemas.openxmlformats.org/drawingml/2006/main">
                    <a:graphicData uri="http://schemas.openxmlformats.org/drawingml/2006/picture">
                      <pic:pic xmlns:pic="http://schemas.openxmlformats.org/drawingml/2006/picture">
                        <pic:nvPicPr>
                          <pic:cNvPr id="42" name="图片_29"/>
                          <pic:cNvPicPr/>
                        </pic:nvPicPr>
                        <pic:blipFill>
                          <a:blip r:embed="rId25"/>
                          <a:stretch>
                            <a:fillRect/>
                          </a:stretch>
                        </pic:blipFill>
                        <pic:spPr>
                          <a:xfrm>
                            <a:off x="0" y="0"/>
                            <a:ext cx="767080" cy="72517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816×400×808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)塑胶件,PVC材质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4)采用钢化玻璃,玻璃外露部分不应有裂纹和缺角</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学生办公室</w:t>
            </w:r>
          </w:p>
        </w:tc>
      </w:tr>
      <w:tr>
        <w:tblPrEx>
          <w:tblCellMar>
            <w:top w:w="0" w:type="dxa"/>
            <w:left w:w="108" w:type="dxa"/>
            <w:bottom w:w="0" w:type="dxa"/>
            <w:right w:w="108" w:type="dxa"/>
          </w:tblCellMar>
        </w:tblPrEx>
        <w:trPr>
          <w:trHeight w:val="1906"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办公桌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5104" behindDoc="0" locked="0" layoutInCell="1" allowOverlap="1">
                  <wp:simplePos x="0" y="0"/>
                  <wp:positionH relativeFrom="column">
                    <wp:posOffset>-4445</wp:posOffset>
                  </wp:positionH>
                  <wp:positionV relativeFrom="paragraph">
                    <wp:posOffset>360680</wp:posOffset>
                  </wp:positionV>
                  <wp:extent cx="765175" cy="641985"/>
                  <wp:effectExtent l="0" t="0" r="15875" b="5715"/>
                  <wp:wrapNone/>
                  <wp:docPr id="56" name="图片_73"/>
                  <wp:cNvGraphicFramePr/>
                  <a:graphic xmlns:a="http://schemas.openxmlformats.org/drawingml/2006/main">
                    <a:graphicData uri="http://schemas.openxmlformats.org/drawingml/2006/picture">
                      <pic:pic xmlns:pic="http://schemas.openxmlformats.org/drawingml/2006/picture">
                        <pic:nvPicPr>
                          <pic:cNvPr id="56" name="图片_73"/>
                          <pic:cNvPicPr/>
                        </pic:nvPicPr>
                        <pic:blipFill>
                          <a:blip r:embed="rId26"/>
                          <a:stretch>
                            <a:fillRect/>
                          </a:stretch>
                        </pic:blipFill>
                        <pic:spPr>
                          <a:xfrm>
                            <a:off x="0" y="0"/>
                            <a:ext cx="765175" cy="6419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1500×700×750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4)优质钢脚,表面经 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5)移动功能:脚架配置万向轮可自由移动</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19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6128" behindDoc="0" locked="0" layoutInCell="1" allowOverlap="1">
                  <wp:simplePos x="0" y="0"/>
                  <wp:positionH relativeFrom="column">
                    <wp:posOffset>109855</wp:posOffset>
                  </wp:positionH>
                  <wp:positionV relativeFrom="paragraph">
                    <wp:posOffset>483870</wp:posOffset>
                  </wp:positionV>
                  <wp:extent cx="581025" cy="794385"/>
                  <wp:effectExtent l="0" t="0" r="9525" b="5715"/>
                  <wp:wrapNone/>
                  <wp:docPr id="62" name="图片_74"/>
                  <wp:cNvGraphicFramePr/>
                  <a:graphic xmlns:a="http://schemas.openxmlformats.org/drawingml/2006/main">
                    <a:graphicData uri="http://schemas.openxmlformats.org/drawingml/2006/picture">
                      <pic:pic xmlns:pic="http://schemas.openxmlformats.org/drawingml/2006/picture">
                        <pic:nvPicPr>
                          <pic:cNvPr id="62" name="图片_74"/>
                          <pic:cNvPicPr/>
                        </pic:nvPicPr>
                        <pic:blipFill>
                          <a:blip r:embed="rId27"/>
                          <a:srcRect l="10678" r="13576"/>
                          <a:stretch>
                            <a:fillRect/>
                          </a:stretch>
                        </pic:blipFill>
                        <pic:spPr>
                          <a:xfrm>
                            <a:off x="0" y="0"/>
                            <a:ext cx="581025" cy="7943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540×520×825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1)优质网布面料,不含致癌芳香胺染料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优质裁切泡绵,美标防火,座感舒适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4)E1级成型胶合板,甲醛释放量优于国家标准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6)PU静音椅轮,转动轻快灵活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 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958"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文件柜</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7152" behindDoc="0" locked="0" layoutInCell="1" allowOverlap="1">
                  <wp:simplePos x="0" y="0"/>
                  <wp:positionH relativeFrom="column">
                    <wp:posOffset>17780</wp:posOffset>
                  </wp:positionH>
                  <wp:positionV relativeFrom="paragraph">
                    <wp:posOffset>257810</wp:posOffset>
                  </wp:positionV>
                  <wp:extent cx="742315" cy="690245"/>
                  <wp:effectExtent l="0" t="0" r="635" b="14605"/>
                  <wp:wrapNone/>
                  <wp:docPr id="47" name="图片_4"/>
                  <wp:cNvGraphicFramePr/>
                  <a:graphic xmlns:a="http://schemas.openxmlformats.org/drawingml/2006/main">
                    <a:graphicData uri="http://schemas.openxmlformats.org/drawingml/2006/picture">
                      <pic:pic xmlns:pic="http://schemas.openxmlformats.org/drawingml/2006/picture">
                        <pic:nvPicPr>
                          <pic:cNvPr id="47" name="图片_4"/>
                          <pic:cNvPicPr/>
                        </pic:nvPicPr>
                        <pic:blipFill>
                          <a:blip r:embed="rId24"/>
                          <a:stretch>
                            <a:fillRect/>
                          </a:stretch>
                        </pic:blipFill>
                        <pic:spPr>
                          <a:xfrm>
                            <a:off x="0" y="0"/>
                            <a:ext cx="742315" cy="69024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2356×400×1966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pPr>
            <w:r>
              <w:rPr>
                <w:rFonts w:hint="eastAsia" w:ascii="宋体" w:hAnsi="宋体" w:eastAsia="宋体" w:cs="宋体"/>
                <w:szCs w:val="21"/>
              </w:rPr>
              <w:t>3)优质</w:t>
            </w:r>
            <w:r>
              <w:rPr>
                <w:rFonts w:hint="eastAsia" w:ascii="宋体" w:hAnsi="宋体" w:eastAsia="宋体" w:cs="宋体"/>
                <w:kern w:val="0"/>
                <w:szCs w:val="21"/>
                <w:lang w:bidi="ar"/>
              </w:rPr>
              <w:t>阻尼铰链</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b/>
                <w:bCs/>
              </w:rPr>
              <w:t>★4）提供文件柜具有CMA或CNAS认证检测机构检测报告复印件</w:t>
            </w:r>
            <w:r>
              <w:rPr>
                <w:rFonts w:hint="eastAsia" w:ascii="宋体" w:hAnsi="宋体" w:eastAsia="宋体" w:cs="宋体"/>
                <w:b/>
                <w:bCs/>
                <w:lang w:val="en-US" w:eastAsia="zh-CN"/>
              </w:rPr>
              <w:t>并</w:t>
            </w:r>
            <w:r>
              <w:rPr>
                <w:rFonts w:hint="eastAsia" w:ascii="宋体" w:hAnsi="宋体" w:eastAsia="宋体" w:cs="宋体"/>
                <w:b/>
                <w:bCs/>
              </w:rPr>
              <w:t>加盖投人公章，检测依据须包含以下内容：表面数理化性能耐干热、耐湿热、耐夜性达1级，抗冲击达2级（检测方法依据GB/T 3324-2017），甲醛释放量≤0.02mg/m³（检测方法依据GB/T 35607-2017），苯甲苯二甲苯未检出，TVOC含量≤0.20mg/m³（检测方法依据GB/T 35607-2017），拉门耐久性试验80000次符合要求（检测方法依据GB/T 3324-2017）。</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2106"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茶水柜1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8176" behindDoc="0" locked="0" layoutInCell="1" allowOverlap="1">
                  <wp:simplePos x="0" y="0"/>
                  <wp:positionH relativeFrom="column">
                    <wp:posOffset>-13970</wp:posOffset>
                  </wp:positionH>
                  <wp:positionV relativeFrom="paragraph">
                    <wp:posOffset>366395</wp:posOffset>
                  </wp:positionV>
                  <wp:extent cx="870585" cy="666750"/>
                  <wp:effectExtent l="0" t="0" r="5715" b="0"/>
                  <wp:wrapNone/>
                  <wp:docPr id="49" name="图片_6"/>
                  <wp:cNvGraphicFramePr/>
                  <a:graphic xmlns:a="http://schemas.openxmlformats.org/drawingml/2006/main">
                    <a:graphicData uri="http://schemas.openxmlformats.org/drawingml/2006/picture">
                      <pic:pic xmlns:pic="http://schemas.openxmlformats.org/drawingml/2006/picture">
                        <pic:nvPicPr>
                          <pic:cNvPr id="49" name="图片_6"/>
                          <pic:cNvPicPr/>
                        </pic:nvPicPr>
                        <pic:blipFill>
                          <a:blip r:embed="rId28"/>
                          <a:stretch>
                            <a:fillRect/>
                          </a:stretch>
                        </pic:blipFill>
                        <pic:spPr>
                          <a:xfrm>
                            <a:off x="0" y="0"/>
                            <a:ext cx="870585" cy="6667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816×400×808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)塑胶件,PVC材质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4)采用钢化玻璃,玻璃外露部分不应有裂纹和缺角</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多功能学习活动室室×4</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定制高</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吧桌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699200" behindDoc="0" locked="0" layoutInCell="1" allowOverlap="1">
                  <wp:simplePos x="0" y="0"/>
                  <wp:positionH relativeFrom="column">
                    <wp:posOffset>-44450</wp:posOffset>
                  </wp:positionH>
                  <wp:positionV relativeFrom="paragraph">
                    <wp:posOffset>265430</wp:posOffset>
                  </wp:positionV>
                  <wp:extent cx="852805" cy="758825"/>
                  <wp:effectExtent l="0" t="0" r="4445" b="3175"/>
                  <wp:wrapNone/>
                  <wp:docPr id="48" name="图片_71"/>
                  <wp:cNvGraphicFramePr/>
                  <a:graphic xmlns:a="http://schemas.openxmlformats.org/drawingml/2006/main">
                    <a:graphicData uri="http://schemas.openxmlformats.org/drawingml/2006/picture">
                      <pic:pic xmlns:pic="http://schemas.openxmlformats.org/drawingml/2006/picture">
                        <pic:nvPicPr>
                          <pic:cNvPr id="48" name="图片_71"/>
                          <pic:cNvPicPr/>
                        </pic:nvPicPr>
                        <pic:blipFill>
                          <a:blip r:embed="rId29"/>
                          <a:stretch>
                            <a:fillRect/>
                          </a:stretch>
                        </pic:blipFill>
                        <pic:spPr>
                          <a:xfrm>
                            <a:off x="0" y="0"/>
                            <a:ext cx="852805" cy="75882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1400×550×1202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3)塑胶件,PVC材质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4)采用优质冷轧钢,经冲压成型,表面静电粉末喷涂</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高吧椅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0224" behindDoc="0" locked="0" layoutInCell="1" allowOverlap="1">
                  <wp:simplePos x="0" y="0"/>
                  <wp:positionH relativeFrom="column">
                    <wp:posOffset>20320</wp:posOffset>
                  </wp:positionH>
                  <wp:positionV relativeFrom="paragraph">
                    <wp:posOffset>122555</wp:posOffset>
                  </wp:positionV>
                  <wp:extent cx="769620" cy="908685"/>
                  <wp:effectExtent l="0" t="0" r="11430" b="5715"/>
                  <wp:wrapNone/>
                  <wp:docPr id="31" name="图片_2"/>
                  <wp:cNvGraphicFramePr/>
                  <a:graphic xmlns:a="http://schemas.openxmlformats.org/drawingml/2006/main">
                    <a:graphicData uri="http://schemas.openxmlformats.org/drawingml/2006/picture">
                      <pic:pic xmlns:pic="http://schemas.openxmlformats.org/drawingml/2006/picture">
                        <pic:nvPicPr>
                          <pic:cNvPr id="31" name="图片_2"/>
                          <pic:cNvPicPr/>
                        </pic:nvPicPr>
                        <pic:blipFill>
                          <a:blip r:embed="rId30"/>
                          <a:stretch>
                            <a:fillRect/>
                          </a:stretch>
                        </pic:blipFill>
                        <pic:spPr>
                          <a:xfrm>
                            <a:off x="0" y="0"/>
                            <a:ext cx="769620" cy="9086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475×545×970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1)尼龙+20%玻纤背框</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2)气杆,升降平稳,无漏声、噪声</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3)钢制电镀五星脚</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4)PA椅轮,转动轻快灵活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珊瑚色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TM-CI21B灰色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培训桌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1248" behindDoc="0" locked="0" layoutInCell="1" allowOverlap="1">
                  <wp:simplePos x="0" y="0"/>
                  <wp:positionH relativeFrom="column">
                    <wp:posOffset>15240</wp:posOffset>
                  </wp:positionH>
                  <wp:positionV relativeFrom="paragraph">
                    <wp:posOffset>450850</wp:posOffset>
                  </wp:positionV>
                  <wp:extent cx="784225" cy="579755"/>
                  <wp:effectExtent l="0" t="0" r="15875" b="10795"/>
                  <wp:wrapNone/>
                  <wp:docPr id="55" name="图片_69"/>
                  <wp:cNvGraphicFramePr/>
                  <a:graphic xmlns:a="http://schemas.openxmlformats.org/drawingml/2006/main">
                    <a:graphicData uri="http://schemas.openxmlformats.org/drawingml/2006/picture">
                      <pic:pic xmlns:pic="http://schemas.openxmlformats.org/drawingml/2006/picture">
                        <pic:nvPicPr>
                          <pic:cNvPr id="55" name="图片_69"/>
                          <pic:cNvPicPr/>
                        </pic:nvPicPr>
                        <pic:blipFill>
                          <a:blip r:embed="rId31"/>
                          <a:stretch>
                            <a:fillRect/>
                          </a:stretch>
                        </pic:blipFill>
                        <pic:spPr>
                          <a:xfrm>
                            <a:off x="0" y="0"/>
                            <a:ext cx="784225" cy="57975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1400×550×750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4)优质钢脚,表面经静电粉末喷涂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5)塑胶件,PVC材质</w:t>
            </w:r>
            <w:r>
              <w:rPr>
                <w:rFonts w:hint="eastAsia" w:ascii="宋体" w:hAnsi="宋体" w:eastAsia="宋体" w:cs="宋体"/>
                <w:kern w:val="0"/>
                <w:szCs w:val="21"/>
                <w:lang w:eastAsia="zh-CN" w:bidi="ar"/>
              </w:rPr>
              <w:t>；</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6)移动功能:脚架配置万向轮可自由移动</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S-57暖白色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48</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25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2272" behindDoc="0" locked="0" layoutInCell="1" allowOverlap="1">
                  <wp:simplePos x="0" y="0"/>
                  <wp:positionH relativeFrom="column">
                    <wp:posOffset>52705</wp:posOffset>
                  </wp:positionH>
                  <wp:positionV relativeFrom="paragraph">
                    <wp:posOffset>557530</wp:posOffset>
                  </wp:positionV>
                  <wp:extent cx="695960" cy="828040"/>
                  <wp:effectExtent l="0" t="0" r="8890" b="10160"/>
                  <wp:wrapNone/>
                  <wp:docPr id="58" name="图片_70"/>
                  <wp:cNvGraphicFramePr/>
                  <a:graphic xmlns:a="http://schemas.openxmlformats.org/drawingml/2006/main">
                    <a:graphicData uri="http://schemas.openxmlformats.org/drawingml/2006/picture">
                      <pic:pic xmlns:pic="http://schemas.openxmlformats.org/drawingml/2006/picture">
                        <pic:nvPicPr>
                          <pic:cNvPr id="58" name="图片_70"/>
                          <pic:cNvPicPr/>
                        </pic:nvPicPr>
                        <pic:blipFill>
                          <a:blip r:embed="rId27"/>
                          <a:srcRect l="8469" r="11079" b="3230"/>
                          <a:stretch>
                            <a:fillRect/>
                          </a:stretch>
                        </pic:blipFill>
                        <pic:spPr>
                          <a:xfrm>
                            <a:off x="0" y="0"/>
                            <a:ext cx="695960" cy="82804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540×520×825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1)优质网布面料,不含致癌芳香胺染料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优质裁切泡绵,美标防火,座感舒适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4)E1级成型胶合板,甲醛释放量优于国家标准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6)PU静音椅轮,转动轻快灵活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 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96</w:t>
            </w:r>
          </w:p>
        </w:tc>
      </w:tr>
      <w:tr>
        <w:tblPrEx>
          <w:tblCellMar>
            <w:top w:w="0" w:type="dxa"/>
            <w:left w:w="108" w:type="dxa"/>
            <w:bottom w:w="0" w:type="dxa"/>
            <w:right w:w="108" w:type="dxa"/>
          </w:tblCellMar>
        </w:tblPrEx>
        <w:trPr>
          <w:trHeight w:val="506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szCs w:val="21"/>
              </w:rPr>
            </w:pPr>
            <w:r>
              <w:rPr>
                <w:rFonts w:hint="eastAsia" w:ascii="宋体" w:hAnsi="宋体" w:eastAsia="宋体" w:cs="宋体"/>
                <w:kern w:val="0"/>
                <w:szCs w:val="21"/>
                <w:lang w:bidi="ar"/>
              </w:rPr>
              <w:t>书架</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3296" behindDoc="0" locked="0" layoutInCell="1" allowOverlap="1">
                  <wp:simplePos x="0" y="0"/>
                  <wp:positionH relativeFrom="column">
                    <wp:posOffset>8255</wp:posOffset>
                  </wp:positionH>
                  <wp:positionV relativeFrom="paragraph">
                    <wp:posOffset>1732915</wp:posOffset>
                  </wp:positionV>
                  <wp:extent cx="843915" cy="808990"/>
                  <wp:effectExtent l="0" t="0" r="0" b="10160"/>
                  <wp:wrapNone/>
                  <wp:docPr id="40" name="图片_34"/>
                  <wp:cNvGraphicFramePr/>
                  <a:graphic xmlns:a="http://schemas.openxmlformats.org/drawingml/2006/main">
                    <a:graphicData uri="http://schemas.openxmlformats.org/drawingml/2006/picture">
                      <pic:pic xmlns:pic="http://schemas.openxmlformats.org/drawingml/2006/picture">
                        <pic:nvPicPr>
                          <pic:cNvPr id="40" name="图片_34"/>
                          <pic:cNvPicPr/>
                        </pic:nvPicPr>
                        <pic:blipFill>
                          <a:blip r:embed="rId32"/>
                          <a:stretch>
                            <a:fillRect/>
                          </a:stretch>
                        </pic:blipFill>
                        <pic:spPr>
                          <a:xfrm>
                            <a:off x="0" y="0"/>
                            <a:ext cx="843915" cy="80899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1300×300×1202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1)优质PVC封边条</w:t>
            </w:r>
            <w:r>
              <w:rPr>
                <w:rFonts w:hint="eastAsia" w:ascii="宋体" w:hAnsi="宋体" w:eastAsia="宋体" w:cs="宋体"/>
                <w:kern w:val="0"/>
                <w:szCs w:val="21"/>
                <w:lang w:eastAsia="zh-CN" w:bidi="ar"/>
              </w:rPr>
              <w:t>；</w:t>
            </w:r>
          </w:p>
          <w:p>
            <w:pPr>
              <w:rPr>
                <w:rFonts w:hint="eastAsia" w:ascii="宋体" w:hAnsi="宋体" w:eastAsia="宋体" w:cs="宋体"/>
                <w:kern w:val="0"/>
                <w:szCs w:val="21"/>
                <w:lang w:eastAsia="zh-CN" w:bidi="ar"/>
              </w:rPr>
            </w:pPr>
            <w:r>
              <w:rPr>
                <w:rFonts w:hint="eastAsia" w:ascii="宋体" w:hAnsi="宋体" w:eastAsia="宋体" w:cs="宋体"/>
                <w:kern w:val="0"/>
                <w:szCs w:val="21"/>
                <w:lang w:bidi="ar"/>
              </w:rPr>
              <w:t>2)"E0"环保刨花板,甲醛释放量优于国家标准</w:t>
            </w:r>
            <w:r>
              <w:rPr>
                <w:rFonts w:hint="eastAsia" w:ascii="宋体" w:hAnsi="宋体" w:eastAsia="宋体" w:cs="宋体"/>
                <w:kern w:val="0"/>
                <w:szCs w:val="21"/>
                <w:lang w:eastAsia="zh-CN" w:bidi="ar"/>
              </w:rPr>
              <w:t>；</w:t>
            </w:r>
          </w:p>
          <w:p>
            <w:r>
              <w:rPr>
                <w:rFonts w:hint="eastAsia"/>
              </w:rPr>
              <w:t>★3）</w:t>
            </w:r>
            <w:r>
              <w:rPr>
                <w:rFonts w:hint="eastAsia"/>
                <w:b/>
                <w:bCs/>
              </w:rPr>
              <w:t>须提供刨花板的CMA或CNAS认证检测机构检测报告复印件加盖投人公章，检测依据须包含以下内容：</w:t>
            </w:r>
            <w:r>
              <w:rPr>
                <w:rFonts w:ascii="宋体" w:hAnsi="宋体"/>
                <w:b/>
                <w:bCs/>
                <w:kern w:val="0"/>
                <w:szCs w:val="21"/>
              </w:rPr>
              <w:t>符合GB/T 4897-2015、</w:t>
            </w:r>
            <w:r>
              <w:rPr>
                <w:rFonts w:ascii="宋体" w:hAnsi="宋体" w:cs="宋体"/>
                <w:b/>
                <w:bCs/>
                <w:kern w:val="0"/>
                <w:szCs w:val="21"/>
              </w:rPr>
              <w:t>GB</w:t>
            </w:r>
            <w:r>
              <w:rPr>
                <w:rFonts w:hint="eastAsia" w:ascii="宋体" w:hAnsi="宋体" w:cs="宋体"/>
                <w:b/>
                <w:bCs/>
                <w:kern w:val="0"/>
                <w:szCs w:val="21"/>
              </w:rPr>
              <w:t>/T</w:t>
            </w:r>
            <w:r>
              <w:rPr>
                <w:rFonts w:ascii="宋体" w:hAnsi="宋体" w:cs="宋体"/>
                <w:b/>
                <w:bCs/>
                <w:kern w:val="0"/>
                <w:szCs w:val="21"/>
              </w:rPr>
              <w:t xml:space="preserve"> </w:t>
            </w:r>
            <w:r>
              <w:rPr>
                <w:rFonts w:hint="eastAsia" w:ascii="宋体" w:hAnsi="宋体" w:cs="宋体"/>
                <w:b/>
                <w:bCs/>
                <w:kern w:val="0"/>
                <w:szCs w:val="21"/>
              </w:rPr>
              <w:t>39600-2021、</w:t>
            </w:r>
            <w:r>
              <w:rPr>
                <w:rFonts w:ascii="宋体" w:hAnsi="宋体"/>
                <w:b/>
                <w:bCs/>
                <w:kern w:val="0"/>
                <w:szCs w:val="21"/>
              </w:rPr>
              <w:t>HJ 571-2010标准、GB</w:t>
            </w:r>
            <w:r>
              <w:rPr>
                <w:rFonts w:hint="eastAsia" w:ascii="宋体" w:hAnsi="宋体"/>
                <w:b/>
                <w:bCs/>
                <w:kern w:val="0"/>
                <w:szCs w:val="21"/>
              </w:rPr>
              <w:t>/</w:t>
            </w:r>
            <w:r>
              <w:rPr>
                <w:rFonts w:ascii="宋体" w:hAnsi="宋体"/>
                <w:b/>
                <w:bCs/>
                <w:kern w:val="0"/>
                <w:szCs w:val="21"/>
              </w:rPr>
              <w:t>T</w:t>
            </w:r>
            <w:r>
              <w:rPr>
                <w:rFonts w:hint="eastAsia" w:ascii="宋体" w:hAnsi="宋体"/>
                <w:b/>
                <w:bCs/>
                <w:kern w:val="0"/>
                <w:szCs w:val="21"/>
              </w:rPr>
              <w:t xml:space="preserve"> 35</w:t>
            </w:r>
            <w:r>
              <w:rPr>
                <w:rFonts w:ascii="宋体" w:hAnsi="宋体"/>
                <w:b/>
                <w:bCs/>
                <w:kern w:val="0"/>
                <w:szCs w:val="21"/>
              </w:rPr>
              <w:t>6</w:t>
            </w:r>
            <w:r>
              <w:rPr>
                <w:rFonts w:hint="eastAsia" w:ascii="宋体" w:hAnsi="宋体"/>
                <w:b/>
                <w:bCs/>
                <w:kern w:val="0"/>
                <w:szCs w:val="21"/>
              </w:rPr>
              <w:t>01</w:t>
            </w:r>
            <w:r>
              <w:rPr>
                <w:rFonts w:ascii="宋体" w:hAnsi="宋体"/>
                <w:b/>
                <w:bCs/>
                <w:kern w:val="0"/>
                <w:szCs w:val="21"/>
              </w:rPr>
              <w:t>-201</w:t>
            </w:r>
            <w:r>
              <w:rPr>
                <w:rFonts w:hint="eastAsia" w:ascii="宋体" w:hAnsi="宋体"/>
                <w:b/>
                <w:bCs/>
                <w:kern w:val="0"/>
                <w:szCs w:val="21"/>
              </w:rPr>
              <w:t>7</w:t>
            </w:r>
            <w:r>
              <w:rPr>
                <w:rFonts w:ascii="宋体" w:hAnsi="宋体"/>
                <w:b/>
                <w:bCs/>
                <w:kern w:val="0"/>
                <w:szCs w:val="21"/>
              </w:rPr>
              <w:t>标准，其中板内密度偏差、含水率、内胶合强度、2H吸水厚度膨胀率合格</w:t>
            </w:r>
            <w:r>
              <w:rPr>
                <w:rFonts w:hint="eastAsia" w:ascii="宋体" w:hAnsi="宋体"/>
                <w:b/>
                <w:bCs/>
                <w:kern w:val="0"/>
                <w:szCs w:val="21"/>
              </w:rPr>
              <w:t>；</w:t>
            </w:r>
            <w:r>
              <w:rPr>
                <w:rFonts w:ascii="宋体" w:hAnsi="宋体"/>
                <w:b/>
                <w:bCs/>
                <w:kern w:val="0"/>
                <w:szCs w:val="21"/>
              </w:rPr>
              <w:t>握螺钉力（N）：板面≥</w:t>
            </w:r>
            <w:r>
              <w:rPr>
                <w:rFonts w:hint="eastAsia" w:ascii="宋体" w:hAnsi="宋体"/>
                <w:b/>
                <w:bCs/>
                <w:kern w:val="0"/>
                <w:szCs w:val="21"/>
              </w:rPr>
              <w:t>9</w:t>
            </w:r>
            <w:r>
              <w:rPr>
                <w:rFonts w:ascii="宋体" w:hAnsi="宋体"/>
                <w:b/>
                <w:bCs/>
                <w:kern w:val="0"/>
                <w:szCs w:val="21"/>
              </w:rPr>
              <w:t>00N、板边≥</w:t>
            </w:r>
            <w:r>
              <w:rPr>
                <w:rFonts w:hint="eastAsia" w:ascii="宋体" w:hAnsi="宋体"/>
                <w:b/>
                <w:bCs/>
                <w:kern w:val="0"/>
                <w:szCs w:val="21"/>
              </w:rPr>
              <w:t>6</w:t>
            </w:r>
            <w:r>
              <w:rPr>
                <w:rFonts w:ascii="宋体" w:hAnsi="宋体"/>
                <w:b/>
                <w:bCs/>
                <w:kern w:val="0"/>
                <w:szCs w:val="21"/>
              </w:rPr>
              <w:t>00N，</w:t>
            </w:r>
            <w:bookmarkStart w:id="162" w:name="_Hlk112690493"/>
            <w:r>
              <w:rPr>
                <w:rFonts w:ascii="宋体" w:hAnsi="宋体"/>
                <w:b/>
                <w:bCs/>
                <w:kern w:val="0"/>
                <w:szCs w:val="21"/>
              </w:rPr>
              <w:t>静曲强度≥20</w:t>
            </w:r>
            <w:r>
              <w:rPr>
                <w:rFonts w:hint="eastAsia" w:ascii="宋体" w:hAnsi="宋体"/>
                <w:b/>
                <w:bCs/>
                <w:kern w:val="0"/>
                <w:szCs w:val="21"/>
              </w:rPr>
              <w:t>MPa</w:t>
            </w:r>
            <w:bookmarkEnd w:id="162"/>
            <w:r>
              <w:rPr>
                <w:rFonts w:ascii="宋体" w:hAnsi="宋体"/>
                <w:b/>
                <w:bCs/>
                <w:kern w:val="0"/>
                <w:szCs w:val="21"/>
              </w:rPr>
              <w:t>,甲醛释放量≤0.0</w:t>
            </w:r>
            <w:r>
              <w:rPr>
                <w:rFonts w:hint="eastAsia" w:ascii="宋体" w:hAnsi="宋体"/>
                <w:b/>
                <w:bCs/>
                <w:kern w:val="0"/>
                <w:szCs w:val="21"/>
              </w:rPr>
              <w:t>2</w:t>
            </w:r>
            <w:r>
              <w:rPr>
                <w:rFonts w:ascii="宋体" w:hAnsi="宋体"/>
                <w:b/>
                <w:bCs/>
                <w:kern w:val="0"/>
                <w:szCs w:val="21"/>
              </w:rPr>
              <w:t>mg/m³，TVOC≤0.10mg/㎡h</w:t>
            </w:r>
            <w:r>
              <w:rPr>
                <w:rFonts w:hint="eastAsia"/>
                <w:b/>
                <w:bCs/>
              </w:rPr>
              <w:t>。</w:t>
            </w:r>
          </w:p>
          <w:p>
            <w:pPr>
              <w:widowControl/>
              <w:jc w:val="left"/>
              <w:textAlignment w:val="center"/>
              <w:rPr>
                <w:rFonts w:ascii="宋体" w:hAnsi="宋体" w:eastAsia="宋体" w:cs="宋体"/>
                <w:szCs w:val="21"/>
              </w:rPr>
            </w:pPr>
            <w:r>
              <w:rPr>
                <w:rFonts w:hint="eastAsia"/>
              </w:rPr>
              <w:t>★4）</w:t>
            </w:r>
            <w:r>
              <w:rPr>
                <w:rFonts w:hint="eastAsia"/>
                <w:b/>
                <w:bCs/>
              </w:rPr>
              <w:t>提供PVC封边条的CMA或CNAS认证检测机构检测报告复印件加盖投人公章，检测依据须包含以下内容</w:t>
            </w:r>
            <w:r>
              <w:rPr>
                <w:rFonts w:hint="eastAsia" w:ascii="宋体" w:hAnsi="宋体" w:cs="宋体"/>
                <w:b/>
                <w:bCs/>
                <w:color w:val="000000"/>
              </w:rPr>
              <w:t>：</w:t>
            </w:r>
            <w:r>
              <w:rPr>
                <w:rFonts w:ascii="宋体" w:hAnsi="宋体" w:cs="宋体"/>
                <w:b/>
                <w:bCs/>
                <w:color w:val="000000"/>
                <w:szCs w:val="21"/>
                <w:lang w:bidi="ar"/>
              </w:rPr>
              <w:t>符合</w:t>
            </w:r>
            <w:r>
              <w:rPr>
                <w:rFonts w:ascii="宋体" w:hAnsi="宋体" w:cs="宋体"/>
                <w:b/>
                <w:bCs/>
                <w:color w:val="000000"/>
              </w:rPr>
              <w:t>QB/T 4463-2013</w:t>
            </w:r>
            <w:r>
              <w:rPr>
                <w:rFonts w:hint="eastAsia" w:ascii="宋体" w:hAnsi="宋体" w:cs="宋体"/>
                <w:b/>
                <w:bCs/>
                <w:color w:val="000000"/>
              </w:rPr>
              <w:t>标准；</w:t>
            </w:r>
            <w:r>
              <w:rPr>
                <w:b/>
                <w:bCs/>
                <w:color w:val="000000"/>
              </w:rPr>
              <w:t>厚度</w:t>
            </w:r>
            <w:r>
              <w:rPr>
                <w:rFonts w:ascii="宋体" w:hAnsi="宋体" w:cs="宋体"/>
                <w:b/>
                <w:bCs/>
                <w:color w:val="000000"/>
              </w:rPr>
              <w:t>≥2mm</w:t>
            </w:r>
            <w:r>
              <w:rPr>
                <w:b/>
                <w:bCs/>
                <w:color w:val="000000"/>
              </w:rPr>
              <w:t>；耐干热性、耐磨性、耐老化性、耐冷热循环性符合要求；耐开裂性（耐龟裂性）达</w:t>
            </w:r>
            <w:r>
              <w:rPr>
                <w:rFonts w:ascii="宋体" w:hAnsi="宋体" w:cs="宋体"/>
                <w:b/>
                <w:bCs/>
                <w:color w:val="000000"/>
              </w:rPr>
              <w:t>1</w:t>
            </w:r>
            <w:r>
              <w:rPr>
                <w:b/>
                <w:bCs/>
                <w:color w:val="000000"/>
              </w:rPr>
              <w:t>级；耐光色牢度（灰色样卡）达</w:t>
            </w:r>
            <w:r>
              <w:rPr>
                <w:rFonts w:ascii="宋体" w:hAnsi="宋体" w:cs="宋体"/>
                <w:b/>
                <w:bCs/>
                <w:color w:val="000000"/>
              </w:rPr>
              <w:t>4</w:t>
            </w:r>
            <w:r>
              <w:rPr>
                <w:b/>
                <w:bCs/>
                <w:color w:val="000000"/>
              </w:rPr>
              <w:t>级；甲醛释放量</w:t>
            </w:r>
            <w:r>
              <w:rPr>
                <w:rFonts w:ascii="宋体" w:hAnsi="宋体" w:cs="宋体"/>
                <w:b/>
                <w:bCs/>
                <w:color w:val="000000"/>
              </w:rPr>
              <w:t>≤0.05mg/m³</w:t>
            </w:r>
            <w:r>
              <w:rPr>
                <w:b/>
                <w:bCs/>
                <w:color w:val="000000"/>
              </w:rPr>
              <w:t>；可溶性重金属含量（铅、镉、铬、汞、砷、钡、锑、硒）均未检出；</w:t>
            </w:r>
            <w:r>
              <w:rPr>
                <w:rFonts w:hint="eastAsia"/>
                <w:b/>
                <w:bCs/>
                <w:color w:val="000000"/>
              </w:rPr>
              <w:t>邻</w:t>
            </w:r>
            <w:r>
              <w:rPr>
                <w:b/>
                <w:bCs/>
                <w:color w:val="000000"/>
              </w:rPr>
              <w:t>苯二甲酸酯、多溴联苯、多溴联苯醚均未检出</w:t>
            </w:r>
            <w:r>
              <w:rPr>
                <w:rFonts w:hint="eastAsia"/>
                <w:b/>
                <w:bCs/>
                <w:color w:val="000000"/>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S-57暖白色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亚光白色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党团活动室×4</w:t>
            </w:r>
          </w:p>
        </w:tc>
      </w:tr>
      <w:tr>
        <w:tblPrEx>
          <w:tblCellMar>
            <w:top w:w="0" w:type="dxa"/>
            <w:left w:w="108" w:type="dxa"/>
            <w:bottom w:w="0" w:type="dxa"/>
            <w:right w:w="108" w:type="dxa"/>
          </w:tblCellMar>
        </w:tblPrEx>
        <w:trPr>
          <w:trHeight w:val="330"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4320" behindDoc="0" locked="0" layoutInCell="1" allowOverlap="1">
                  <wp:simplePos x="0" y="0"/>
                  <wp:positionH relativeFrom="column">
                    <wp:posOffset>61595</wp:posOffset>
                  </wp:positionH>
                  <wp:positionV relativeFrom="paragraph">
                    <wp:posOffset>1581150</wp:posOffset>
                  </wp:positionV>
                  <wp:extent cx="736600" cy="451485"/>
                  <wp:effectExtent l="0" t="0" r="6350" b="5715"/>
                  <wp:wrapNone/>
                  <wp:docPr id="32" name="图片_65"/>
                  <wp:cNvGraphicFramePr/>
                  <a:graphic xmlns:a="http://schemas.openxmlformats.org/drawingml/2006/main">
                    <a:graphicData uri="http://schemas.openxmlformats.org/drawingml/2006/picture">
                      <pic:pic xmlns:pic="http://schemas.openxmlformats.org/drawingml/2006/picture">
                        <pic:nvPicPr>
                          <pic:cNvPr id="32" name="图片_65"/>
                          <pic:cNvPicPr/>
                        </pic:nvPicPr>
                        <pic:blipFill>
                          <a:blip r:embed="rId33"/>
                          <a:stretch>
                            <a:fillRect/>
                          </a:stretch>
                        </pic:blipFill>
                        <pic:spPr>
                          <a:xfrm>
                            <a:off x="0" y="0"/>
                            <a:ext cx="736600" cy="4514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2800×1400×750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left"/>
              <w:rPr>
                <w:rFonts w:ascii="宋体" w:hAnsi="宋体" w:cs="宋体"/>
                <w:kern w:val="0"/>
                <w:szCs w:val="21"/>
              </w:rPr>
            </w:pPr>
            <w:r>
              <w:rPr>
                <w:rFonts w:hint="eastAsia" w:ascii="宋体" w:hAnsi="宋体" w:cs="宋体"/>
                <w:kern w:val="0"/>
                <w:szCs w:val="21"/>
              </w:rPr>
              <w:t>优质浸渍胶膜纸饰面板,基材采用"E0"环保刨花板,甲醛释放量优于国家标准；</w:t>
            </w:r>
            <w:r>
              <w:rPr>
                <w:rFonts w:hint="eastAsia" w:ascii="宋体" w:hAnsi="宋体" w:cs="宋体"/>
                <w:kern w:val="0"/>
                <w:szCs w:val="21"/>
              </w:rPr>
              <w:br w:type="textWrapping"/>
            </w:r>
            <w:r>
              <w:rPr>
                <w:rFonts w:hint="eastAsia" w:ascii="宋体" w:hAnsi="宋体" w:cs="宋体"/>
                <w:kern w:val="0"/>
                <w:szCs w:val="21"/>
              </w:rPr>
              <w:t>2)优质ABS封边胶条；</w:t>
            </w:r>
            <w:r>
              <w:rPr>
                <w:rFonts w:hint="eastAsia" w:ascii="宋体" w:hAnsi="宋体" w:cs="宋体"/>
                <w:kern w:val="0"/>
                <w:szCs w:val="21"/>
              </w:rPr>
              <w:br w:type="textWrapping"/>
            </w:r>
            <w:r>
              <w:rPr>
                <w:rFonts w:hint="eastAsia" w:ascii="宋体" w:hAnsi="宋体" w:cs="宋体"/>
                <w:kern w:val="0"/>
                <w:szCs w:val="21"/>
              </w:rPr>
              <w:t>3)优质PVC封边条；</w:t>
            </w:r>
            <w:r>
              <w:rPr>
                <w:rFonts w:hint="eastAsia" w:ascii="宋体" w:hAnsi="宋体" w:cs="宋体"/>
                <w:kern w:val="0"/>
                <w:szCs w:val="21"/>
              </w:rPr>
              <w:br w:type="textWrapping"/>
            </w:r>
            <w:r>
              <w:rPr>
                <w:rFonts w:hint="eastAsia" w:ascii="宋体" w:hAnsi="宋体" w:cs="宋体"/>
                <w:kern w:val="0"/>
                <w:szCs w:val="21"/>
              </w:rPr>
              <w:t>4)优质钢架,表面经静电粉末喷涂；</w:t>
            </w:r>
            <w:r>
              <w:rPr>
                <w:rFonts w:hint="eastAsia" w:ascii="宋体" w:hAnsi="宋体" w:cs="宋体"/>
                <w:kern w:val="0"/>
                <w:szCs w:val="21"/>
              </w:rPr>
              <w:br w:type="textWrapping"/>
            </w:r>
            <w:r>
              <w:rPr>
                <w:rFonts w:hint="eastAsia" w:ascii="宋体" w:hAnsi="宋体" w:cs="宋体"/>
                <w:kern w:val="0"/>
                <w:szCs w:val="21"/>
              </w:rPr>
              <w:t>5)优质翻板线盒；</w:t>
            </w:r>
            <w:r>
              <w:rPr>
                <w:rFonts w:hint="eastAsia" w:ascii="宋体" w:hAnsi="宋体" w:cs="宋体"/>
                <w:kern w:val="0"/>
                <w:szCs w:val="21"/>
              </w:rPr>
              <w:br w:type="textWrapping"/>
            </w:r>
            <w:r>
              <w:rPr>
                <w:rFonts w:hint="eastAsia" w:ascii="宋体" w:hAnsi="宋体" w:cs="宋体"/>
                <w:kern w:val="0"/>
                <w:szCs w:val="21"/>
              </w:rPr>
              <w:t>工艺说明:</w:t>
            </w:r>
            <w:r>
              <w:rPr>
                <w:rFonts w:hint="eastAsia" w:ascii="宋体" w:hAnsi="宋体" w:cs="宋体"/>
                <w:kern w:val="0"/>
                <w:szCs w:val="21"/>
              </w:rPr>
              <w:br w:type="textWrapping"/>
            </w:r>
            <w:r>
              <w:rPr>
                <w:rFonts w:hint="eastAsia" w:ascii="宋体" w:hAnsi="宋体" w:cs="宋体"/>
                <w:kern w:val="0"/>
                <w:szCs w:val="21"/>
              </w:rPr>
              <w:t>1)采用先进激光封边技术；</w:t>
            </w:r>
          </w:p>
          <w:p>
            <w:pPr>
              <w:pStyle w:val="49"/>
            </w:pPr>
            <w:r>
              <w:rPr>
                <w:rFonts w:hint="eastAsia" w:ascii="宋体" w:hAnsi="宋体" w:eastAsia="宋体" w:cs="宋体"/>
                <w:b/>
                <w:bCs/>
                <w:kern w:val="2"/>
                <w:sz w:val="21"/>
              </w:rPr>
              <w:t>★7）提供钢架的CMA或CNAS认证检测机构检测报告复印件加盖投人公章，检测依据须包含以下内容：金属喷漆（塑）涂层耐腐蚀试验100h后无锈迹、剥落、起皱、变色和失光等现象（检测方法依据GB/T 3325-2017）；金属喷漆（塑）涂层附着力达1级（检测方法依据GB/T 3325-2017）；壁厚≥1.5mm（检测方法依据QB/T 1952.1.2012）</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96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5344" behindDoc="1" locked="0" layoutInCell="1" allowOverlap="1">
                  <wp:simplePos x="0" y="0"/>
                  <wp:positionH relativeFrom="column">
                    <wp:posOffset>-44450</wp:posOffset>
                  </wp:positionH>
                  <wp:positionV relativeFrom="paragraph">
                    <wp:posOffset>1937385</wp:posOffset>
                  </wp:positionV>
                  <wp:extent cx="791845" cy="1024255"/>
                  <wp:effectExtent l="0" t="0" r="8255" b="4445"/>
                  <wp:wrapTight wrapText="bothSides">
                    <wp:wrapPolygon>
                      <wp:start x="0" y="0"/>
                      <wp:lineTo x="0" y="21292"/>
                      <wp:lineTo x="21306" y="21292"/>
                      <wp:lineTo x="21306" y="0"/>
                      <wp:lineTo x="0" y="0"/>
                    </wp:wrapPolygon>
                  </wp:wrapTight>
                  <wp:docPr id="57" name="图片_66"/>
                  <wp:cNvGraphicFramePr/>
                  <a:graphic xmlns:a="http://schemas.openxmlformats.org/drawingml/2006/main">
                    <a:graphicData uri="http://schemas.openxmlformats.org/drawingml/2006/picture">
                      <pic:pic xmlns:pic="http://schemas.openxmlformats.org/drawingml/2006/picture">
                        <pic:nvPicPr>
                          <pic:cNvPr id="57" name="图片_66"/>
                          <pic:cNvPicPr/>
                        </pic:nvPicPr>
                        <pic:blipFill>
                          <a:blip r:embed="rId27"/>
                          <a:stretch>
                            <a:fillRect/>
                          </a:stretch>
                        </pic:blipFill>
                        <pic:spPr>
                          <a:xfrm>
                            <a:off x="0" y="0"/>
                            <a:ext cx="791845" cy="102425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540×520×825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1)优质网布面料,不含致癌芳香胺染料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优质裁切泡绵,美标防火,座感舒适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4)E1级成型胶合板,甲醛释放量优于国家标准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6)PU静音椅轮,转动轻快灵活</w:t>
            </w:r>
            <w:r>
              <w:rPr>
                <w:rFonts w:hint="eastAsia" w:ascii="宋体" w:hAnsi="宋体" w:eastAsia="宋体" w:cs="宋体"/>
                <w:kern w:val="0"/>
                <w:szCs w:val="21"/>
                <w:lang w:eastAsia="zh-CN" w:bidi="ar"/>
              </w:rPr>
              <w:t>；</w:t>
            </w:r>
          </w:p>
          <w:p>
            <w:pPr>
              <w:widowControl/>
              <w:jc w:val="lef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★10）提供会议椅具有CMA或CNAS认证检测机构检测报告复印件加盖投人公章，检测依据须包含以下内容：</w:t>
            </w:r>
          </w:p>
          <w:p>
            <w:pPr>
              <w:pStyle w:val="49"/>
            </w:pPr>
            <w:r>
              <w:rPr>
                <w:rFonts w:hint="eastAsia" w:ascii="宋体" w:hAnsi="宋体" w:cs="宋体"/>
                <w:b/>
                <w:bCs/>
                <w:color w:val="auto"/>
                <w:sz w:val="21"/>
                <w:szCs w:val="21"/>
                <w:lang w:bidi="ar"/>
              </w:rPr>
              <w:t>1.检测依据：QB/T 2280-2016《办公家具 办公椅》；GB/T 3325-2017《金属家具通用技术条件》；GB 18584-2001《室内装饰装修材料 木家具中有害物质限量》；2.主要尺寸、外观合格； 3.回弹率≥45%； 4.理化性能-纺织面料干摩擦色牢度等级达4级； 5.椅凳类稳定性、耐久性及不少于8项的强度试验均符合要求； 6.甲醛释放量≤0.2mg/L； 7.重金属可溶性铅、镉、铬、汞均未检出； 8.椅背往复耐久性试验120000次符合要求； 9.倾斜机构 300000次符合要求。</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CW-AN30H 红色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48</w:t>
            </w:r>
          </w:p>
        </w:tc>
      </w:tr>
      <w:tr>
        <w:tblPrEx>
          <w:tblCellMar>
            <w:top w:w="0" w:type="dxa"/>
            <w:left w:w="108" w:type="dxa"/>
            <w:bottom w:w="0" w:type="dxa"/>
            <w:right w:w="108" w:type="dxa"/>
          </w:tblCellMar>
        </w:tblPrEx>
        <w:trPr>
          <w:trHeight w:val="2738"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洽谈桌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6368" behindDoc="0" locked="0" layoutInCell="1" allowOverlap="1">
                  <wp:simplePos x="0" y="0"/>
                  <wp:positionH relativeFrom="column">
                    <wp:posOffset>34290</wp:posOffset>
                  </wp:positionH>
                  <wp:positionV relativeFrom="paragraph">
                    <wp:posOffset>558165</wp:posOffset>
                  </wp:positionV>
                  <wp:extent cx="742315" cy="776605"/>
                  <wp:effectExtent l="0" t="0" r="635" b="4445"/>
                  <wp:wrapNone/>
                  <wp:docPr id="59" name="图片_64"/>
                  <wp:cNvGraphicFramePr/>
                  <a:graphic xmlns:a="http://schemas.openxmlformats.org/drawingml/2006/main">
                    <a:graphicData uri="http://schemas.openxmlformats.org/drawingml/2006/picture">
                      <pic:pic xmlns:pic="http://schemas.openxmlformats.org/drawingml/2006/picture">
                        <pic:nvPicPr>
                          <pic:cNvPr id="59" name="图片_64"/>
                          <pic:cNvPicPr/>
                        </pic:nvPicPr>
                        <pic:blipFill>
                          <a:blip r:embed="rId34"/>
                          <a:stretch>
                            <a:fillRect/>
                          </a:stretch>
                        </pic:blipFill>
                        <pic:spPr>
                          <a:xfrm>
                            <a:off x="0" y="0"/>
                            <a:ext cx="742315" cy="77660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1000×1000×750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2)板材边部斜切薄边工艺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69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会议椅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7392" behindDoc="0" locked="0" layoutInCell="1" allowOverlap="1">
                  <wp:simplePos x="0" y="0"/>
                  <wp:positionH relativeFrom="column">
                    <wp:posOffset>14605</wp:posOffset>
                  </wp:positionH>
                  <wp:positionV relativeFrom="paragraph">
                    <wp:posOffset>328295</wp:posOffset>
                  </wp:positionV>
                  <wp:extent cx="742315" cy="908050"/>
                  <wp:effectExtent l="0" t="0" r="635" b="6350"/>
                  <wp:wrapNone/>
                  <wp:docPr id="33" name="图片_67"/>
                  <wp:cNvGraphicFramePr/>
                  <a:graphic xmlns:a="http://schemas.openxmlformats.org/drawingml/2006/main">
                    <a:graphicData uri="http://schemas.openxmlformats.org/drawingml/2006/picture">
                      <pic:pic xmlns:pic="http://schemas.openxmlformats.org/drawingml/2006/picture">
                        <pic:nvPicPr>
                          <pic:cNvPr id="33" name="图片_67"/>
                          <pic:cNvPicPr/>
                        </pic:nvPicPr>
                        <pic:blipFill>
                          <a:blip r:embed="rId27"/>
                          <a:srcRect l="9273" r="9415"/>
                          <a:stretch>
                            <a:fillRect/>
                          </a:stretch>
                        </pic:blipFill>
                        <pic:spPr>
                          <a:xfrm>
                            <a:off x="0" y="0"/>
                            <a:ext cx="742315" cy="9080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540×520×825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1)优质网布面料,不含致癌芳香胺染料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2)尼龙+30%玻纤背框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优质裁切泡绵,美标防火,座感舒适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4)E1级成型胶合板,甲醛释放量优于国家标准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5)钢制椅架,表面喷涂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6)PU静音椅轮,转动轻快灵活</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CW-AN30H 红色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r>
      <w:tr>
        <w:tblPrEx>
          <w:tblCellMar>
            <w:top w:w="0" w:type="dxa"/>
            <w:left w:w="108" w:type="dxa"/>
            <w:bottom w:w="0" w:type="dxa"/>
            <w:right w:w="108" w:type="dxa"/>
          </w:tblCellMar>
        </w:tblPrEx>
        <w:trPr>
          <w:trHeight w:val="2774"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异形沙发组（含手扶茶几）</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8416" behindDoc="0" locked="0" layoutInCell="1" allowOverlap="1">
                  <wp:simplePos x="0" y="0"/>
                  <wp:positionH relativeFrom="column">
                    <wp:posOffset>-2540</wp:posOffset>
                  </wp:positionH>
                  <wp:positionV relativeFrom="paragraph">
                    <wp:posOffset>648335</wp:posOffset>
                  </wp:positionV>
                  <wp:extent cx="812800" cy="525145"/>
                  <wp:effectExtent l="0" t="0" r="6350" b="8255"/>
                  <wp:wrapNone/>
                  <wp:docPr id="50" name="图片_72"/>
                  <wp:cNvGraphicFramePr/>
                  <a:graphic xmlns:a="http://schemas.openxmlformats.org/drawingml/2006/main">
                    <a:graphicData uri="http://schemas.openxmlformats.org/drawingml/2006/picture">
                      <pic:pic xmlns:pic="http://schemas.openxmlformats.org/drawingml/2006/picture">
                        <pic:nvPicPr>
                          <pic:cNvPr id="50" name="图片_72"/>
                          <pic:cNvPicPr/>
                        </pic:nvPicPr>
                        <pic:blipFill>
                          <a:blip r:embed="rId35"/>
                          <a:stretch>
                            <a:fillRect/>
                          </a:stretch>
                        </pic:blipFill>
                        <pic:spPr>
                          <a:xfrm>
                            <a:off x="0" y="0"/>
                            <a:ext cx="812800" cy="52514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2770×3070×740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2)天然实木(松木),经久耐用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高密度高回弹裁切海绵,具有良好的抗震性、柔软性,抗撕拉</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5)钢制沙发脚,表面喷涂处理</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TM-CI30B红色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TM-CI29B米白色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W-23B 白橡木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71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脚凳</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drawing>
                <wp:inline distT="0" distB="0" distL="114300" distR="114300">
                  <wp:extent cx="641350" cy="693420"/>
                  <wp:effectExtent l="0" t="0" r="6350" b="1143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41350" cy="693420"/>
                          </a:xfrm>
                          <a:prstGeom prst="rect">
                            <a:avLst/>
                          </a:prstGeom>
                          <a:noFill/>
                          <a:ln>
                            <a:noFill/>
                          </a:ln>
                        </pic:spPr>
                      </pic:pic>
                    </a:graphicData>
                  </a:graphic>
                </wp:inline>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460×450×430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3)高密度高回弹裁切海绵,具有良好的抗震性、柔软性,抗撕拉</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S-SD57红色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33</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茶几组</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mc:AlternateContent>
                <mc:Choice Requires="wpg">
                  <w:drawing>
                    <wp:anchor distT="0" distB="0" distL="114300" distR="114300" simplePos="0" relativeHeight="251718656" behindDoc="0" locked="0" layoutInCell="1" allowOverlap="1">
                      <wp:simplePos x="0" y="0"/>
                      <wp:positionH relativeFrom="column">
                        <wp:posOffset>66675</wp:posOffset>
                      </wp:positionH>
                      <wp:positionV relativeFrom="paragraph">
                        <wp:posOffset>516890</wp:posOffset>
                      </wp:positionV>
                      <wp:extent cx="584200" cy="432435"/>
                      <wp:effectExtent l="0" t="0" r="6350" b="5715"/>
                      <wp:wrapNone/>
                      <wp:docPr id="38" name="组合 38"/>
                      <wp:cNvGraphicFramePr/>
                      <a:graphic xmlns:a="http://schemas.openxmlformats.org/drawingml/2006/main">
                        <a:graphicData uri="http://schemas.microsoft.com/office/word/2010/wordprocessingGroup">
                          <wpg:wgp>
                            <wpg:cNvGrpSpPr/>
                            <wpg:grpSpPr>
                              <a:xfrm>
                                <a:off x="0" y="0"/>
                                <a:ext cx="584200" cy="432435"/>
                                <a:chOff x="6406" y="54636"/>
                                <a:chExt cx="1820" cy="1356"/>
                              </a:xfrm>
                            </wpg:grpSpPr>
                            <pic:pic xmlns:pic="http://schemas.openxmlformats.org/drawingml/2006/picture">
                              <pic:nvPicPr>
                                <pic:cNvPr id="36" name="图片_55"/>
                                <pic:cNvPicPr/>
                              </pic:nvPicPr>
                              <pic:blipFill>
                                <a:blip r:embed="rId37"/>
                                <a:stretch>
                                  <a:fillRect/>
                                </a:stretch>
                              </pic:blipFill>
                              <pic:spPr>
                                <a:xfrm>
                                  <a:off x="6406" y="54636"/>
                                  <a:ext cx="1137" cy="1357"/>
                                </a:xfrm>
                                <a:prstGeom prst="rect">
                                  <a:avLst/>
                                </a:prstGeom>
                                <a:noFill/>
                                <a:ln>
                                  <a:noFill/>
                                </a:ln>
                              </pic:spPr>
                            </pic:pic>
                            <pic:pic xmlns:pic="http://schemas.openxmlformats.org/drawingml/2006/picture">
                              <pic:nvPicPr>
                                <pic:cNvPr id="37" name="图片_56"/>
                                <pic:cNvPicPr/>
                              </pic:nvPicPr>
                              <pic:blipFill>
                                <a:blip r:embed="rId38"/>
                                <a:stretch>
                                  <a:fillRect/>
                                </a:stretch>
                              </pic:blipFill>
                              <pic:spPr>
                                <a:xfrm>
                                  <a:off x="7500" y="54876"/>
                                  <a:ext cx="726" cy="940"/>
                                </a:xfrm>
                                <a:prstGeom prst="rect">
                                  <a:avLst/>
                                </a:prstGeom>
                                <a:noFill/>
                                <a:ln>
                                  <a:noFill/>
                                </a:ln>
                              </pic:spPr>
                            </pic:pic>
                          </wpg:wgp>
                        </a:graphicData>
                      </a:graphic>
                    </wp:anchor>
                  </w:drawing>
                </mc:Choice>
                <mc:Fallback>
                  <w:pict>
                    <v:group id="_x0000_s1026" o:spid="_x0000_s1026" o:spt="203" style="position:absolute;left:0pt;margin-left:5.25pt;margin-top:40.7pt;height:34.05pt;width:46pt;z-index:251718656;mso-width-relative:page;mso-height-relative:page;" coordorigin="6406,54636" coordsize="1820,1356" o:gfxdata="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ubPAAvwAAAKUBAAAZAAAAZHJz&#10;L19yZWxzL2Uyb0RvYy54bWwucmVsc72QwYrCMBCG7wv7DmHu27Q9LLKY9iKCV3EfYEimabCZhCSK&#10;vr2BZUFB8OZxZvi//2PW48Uv4kwpu8AKuqYFQayDcWwV/B62XysQuSAbXAKTgitlGIfPj/WeFiw1&#10;lGcXs6gUzgrmUuKPlFnP5DE3IRLXyxSSx1LHZGVEfURLsm/bb5nuGTA8MMXOKEg704M4XGNtfs0O&#10;0+Q0bYI+eeLypEI6X7srEJOlosCTcfi37JvIFuRzh+49Dt2/g3x47nAD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">
                      <o:lock v:ext="edit" aspectratio="f"/>
                      <v:shape id="图片_55" o:spid="_x0000_s1026" o:spt="75" type="#_x0000_t75" style="position:absolute;left:6406;top:54636;height:1357;width:1137;" filled="f" o:preferrelative="t" stroked="f" coordsize="21600,21600" o:gfxdata="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OfvyvQAA&#10;ANsAAAAPAAAAAAAAAAEAIAAAACIAAABkcnMvZG93bnJldi54bWxQSwECFAAUAAAACACHTuJAMy8F&#10;njsAAAA5AAAAEAAAAAAAAAABACAAAAAMAQAAZHJzL3NoYXBleG1sLnhtbFBLBQYAAAAABgAGAFsB&#10;AAC2AwAAAAA=&#10;">
                        <v:fill on="f" focussize="0,0"/>
                        <v:stroke on="f"/>
                        <v:imagedata r:id="rId37" o:title=""/>
                        <o:lock v:ext="edit" aspectratio="f"/>
                      </v:shape>
                      <v:shape id="图片_56" o:spid="_x0000_s1026" o:spt="75" type="#_x0000_t75" style="position:absolute;left:7500;top:54876;height:940;width:726;" filled="f" o:preferrelative="t" stroked="f" coordsize="21600,21600" o:gfxdata="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OIY74A&#10;AADbAAAADwAAAAAAAAABACAAAAAiAAAAZHJzL2Rvd25yZXYueG1sUEsBAhQAFAAAAAgAh07iQDMv&#10;BZ47AAAAOQAAABAAAAAAAAAAAQAgAAAADQEAAGRycy9zaGFwZXhtbC54bWxQSwUGAAAAAAYABgBb&#10;AQAAtwMAAAAA&#10;">
                        <v:fill on="f" focussize="0,0"/>
                        <v:stroke on="f"/>
                        <v:imagedata r:id="rId38" o:title=""/>
                        <o:lock v:ext="edit" aspectratio="f"/>
                      </v:shape>
                    </v:group>
                  </w:pict>
                </mc:Fallback>
              </mc:AlternateConten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400×400×420 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600×600×350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亚光黑色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套</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12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34</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茶水</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柜2</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13536" behindDoc="0" locked="0" layoutInCell="1" allowOverlap="1">
                  <wp:simplePos x="0" y="0"/>
                  <wp:positionH relativeFrom="column">
                    <wp:posOffset>-34290</wp:posOffset>
                  </wp:positionH>
                  <wp:positionV relativeFrom="paragraph">
                    <wp:posOffset>293370</wp:posOffset>
                  </wp:positionV>
                  <wp:extent cx="831850" cy="680085"/>
                  <wp:effectExtent l="0" t="0" r="6350" b="5715"/>
                  <wp:wrapNone/>
                  <wp:docPr id="8" name="图片_12"/>
                  <wp:cNvGraphicFramePr/>
                  <a:graphic xmlns:a="http://schemas.openxmlformats.org/drawingml/2006/main">
                    <a:graphicData uri="http://schemas.openxmlformats.org/drawingml/2006/picture">
                      <pic:pic xmlns:pic="http://schemas.openxmlformats.org/drawingml/2006/picture">
                        <pic:nvPicPr>
                          <pic:cNvPr id="8" name="图片_12"/>
                          <pic:cNvPicPr/>
                        </pic:nvPicPr>
                        <pic:blipFill>
                          <a:blip r:embed="rId39"/>
                          <a:stretch>
                            <a:fillRect/>
                          </a:stretch>
                        </pic:blipFill>
                        <pic:spPr>
                          <a:xfrm>
                            <a:off x="0" y="0"/>
                            <a:ext cx="831850" cy="68008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1050×400×808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3</w:t>
            </w:r>
            <w:r>
              <w:rPr>
                <w:rFonts w:hint="eastAsia" w:ascii="宋体" w:hAnsi="宋体" w:eastAsia="宋体" w:cs="宋体"/>
                <w:kern w:val="0"/>
                <w:szCs w:val="21"/>
                <w:lang w:bidi="ar"/>
              </w:rPr>
              <w:t>)塑胶件,PVC材质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4)采用钢化玻璃,玻璃外露部分不应有裂纹和缺角</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64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35</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书报柜</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09440" behindDoc="0" locked="0" layoutInCell="1" allowOverlap="1">
                  <wp:simplePos x="0" y="0"/>
                  <wp:positionH relativeFrom="column">
                    <wp:posOffset>33020</wp:posOffset>
                  </wp:positionH>
                  <wp:positionV relativeFrom="paragraph">
                    <wp:posOffset>322580</wp:posOffset>
                  </wp:positionV>
                  <wp:extent cx="723265" cy="721360"/>
                  <wp:effectExtent l="0" t="0" r="635" b="2540"/>
                  <wp:wrapNone/>
                  <wp:docPr id="44" name="图片_38"/>
                  <wp:cNvGraphicFramePr/>
                  <a:graphic xmlns:a="http://schemas.openxmlformats.org/drawingml/2006/main">
                    <a:graphicData uri="http://schemas.openxmlformats.org/drawingml/2006/picture">
                      <pic:pic xmlns:pic="http://schemas.openxmlformats.org/drawingml/2006/picture">
                        <pic:nvPicPr>
                          <pic:cNvPr id="44" name="图片_38"/>
                          <pic:cNvPicPr/>
                        </pic:nvPicPr>
                        <pic:blipFill>
                          <a:blip r:embed="rId40"/>
                          <a:stretch>
                            <a:fillRect/>
                          </a:stretch>
                        </pic:blipFill>
                        <pic:spPr>
                          <a:xfrm>
                            <a:off x="0" y="0"/>
                            <a:ext cx="723265" cy="72136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1200×400×1202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1)表面选用防火板,"E0"环保刨花板,甲醛释放量优于国家标准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r>
      <w:tr>
        <w:tblPrEx>
          <w:tblCellMar>
            <w:top w:w="0" w:type="dxa"/>
            <w:left w:w="108" w:type="dxa"/>
            <w:bottom w:w="0" w:type="dxa"/>
            <w:right w:w="108" w:type="dxa"/>
          </w:tblCellMar>
        </w:tblPrEx>
        <w:trPr>
          <w:trHeight w:val="326" w:hRule="atLeast"/>
          <w:jc w:val="center"/>
        </w:trPr>
        <w:tc>
          <w:tcPr>
            <w:tcW w:w="9889"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谈心谈话室×4</w:t>
            </w:r>
          </w:p>
        </w:tc>
      </w:tr>
      <w:tr>
        <w:tblPrEx>
          <w:tblCellMar>
            <w:top w:w="0" w:type="dxa"/>
            <w:left w:w="108" w:type="dxa"/>
            <w:bottom w:w="0" w:type="dxa"/>
            <w:right w:w="108" w:type="dxa"/>
          </w:tblCellMar>
        </w:tblPrEx>
        <w:trPr>
          <w:trHeight w:val="348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36</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教师桌</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10464" behindDoc="0" locked="0" layoutInCell="1" allowOverlap="1">
                  <wp:simplePos x="0" y="0"/>
                  <wp:positionH relativeFrom="column">
                    <wp:posOffset>13970</wp:posOffset>
                  </wp:positionH>
                  <wp:positionV relativeFrom="paragraph">
                    <wp:posOffset>894080</wp:posOffset>
                  </wp:positionV>
                  <wp:extent cx="740410" cy="402590"/>
                  <wp:effectExtent l="0" t="0" r="2540" b="16510"/>
                  <wp:wrapNone/>
                  <wp:docPr id="51" name="图片_63"/>
                  <wp:cNvGraphicFramePr/>
                  <a:graphic xmlns:a="http://schemas.openxmlformats.org/drawingml/2006/main">
                    <a:graphicData uri="http://schemas.openxmlformats.org/drawingml/2006/picture">
                      <pic:pic xmlns:pic="http://schemas.openxmlformats.org/drawingml/2006/picture">
                        <pic:nvPicPr>
                          <pic:cNvPr id="51" name="图片_63"/>
                          <pic:cNvPicPr/>
                        </pic:nvPicPr>
                        <pic:blipFill>
                          <a:blip r:embed="rId19"/>
                          <a:stretch>
                            <a:fillRect/>
                          </a:stretch>
                        </pic:blipFill>
                        <pic:spPr>
                          <a:xfrm>
                            <a:off x="0" y="0"/>
                            <a:ext cx="740410" cy="40259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1600×1600×750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3)优质滑轨,表面黑色喷涂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4)优质阻尼铰链</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5)优质钢架,表面经静电粉末喷涂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6)优质翻板线盒</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p>
          <w:p>
            <w:pPr>
              <w:widowControl/>
              <w:jc w:val="left"/>
              <w:textAlignment w:val="center"/>
              <w:rPr>
                <w:rFonts w:hint="eastAsia" w:eastAsia="宋体"/>
                <w:lang w:eastAsia="zh-CN"/>
              </w:rPr>
            </w:pPr>
            <w:r>
              <w:rPr>
                <w:rFonts w:hint="eastAsia" w:ascii="宋体" w:hAnsi="宋体" w:eastAsia="宋体" w:cs="宋体"/>
                <w:kern w:val="0"/>
                <w:szCs w:val="21"/>
                <w:lang w:bidi="ar"/>
              </w:rPr>
              <w:t>2)抽屉采用包覆工艺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 克罗摩纳橡木</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r>
      <w:tr>
        <w:tblPrEx>
          <w:tblCellMar>
            <w:top w:w="0" w:type="dxa"/>
            <w:left w:w="108" w:type="dxa"/>
            <w:bottom w:w="0" w:type="dxa"/>
            <w:right w:w="108" w:type="dxa"/>
          </w:tblCellMar>
        </w:tblPrEx>
        <w:trPr>
          <w:trHeight w:val="3171"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职员椅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11488" behindDoc="0" locked="0" layoutInCell="1" allowOverlap="1">
                  <wp:simplePos x="0" y="0"/>
                  <wp:positionH relativeFrom="column">
                    <wp:posOffset>27305</wp:posOffset>
                  </wp:positionH>
                  <wp:positionV relativeFrom="paragraph">
                    <wp:posOffset>909320</wp:posOffset>
                  </wp:positionV>
                  <wp:extent cx="734695" cy="1033145"/>
                  <wp:effectExtent l="0" t="0" r="8255" b="14605"/>
                  <wp:wrapNone/>
                  <wp:docPr id="52" name="图片_60"/>
                  <wp:cNvGraphicFramePr/>
                  <a:graphic xmlns:a="http://schemas.openxmlformats.org/drawingml/2006/main">
                    <a:graphicData uri="http://schemas.openxmlformats.org/drawingml/2006/picture">
                      <pic:pic xmlns:pic="http://schemas.openxmlformats.org/drawingml/2006/picture">
                        <pic:nvPicPr>
                          <pic:cNvPr id="52" name="图片_60"/>
                          <pic:cNvPicPr/>
                        </pic:nvPicPr>
                        <pic:blipFill>
                          <a:blip r:embed="rId20"/>
                          <a:stretch>
                            <a:fillRect/>
                          </a:stretch>
                        </pic:blipFill>
                        <pic:spPr>
                          <a:xfrm>
                            <a:off x="0" y="0"/>
                            <a:ext cx="734695" cy="1033145"/>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595×630×1240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1)PU静音椅轮,转动轻快灵活</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2)尼龙五星脚</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3)气杆升降平稳,无漏声、噪声</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4)同步倾仰底盘,四档锁定功能,自负重无需调节倾仰力度</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5)升降PU面扶手,坚韧有弹性，承托更舒适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6)一体成型胶合板,甲醛释放量优于国家标准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7)一体成型高密度定型绵,美标防火,座感舒适</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8)尼龙+30%玻纤背框,腰托可调节</w:t>
            </w:r>
            <w:r>
              <w:rPr>
                <w:rFonts w:hint="eastAsia" w:ascii="宋体" w:hAnsi="宋体" w:eastAsia="宋体" w:cs="宋体"/>
                <w:kern w:val="0"/>
                <w:szCs w:val="21"/>
                <w:lang w:eastAsia="zh-CN" w:bidi="ar"/>
              </w:rPr>
              <w:t>；</w:t>
            </w:r>
          </w:p>
          <w:p>
            <w:pPr>
              <w:widowControl/>
              <w:jc w:val="left"/>
              <w:textAlignment w:val="center"/>
              <w:rPr>
                <w:rFonts w:hint="eastAsia" w:eastAsia="宋体"/>
                <w:lang w:eastAsia="zh-CN"/>
              </w:rPr>
            </w:pPr>
            <w:r>
              <w:rPr>
                <w:rFonts w:hint="eastAsia" w:ascii="宋体" w:hAnsi="宋体" w:eastAsia="宋体" w:cs="宋体"/>
                <w:kern w:val="0"/>
                <w:szCs w:val="21"/>
                <w:lang w:bidi="ar"/>
              </w:rPr>
              <w:t>9)优质网布面料,不含致癌芳香胺染料</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CW-AN70H青色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r>
      <w:tr>
        <w:tblPrEx>
          <w:tblCellMar>
            <w:top w:w="0" w:type="dxa"/>
            <w:left w:w="108" w:type="dxa"/>
            <w:bottom w:w="0" w:type="dxa"/>
            <w:right w:w="108" w:type="dxa"/>
          </w:tblCellMar>
        </w:tblPrEx>
        <w:trPr>
          <w:trHeight w:val="487"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38</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洽谈椅</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12512" behindDoc="0" locked="0" layoutInCell="1" allowOverlap="1">
                  <wp:simplePos x="0" y="0"/>
                  <wp:positionH relativeFrom="column">
                    <wp:posOffset>135890</wp:posOffset>
                  </wp:positionH>
                  <wp:positionV relativeFrom="paragraph">
                    <wp:posOffset>34925</wp:posOffset>
                  </wp:positionV>
                  <wp:extent cx="486410" cy="731520"/>
                  <wp:effectExtent l="0" t="0" r="8890" b="11430"/>
                  <wp:wrapNone/>
                  <wp:docPr id="53" name="图片_62"/>
                  <wp:cNvGraphicFramePr/>
                  <a:graphic xmlns:a="http://schemas.openxmlformats.org/drawingml/2006/main">
                    <a:graphicData uri="http://schemas.openxmlformats.org/drawingml/2006/picture">
                      <pic:pic xmlns:pic="http://schemas.openxmlformats.org/drawingml/2006/picture">
                        <pic:nvPicPr>
                          <pic:cNvPr id="53" name="图片_62"/>
                          <pic:cNvPicPr/>
                        </pic:nvPicPr>
                        <pic:blipFill>
                          <a:blip r:embed="rId21"/>
                          <a:stretch>
                            <a:fillRect/>
                          </a:stretch>
                        </pic:blipFill>
                        <pic:spPr>
                          <a:xfrm>
                            <a:off x="0" y="0"/>
                            <a:ext cx="486410" cy="73152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660×620×820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一体成型高密度定型绵</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2)沙发油漆脚,榉木实木材质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3)EPU皮,聚氨酯合成革</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4)天然木制件,表面水性油漆涂饰</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TM-CI80B蓝色</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TPH-EPU21流星灰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E-11极夜黑</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把</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718"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39</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三人位</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沙发</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17632" behindDoc="0" locked="0" layoutInCell="1" allowOverlap="1">
                  <wp:simplePos x="0" y="0"/>
                  <wp:positionH relativeFrom="column">
                    <wp:posOffset>-5715</wp:posOffset>
                  </wp:positionH>
                  <wp:positionV relativeFrom="paragraph">
                    <wp:posOffset>600075</wp:posOffset>
                  </wp:positionV>
                  <wp:extent cx="772160" cy="396240"/>
                  <wp:effectExtent l="0" t="0" r="8890" b="3810"/>
                  <wp:wrapNone/>
                  <wp:docPr id="9" name="图片_61"/>
                  <wp:cNvGraphicFramePr/>
                  <a:graphic xmlns:a="http://schemas.openxmlformats.org/drawingml/2006/main">
                    <a:graphicData uri="http://schemas.openxmlformats.org/drawingml/2006/picture">
                      <pic:pic xmlns:pic="http://schemas.openxmlformats.org/drawingml/2006/picture">
                        <pic:nvPicPr>
                          <pic:cNvPr id="9" name="图片_61"/>
                          <pic:cNvPicPr/>
                        </pic:nvPicPr>
                        <pic:blipFill>
                          <a:blip r:embed="rId22"/>
                          <a:stretch>
                            <a:fillRect/>
                          </a:stretch>
                        </pic:blipFill>
                        <pic:spPr>
                          <a:xfrm>
                            <a:off x="0" y="0"/>
                            <a:ext cx="772160" cy="39624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1840×760×760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1)天然实木(松木),经久耐用</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2)钢制沙发脚,表面喷涂处理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kern w:val="0"/>
                <w:szCs w:val="21"/>
                <w:lang w:bidi="ar"/>
              </w:rPr>
              <w:t>)高密度高回弹裁切海绵,具有良好的抗震性、柔软性,抗撕拉</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4)实木生态多层板,甲醛释放量优于国家标准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szCs w:val="21"/>
              </w:rPr>
              <w:t>5</w:t>
            </w:r>
            <w:r>
              <w:rPr>
                <w:rFonts w:hint="eastAsia" w:ascii="宋体" w:hAnsi="宋体" w:eastAsia="宋体" w:cs="宋体"/>
                <w:kern w:val="0"/>
                <w:szCs w:val="21"/>
                <w:lang w:bidi="ar"/>
              </w:rPr>
              <w:t>)优质麻绒面料,不含致癌芳香胺染料</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6)一体成型高密度定型绵</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TM-CI60B绿色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2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40</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茶几</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14560" behindDoc="0" locked="0" layoutInCell="1" allowOverlap="1">
                  <wp:simplePos x="0" y="0"/>
                  <wp:positionH relativeFrom="column">
                    <wp:posOffset>46355</wp:posOffset>
                  </wp:positionH>
                  <wp:positionV relativeFrom="paragraph">
                    <wp:posOffset>526415</wp:posOffset>
                  </wp:positionV>
                  <wp:extent cx="691515" cy="628650"/>
                  <wp:effectExtent l="0" t="0" r="13335" b="0"/>
                  <wp:wrapNone/>
                  <wp:docPr id="63" name="图片_53"/>
                  <wp:cNvGraphicFramePr/>
                  <a:graphic xmlns:a="http://schemas.openxmlformats.org/drawingml/2006/main">
                    <a:graphicData uri="http://schemas.openxmlformats.org/drawingml/2006/picture">
                      <pic:pic xmlns:pic="http://schemas.openxmlformats.org/drawingml/2006/picture">
                        <pic:nvPicPr>
                          <pic:cNvPr id="63" name="图片_53"/>
                          <pic:cNvPicPr/>
                        </pic:nvPicPr>
                        <pic:blipFill>
                          <a:blip r:embed="rId23"/>
                          <a:stretch>
                            <a:fillRect/>
                          </a:stretch>
                        </pic:blipFill>
                        <pic:spPr>
                          <a:xfrm>
                            <a:off x="0" y="0"/>
                            <a:ext cx="691515" cy="6286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800×800×600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2)优质PVC封边条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kern w:val="0"/>
                <w:szCs w:val="21"/>
                <w:lang w:bidi="ar"/>
              </w:rPr>
              <w:t>3)优质钢架,表面经静电粉末喷涂</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1)板材边部斜切薄边工艺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亚光白色</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2539"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41</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文件柜</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bdr w:val="single" w:color="000000" w:sz="4" w:space="0"/>
              </w:rPr>
              <w:drawing>
                <wp:anchor distT="0" distB="0" distL="114300" distR="114300" simplePos="0" relativeHeight="251715584" behindDoc="0" locked="0" layoutInCell="1" allowOverlap="1">
                  <wp:simplePos x="0" y="0"/>
                  <wp:positionH relativeFrom="column">
                    <wp:posOffset>12065</wp:posOffset>
                  </wp:positionH>
                  <wp:positionV relativeFrom="paragraph">
                    <wp:posOffset>666115</wp:posOffset>
                  </wp:positionV>
                  <wp:extent cx="812800" cy="563880"/>
                  <wp:effectExtent l="0" t="0" r="6350" b="7620"/>
                  <wp:wrapNone/>
                  <wp:docPr id="64" name="图片_46"/>
                  <wp:cNvGraphicFramePr/>
                  <a:graphic xmlns:a="http://schemas.openxmlformats.org/drawingml/2006/main">
                    <a:graphicData uri="http://schemas.openxmlformats.org/drawingml/2006/picture">
                      <pic:pic xmlns:pic="http://schemas.openxmlformats.org/drawingml/2006/picture">
                        <pic:nvPicPr>
                          <pic:cNvPr id="64" name="图片_46"/>
                          <pic:cNvPicPr/>
                        </pic:nvPicPr>
                        <pic:blipFill>
                          <a:blip r:embed="rId24"/>
                          <a:stretch>
                            <a:fillRect/>
                          </a:stretch>
                        </pic:blipFill>
                        <pic:spPr>
                          <a:xfrm>
                            <a:off x="0" y="0"/>
                            <a:ext cx="812800" cy="56388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2356×400×1966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材质说明: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1)优质浸渍胶膜纸饰面板,基材采用"E0"环保刨花板,甲醛释放量优于国家标准</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2)优质ABS封边胶条</w:t>
            </w:r>
            <w:r>
              <w:rPr>
                <w:rFonts w:hint="eastAsia" w:ascii="宋体" w:hAnsi="宋体" w:eastAsia="宋体" w:cs="宋体"/>
                <w:kern w:val="0"/>
                <w:szCs w:val="21"/>
                <w:lang w:eastAsia="zh-CN" w:bidi="ar"/>
              </w:rPr>
              <w:t>；</w:t>
            </w:r>
          </w:p>
          <w:p>
            <w:pPr>
              <w:widowControl/>
              <w:jc w:val="left"/>
              <w:textAlignment w:val="center"/>
              <w:rPr>
                <w:rFonts w:hint="eastAsia" w:ascii="宋体" w:hAnsi="宋体" w:eastAsia="宋体" w:cs="宋体"/>
                <w:szCs w:val="21"/>
                <w:lang w:eastAsia="zh-CN"/>
              </w:rPr>
            </w:pPr>
            <w:r>
              <w:rPr>
                <w:rFonts w:hint="eastAsia" w:ascii="宋体" w:hAnsi="宋体" w:eastAsia="宋体" w:cs="宋体"/>
                <w:szCs w:val="21"/>
              </w:rPr>
              <w:t>3)优质</w:t>
            </w:r>
            <w:r>
              <w:rPr>
                <w:rFonts w:hint="eastAsia" w:ascii="宋体" w:hAnsi="宋体" w:eastAsia="宋体" w:cs="宋体"/>
                <w:kern w:val="0"/>
                <w:szCs w:val="21"/>
                <w:lang w:bidi="ar"/>
              </w:rPr>
              <w:t>阻尼铰链</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工艺说明:</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1)采用先进激光封边技术</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2)Z型封边工艺</w:t>
            </w:r>
            <w:r>
              <w:rPr>
                <w:rFonts w:hint="eastAsia" w:ascii="宋体" w:hAnsi="宋体" w:eastAsia="宋体" w:cs="宋体"/>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S-10C克罗摩纳橡木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r>
      <w:tr>
        <w:tblPrEx>
          <w:tblCellMar>
            <w:top w:w="0" w:type="dxa"/>
            <w:left w:w="108" w:type="dxa"/>
            <w:bottom w:w="0" w:type="dxa"/>
            <w:right w:w="108" w:type="dxa"/>
          </w:tblCellMar>
        </w:tblPrEx>
        <w:trPr>
          <w:trHeight w:val="1722" w:hRule="atLeast"/>
          <w:jc w:val="center"/>
        </w:trPr>
        <w:tc>
          <w:tcPr>
            <w:tcW w:w="5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42</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茶水柜1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bdr w:val="single" w:color="000000" w:sz="4" w:space="0"/>
              </w:rPr>
              <w:drawing>
                <wp:anchor distT="0" distB="0" distL="114300" distR="114300" simplePos="0" relativeHeight="251716608" behindDoc="0" locked="0" layoutInCell="1" allowOverlap="1">
                  <wp:simplePos x="0" y="0"/>
                  <wp:positionH relativeFrom="column">
                    <wp:posOffset>-16510</wp:posOffset>
                  </wp:positionH>
                  <wp:positionV relativeFrom="paragraph">
                    <wp:posOffset>281305</wp:posOffset>
                  </wp:positionV>
                  <wp:extent cx="814070" cy="717550"/>
                  <wp:effectExtent l="0" t="0" r="5080" b="6350"/>
                  <wp:wrapNone/>
                  <wp:docPr id="11" name="图片_30"/>
                  <wp:cNvGraphicFramePr/>
                  <a:graphic xmlns:a="http://schemas.openxmlformats.org/drawingml/2006/main">
                    <a:graphicData uri="http://schemas.openxmlformats.org/drawingml/2006/picture">
                      <pic:pic xmlns:pic="http://schemas.openxmlformats.org/drawingml/2006/picture">
                        <pic:nvPicPr>
                          <pic:cNvPr id="11" name="图片_30"/>
                          <pic:cNvPicPr/>
                        </pic:nvPicPr>
                        <pic:blipFill>
                          <a:blip r:embed="rId25"/>
                          <a:stretch>
                            <a:fillRect/>
                          </a:stretch>
                        </pic:blipFill>
                        <pic:spPr>
                          <a:xfrm>
                            <a:off x="0" y="0"/>
                            <a:ext cx="814070" cy="717550"/>
                          </a:xfrm>
                          <a:prstGeom prst="rect">
                            <a:avLst/>
                          </a:prstGeom>
                          <a:noFill/>
                          <a:ln>
                            <a:noFill/>
                          </a:ln>
                        </pic:spPr>
                      </pic:pic>
                    </a:graphicData>
                  </a:graphic>
                </wp:anchor>
              </w:drawing>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816×400×808 mm</w:t>
            </w:r>
          </w:p>
        </w:tc>
        <w:tc>
          <w:tcPr>
            <w:tcW w:w="34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材质说明: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1)表面选用防火板,"E0"环保刨花板,甲醛释放量优于国家标准</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2)优质PVC封边条</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szCs w:val="21"/>
              </w:rPr>
              <w:t>3</w:t>
            </w:r>
            <w:r>
              <w:rPr>
                <w:rFonts w:hint="eastAsia" w:ascii="宋体" w:hAnsi="宋体" w:eastAsia="宋体" w:cs="宋体"/>
                <w:color w:val="auto"/>
                <w:kern w:val="0"/>
                <w:szCs w:val="21"/>
                <w:lang w:bidi="ar"/>
              </w:rPr>
              <w:t>)塑胶件,PVC材质</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4)采用钢化玻璃,玻璃外露部分不应有裂纹和缺角</w:t>
            </w:r>
            <w:r>
              <w:rPr>
                <w:rFonts w:hint="eastAsia" w:ascii="宋体" w:hAnsi="宋体" w:eastAsia="宋体" w:cs="宋体"/>
                <w:color w:val="auto"/>
                <w:kern w:val="0"/>
                <w:szCs w:val="21"/>
                <w:lang w:eastAsia="zh-CN" w:bidi="ar"/>
              </w:rPr>
              <w:t>。</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S-10C克罗摩纳橡木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S-57暖白</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r>
    </w:tbl>
    <w:p>
      <w:pPr>
        <w:spacing w:line="360" w:lineRule="auto"/>
        <w:rPr>
          <w:rFonts w:hint="eastAsia" w:ascii="宋体" w:hAnsi="宋体" w:cs="宋体"/>
          <w:color w:val="auto"/>
          <w:szCs w:val="21"/>
        </w:rPr>
      </w:pPr>
      <w:r>
        <w:rPr>
          <w:rFonts w:hint="eastAsia" w:ascii="宋体" w:hAnsi="宋体" w:cs="宋体"/>
          <w:b/>
          <w:color w:val="auto"/>
          <w:szCs w:val="21"/>
          <w:lang w:val="en-US" w:eastAsia="zh-CN"/>
        </w:rPr>
        <w:t>三</w:t>
      </w:r>
      <w:r>
        <w:rPr>
          <w:rFonts w:hint="eastAsia" w:ascii="宋体" w:hAnsi="宋体" w:cs="宋体"/>
          <w:b/>
          <w:color w:val="auto"/>
          <w:szCs w:val="21"/>
        </w:rPr>
        <w:t>、质量和服务要求</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1、所供产品必须符合国家标准，设备和配件为全新原装，功能符合使用要求，保证为正规渠道供货的正宗原厂产品。须提供良好的售后服务，终身提供技术支持。</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2、工期要求</w:t>
      </w:r>
    </w:p>
    <w:p>
      <w:pPr>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rPr>
        <w:t>合同签订后30天内</w:t>
      </w:r>
      <w:r>
        <w:rPr>
          <w:rFonts w:hint="eastAsia" w:ascii="宋体" w:hAnsi="宋体" w:cs="宋体"/>
          <w:color w:val="auto"/>
          <w:kern w:val="0"/>
          <w:szCs w:val="21"/>
          <w:lang w:val="en-US" w:eastAsia="zh-CN"/>
        </w:rPr>
        <w:t>货物</w:t>
      </w:r>
      <w:r>
        <w:rPr>
          <w:rFonts w:hint="eastAsia" w:ascii="宋体" w:hAnsi="宋体" w:cs="宋体"/>
          <w:color w:val="auto"/>
          <w:kern w:val="0"/>
          <w:szCs w:val="21"/>
        </w:rPr>
        <w:t>运抵</w:t>
      </w:r>
      <w:r>
        <w:rPr>
          <w:rFonts w:hint="eastAsia" w:ascii="宋体" w:hAnsi="宋体" w:cs="宋体"/>
          <w:color w:val="auto"/>
          <w:kern w:val="0"/>
          <w:szCs w:val="21"/>
          <w:lang w:val="en-US" w:eastAsia="zh-CN"/>
        </w:rPr>
        <w:t>采购人</w:t>
      </w:r>
      <w:r>
        <w:rPr>
          <w:rFonts w:hint="eastAsia" w:ascii="宋体" w:hAnsi="宋体" w:cs="宋体"/>
          <w:color w:val="auto"/>
          <w:kern w:val="0"/>
          <w:szCs w:val="21"/>
        </w:rPr>
        <w:t>指定地点，在接到采购</w:t>
      </w:r>
      <w:r>
        <w:rPr>
          <w:rFonts w:hint="eastAsia" w:ascii="宋体" w:hAnsi="宋体" w:cs="宋体"/>
          <w:color w:val="auto"/>
          <w:kern w:val="0"/>
          <w:szCs w:val="21"/>
          <w:lang w:val="en-US" w:eastAsia="zh-CN"/>
        </w:rPr>
        <w:t>人</w:t>
      </w:r>
      <w:r>
        <w:rPr>
          <w:rFonts w:hint="eastAsia" w:ascii="宋体" w:hAnsi="宋体" w:cs="宋体"/>
          <w:color w:val="auto"/>
          <w:kern w:val="0"/>
          <w:szCs w:val="21"/>
        </w:rPr>
        <w:t>安装通知后，</w:t>
      </w:r>
      <w:r>
        <w:rPr>
          <w:rFonts w:hint="eastAsia" w:ascii="宋体" w:hAnsi="宋体" w:cs="宋体"/>
          <w:color w:val="auto"/>
          <w:kern w:val="0"/>
          <w:szCs w:val="21"/>
          <w:lang w:val="en-US" w:eastAsia="zh-CN"/>
        </w:rPr>
        <w:t>中标人</w:t>
      </w:r>
      <w:r>
        <w:rPr>
          <w:rFonts w:hint="eastAsia" w:ascii="宋体" w:hAnsi="宋体" w:cs="宋体"/>
          <w:color w:val="auto"/>
          <w:kern w:val="0"/>
          <w:szCs w:val="21"/>
        </w:rPr>
        <w:t>应在15天内完成设备的安装及调试。</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3、合同重点内容</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（一）付款方式：</w:t>
      </w:r>
    </w:p>
    <w:p>
      <w:pPr>
        <w:spacing w:line="276"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项目验收合格后无质量问题支付合同价的70%款项；审计合格后付至审计价的90%，余款待质保期过后一次性无息付清。</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（二）质保期及服务要求：</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（1）培训及售后</w:t>
      </w:r>
      <w:bookmarkStart w:id="253" w:name="_GoBack"/>
      <w:bookmarkEnd w:id="253"/>
      <w:r>
        <w:rPr>
          <w:rFonts w:hint="eastAsia" w:ascii="宋体" w:hAnsi="宋体" w:cs="宋体"/>
          <w:color w:val="auto"/>
          <w:szCs w:val="21"/>
        </w:rPr>
        <w:t>服务：现场完成安装、调试之后，由中标方工程师提供免费操作培训。培训内容主要包括设备原理、基本操作要领、设备简易故障排除和维护保养知识等。</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（2）须提供售后服务团队人员名单清单和联系方式。</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3）质保期：提供至少3年的免费质保期，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w:t>
      </w:r>
    </w:p>
    <w:p>
      <w:pPr>
        <w:spacing w:line="276" w:lineRule="auto"/>
        <w:ind w:firstLine="420" w:firstLineChars="200"/>
        <w:jc w:val="left"/>
        <w:rPr>
          <w:rFonts w:hint="eastAsia" w:ascii="宋体" w:hAnsi="宋体" w:cs="宋体"/>
          <w:color w:val="auto"/>
          <w:szCs w:val="21"/>
        </w:rPr>
      </w:pPr>
      <w:r>
        <w:rPr>
          <w:rFonts w:hint="eastAsia" w:ascii="宋体" w:hAnsi="宋体" w:cs="宋体"/>
          <w:color w:val="auto"/>
          <w:szCs w:val="21"/>
        </w:rPr>
        <w:t>质保期外，服务响应时间与质保期内一致，同时备品备件以合理优惠价格供应。</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（三）验收：</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1、验收方法及验收标准：</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2、货物到达交货地点交付前，由采购人和成交供应商共同组织相关人员检验货物的质量和使用情况等状况， 采购人应积极配合，合同履行达到验收条件时，成交供应商向采购人发出项目验收建议，采购人应当成立项目验收小组，负责项目验收具体工作，出具验收意见，并对验收意见负责，并共同在《项目验收单》上签字确认。</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3、对货物的质量问题，</w:t>
      </w:r>
      <w:r>
        <w:rPr>
          <w:rFonts w:hint="eastAsia" w:ascii="宋体" w:hAnsi="宋体" w:cs="宋体"/>
          <w:color w:val="auto"/>
          <w:szCs w:val="21"/>
          <w:lang w:val="en-US" w:eastAsia="zh-CN"/>
        </w:rPr>
        <w:t>采购人</w:t>
      </w:r>
      <w:r>
        <w:rPr>
          <w:rFonts w:hint="eastAsia" w:ascii="宋体" w:hAnsi="宋体" w:cs="宋体"/>
          <w:color w:val="auto"/>
          <w:szCs w:val="21"/>
        </w:rPr>
        <w:t>应在发现和应当发现之日起 30 个工作日内向</w:t>
      </w:r>
      <w:r>
        <w:rPr>
          <w:rFonts w:hint="eastAsia" w:ascii="宋体" w:hAnsi="宋体" w:cs="宋体"/>
          <w:color w:val="auto"/>
          <w:szCs w:val="21"/>
          <w:lang w:val="en-US" w:eastAsia="zh-CN"/>
        </w:rPr>
        <w:t>中标人</w:t>
      </w:r>
      <w:r>
        <w:rPr>
          <w:rFonts w:hint="eastAsia" w:ascii="宋体" w:hAnsi="宋体" w:cs="宋体"/>
          <w:color w:val="auto"/>
          <w:szCs w:val="21"/>
        </w:rPr>
        <w:t>主张权利。如果</w:t>
      </w:r>
      <w:r>
        <w:rPr>
          <w:rFonts w:hint="eastAsia" w:ascii="宋体" w:hAnsi="宋体" w:cs="宋体"/>
          <w:color w:val="auto"/>
          <w:szCs w:val="21"/>
          <w:lang w:val="en-US" w:eastAsia="zh-CN"/>
        </w:rPr>
        <w:t>中标人</w:t>
      </w:r>
      <w:r>
        <w:rPr>
          <w:rFonts w:hint="eastAsia" w:ascii="宋体" w:hAnsi="宋体" w:cs="宋体"/>
          <w:color w:val="auto"/>
          <w:szCs w:val="21"/>
        </w:rPr>
        <w:t>在投标文件中做出的书面说明及承诺中有明确质量保证期的，适用质量保证期。</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4、货物安装调试完毕后，采购人有权委托国家认可的第三方检测机构对安装区域甲醛含量进行检测，根据国家标准（GB/50325-2020 版）要求，</w:t>
      </w:r>
      <w:r>
        <w:rPr>
          <w:rFonts w:hint="eastAsia" w:ascii="宋体" w:hAnsi="宋体" w:cs="宋体"/>
          <w:color w:val="auto"/>
          <w:szCs w:val="21"/>
          <w:highlight w:val="none"/>
          <w:lang w:val="en-US" w:eastAsia="zh-CN"/>
        </w:rPr>
        <w:t>学生社区</w:t>
      </w:r>
      <w:r>
        <w:rPr>
          <w:rFonts w:hint="eastAsia" w:ascii="宋体" w:hAnsi="宋体" w:cs="宋体"/>
          <w:color w:val="auto"/>
          <w:szCs w:val="21"/>
        </w:rPr>
        <w:t>属于Ⅱ类民用建筑，采用的抽样方式为：采用集中通风的民用建筑工程，应在通风系统正常运行条件下进行；采用自然风的民用建筑工程，检测应在外门窗关闭 1 小时后进行。Ⅱ类民用建筑甲醛含量≤0.08 ㎎/m³为合格。检测费用由成交供应商支付。</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5、经双方共同验收，货物达不到质量或规格要求的，采购人可以拒收，并可以解除合同。成交供应商必须使用符合合同要求的材料，凡</w:t>
      </w:r>
      <w:r>
        <w:rPr>
          <w:rFonts w:hint="eastAsia" w:ascii="宋体" w:hAnsi="宋体" w:cs="宋体"/>
          <w:color w:val="auto"/>
          <w:szCs w:val="21"/>
          <w:lang w:val="en-US" w:eastAsia="zh-CN"/>
        </w:rPr>
        <w:t>中标人</w:t>
      </w:r>
      <w:r>
        <w:rPr>
          <w:rFonts w:hint="eastAsia" w:ascii="宋体" w:hAnsi="宋体" w:cs="宋体"/>
          <w:color w:val="auto"/>
          <w:szCs w:val="21"/>
        </w:rPr>
        <w:t>未明确材料具体规格型号、生产厂家的，一律由采购人届时指定。成交供应商自购材料质量必须符合国家质量标准并提供所用材料原始的有关质量合格证，采购人有权进行抽检。</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（四）</w:t>
      </w:r>
      <w:r>
        <w:rPr>
          <w:rFonts w:hint="eastAsia" w:ascii="宋体" w:hAnsi="宋体" w:cs="宋体"/>
          <w:color w:val="auto"/>
          <w:szCs w:val="21"/>
          <w:lang w:val="en-US" w:eastAsia="zh-CN"/>
        </w:rPr>
        <w:t>中标人</w:t>
      </w:r>
      <w:r>
        <w:rPr>
          <w:rFonts w:hint="eastAsia" w:ascii="宋体" w:hAnsi="宋体" w:cs="宋体"/>
          <w:color w:val="auto"/>
          <w:szCs w:val="21"/>
        </w:rPr>
        <w:t>责任</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1、中标人</w:t>
      </w:r>
      <w:r>
        <w:rPr>
          <w:rFonts w:hint="eastAsia" w:ascii="宋体" w:hAnsi="宋体" w:cs="宋体"/>
          <w:color w:val="auto"/>
          <w:szCs w:val="21"/>
        </w:rPr>
        <w:t>确保安装现场安全文明施工，安装现场施工期间因成交供应商责任造成的人身伤亡、机械事故及其它财产损失均由</w:t>
      </w:r>
      <w:r>
        <w:rPr>
          <w:rFonts w:hint="eastAsia" w:ascii="宋体" w:hAnsi="宋体" w:cs="宋体"/>
          <w:color w:val="auto"/>
          <w:szCs w:val="21"/>
          <w:lang w:val="en-US" w:eastAsia="zh-CN"/>
        </w:rPr>
        <w:t>中标人</w:t>
      </w:r>
      <w:r>
        <w:rPr>
          <w:rFonts w:hint="eastAsia" w:ascii="宋体" w:hAnsi="宋体" w:cs="宋体"/>
          <w:color w:val="auto"/>
          <w:szCs w:val="21"/>
        </w:rPr>
        <w:t>全部负责，采购人不承担任何责任和经济赔偿。</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2、中标人</w:t>
      </w:r>
      <w:r>
        <w:rPr>
          <w:rFonts w:hint="eastAsia" w:ascii="宋体" w:hAnsi="宋体" w:cs="宋体"/>
          <w:color w:val="auto"/>
          <w:szCs w:val="21"/>
        </w:rPr>
        <w:t>在安装施工中应做好环境保护工作，项目竣工后应做到活完料净、场地清，对污染环境的材料应按环保要求规范集中存放、清理。</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项目完工前</w:t>
      </w:r>
      <w:r>
        <w:rPr>
          <w:rFonts w:hint="eastAsia" w:ascii="宋体" w:hAnsi="宋体" w:cs="宋体"/>
          <w:color w:val="auto"/>
          <w:szCs w:val="21"/>
          <w:lang w:val="en-US" w:eastAsia="zh-CN"/>
        </w:rPr>
        <w:t>中标人</w:t>
      </w:r>
      <w:r>
        <w:rPr>
          <w:rFonts w:hint="eastAsia" w:ascii="宋体" w:hAnsi="宋体" w:cs="宋体"/>
          <w:color w:val="auto"/>
          <w:szCs w:val="21"/>
        </w:rPr>
        <w:t>须无条件恢复因其施工作业损毁、移动或破坏的原有房间各类设施及功能等，由此产生的费用由成交供应商负责并自行承担，皆与甲方无关。</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项目验收前认真做好已完项目的保护工作，以及项目质保期内的维修工作，所发生的费用由</w:t>
      </w:r>
      <w:r>
        <w:rPr>
          <w:rFonts w:hint="eastAsia" w:ascii="宋体" w:hAnsi="宋体" w:cs="宋体"/>
          <w:color w:val="auto"/>
          <w:szCs w:val="21"/>
          <w:lang w:val="en-US" w:eastAsia="zh-CN"/>
        </w:rPr>
        <w:t>中标人</w:t>
      </w:r>
      <w:r>
        <w:rPr>
          <w:rFonts w:hint="eastAsia" w:ascii="宋体" w:hAnsi="宋体" w:cs="宋体"/>
          <w:color w:val="auto"/>
          <w:szCs w:val="21"/>
        </w:rPr>
        <w:t>承担。</w:t>
      </w:r>
    </w:p>
    <w:p>
      <w:pPr>
        <w:spacing w:line="276" w:lineRule="auto"/>
        <w:ind w:firstLine="420" w:firstLineChars="200"/>
        <w:rPr>
          <w:rFonts w:hint="eastAsia" w:ascii="宋体" w:hAnsi="宋体" w:cs="宋体"/>
          <w:b/>
          <w:color w:val="auto"/>
          <w:szCs w:val="21"/>
        </w:rPr>
      </w:pPr>
      <w:r>
        <w:rPr>
          <w:rFonts w:hint="eastAsia" w:ascii="宋体" w:hAnsi="宋体" w:cs="宋体"/>
          <w:color w:val="auto"/>
          <w:szCs w:val="21"/>
        </w:rPr>
        <w:t>（五）如因</w:t>
      </w:r>
      <w:r>
        <w:rPr>
          <w:rFonts w:hint="eastAsia" w:ascii="宋体" w:hAnsi="宋体" w:cs="宋体"/>
          <w:color w:val="auto"/>
          <w:szCs w:val="21"/>
          <w:lang w:val="en-US" w:eastAsia="zh-CN"/>
        </w:rPr>
        <w:t>中标人</w:t>
      </w:r>
      <w:r>
        <w:rPr>
          <w:rFonts w:hint="eastAsia" w:ascii="宋体" w:hAnsi="宋体" w:cs="宋体"/>
          <w:color w:val="auto"/>
          <w:szCs w:val="21"/>
        </w:rPr>
        <w:t>原因导致项目延期</w:t>
      </w:r>
      <w:r>
        <w:rPr>
          <w:rFonts w:hint="eastAsia" w:ascii="宋体" w:hAnsi="宋体" w:cs="宋体"/>
          <w:color w:val="auto"/>
          <w:szCs w:val="21"/>
          <w:lang w:eastAsia="zh-CN"/>
        </w:rPr>
        <w:t>交付</w:t>
      </w:r>
      <w:r>
        <w:rPr>
          <w:rFonts w:hint="eastAsia" w:ascii="宋体" w:hAnsi="宋体" w:cs="宋体"/>
          <w:color w:val="auto"/>
          <w:szCs w:val="21"/>
        </w:rPr>
        <w:t>，每拖延一天，按项目总价的 5‰向甲方支付违约金。因采购人原因导致项目延期</w:t>
      </w:r>
      <w:r>
        <w:rPr>
          <w:rFonts w:hint="eastAsia" w:ascii="宋体" w:hAnsi="宋体" w:cs="宋体"/>
          <w:color w:val="auto"/>
          <w:szCs w:val="21"/>
          <w:lang w:eastAsia="zh-CN"/>
        </w:rPr>
        <w:t>交付</w:t>
      </w:r>
      <w:r>
        <w:rPr>
          <w:rFonts w:hint="eastAsia" w:ascii="宋体" w:hAnsi="宋体" w:cs="宋体"/>
          <w:color w:val="auto"/>
          <w:szCs w:val="21"/>
        </w:rPr>
        <w:t>，工期顺延。</w:t>
      </w:r>
    </w:p>
    <w:p>
      <w:pPr>
        <w:spacing w:line="360" w:lineRule="auto"/>
        <w:ind w:firstLine="211" w:firstLineChars="100"/>
        <w:rPr>
          <w:rFonts w:hint="eastAsia" w:ascii="宋体" w:hAnsi="宋体" w:cs="宋体"/>
          <w:b/>
          <w:color w:val="auto"/>
          <w:szCs w:val="21"/>
        </w:rPr>
      </w:pPr>
      <w:r>
        <w:rPr>
          <w:rFonts w:hint="eastAsia" w:ascii="宋体" w:hAnsi="宋体" w:cs="宋体"/>
          <w:b/>
          <w:color w:val="auto"/>
          <w:szCs w:val="21"/>
          <w:lang w:val="en-US" w:eastAsia="zh-CN"/>
        </w:rPr>
        <w:t>四</w:t>
      </w:r>
      <w:r>
        <w:rPr>
          <w:rFonts w:hint="eastAsia" w:ascii="宋体" w:hAnsi="宋体" w:cs="宋体"/>
          <w:b/>
          <w:color w:val="auto"/>
          <w:szCs w:val="21"/>
        </w:rPr>
        <w:t>、投标样品：</w:t>
      </w:r>
    </w:p>
    <w:p>
      <w:pPr>
        <w:spacing w:line="360" w:lineRule="auto"/>
        <w:ind w:firstLine="211" w:firstLineChars="100"/>
        <w:rPr>
          <w:rFonts w:hint="eastAsia" w:ascii="宋体" w:hAnsi="宋体" w:cs="宋体"/>
          <w:b/>
          <w:color w:val="auto"/>
          <w:szCs w:val="21"/>
        </w:rPr>
      </w:pPr>
      <w:r>
        <w:rPr>
          <w:rFonts w:hint="eastAsia" w:ascii="宋体" w:hAnsi="宋体" w:cs="宋体"/>
          <w:b/>
          <w:color w:val="auto"/>
          <w:szCs w:val="21"/>
        </w:rPr>
        <w:t>1、提供会议椅的样品</w:t>
      </w:r>
    </w:p>
    <w:tbl>
      <w:tblPr>
        <w:tblStyle w:val="30"/>
        <w:tblW w:w="9078" w:type="dxa"/>
        <w:jc w:val="center"/>
        <w:tblLayout w:type="fixed"/>
        <w:tblCellMar>
          <w:top w:w="0" w:type="dxa"/>
          <w:left w:w="108" w:type="dxa"/>
          <w:bottom w:w="0" w:type="dxa"/>
          <w:right w:w="108" w:type="dxa"/>
        </w:tblCellMar>
      </w:tblPr>
      <w:tblGrid>
        <w:gridCol w:w="978"/>
        <w:gridCol w:w="2222"/>
        <w:gridCol w:w="1425"/>
        <w:gridCol w:w="4453"/>
      </w:tblGrid>
      <w:tr>
        <w:tblPrEx>
          <w:tblCellMar>
            <w:top w:w="0" w:type="dxa"/>
            <w:left w:w="108" w:type="dxa"/>
            <w:bottom w:w="0" w:type="dxa"/>
            <w:right w:w="108" w:type="dxa"/>
          </w:tblCellMar>
        </w:tblPrEx>
        <w:trPr>
          <w:trHeight w:val="534"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沙发椅</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r>
              <w:rPr>
                <w:rFonts w:hint="eastAsia" w:ascii="宋体" w:hAnsi="宋体" w:eastAsia="宋体" w:cs="宋体"/>
                <w:color w:val="auto"/>
                <w:kern w:val="0"/>
                <w:szCs w:val="21"/>
                <w:bdr w:val="single" w:color="000000" w:sz="4" w:space="0"/>
              </w:rPr>
              <w:drawing>
                <wp:anchor distT="0" distB="0" distL="114300" distR="114300" simplePos="0" relativeHeight="251719680" behindDoc="0" locked="0" layoutInCell="1" allowOverlap="1">
                  <wp:simplePos x="0" y="0"/>
                  <wp:positionH relativeFrom="column">
                    <wp:posOffset>336550</wp:posOffset>
                  </wp:positionH>
                  <wp:positionV relativeFrom="paragraph">
                    <wp:posOffset>200025</wp:posOffset>
                  </wp:positionV>
                  <wp:extent cx="876935" cy="959485"/>
                  <wp:effectExtent l="0" t="0" r="18415" b="12065"/>
                  <wp:wrapNone/>
                  <wp:docPr id="30" name="图片_67"/>
                  <wp:cNvGraphicFramePr/>
                  <a:graphic xmlns:a="http://schemas.openxmlformats.org/drawingml/2006/main">
                    <a:graphicData uri="http://schemas.openxmlformats.org/drawingml/2006/picture">
                      <pic:pic xmlns:pic="http://schemas.openxmlformats.org/drawingml/2006/picture">
                        <pic:nvPicPr>
                          <pic:cNvPr id="30" name="图片_67"/>
                          <pic:cNvPicPr/>
                        </pic:nvPicPr>
                        <pic:blipFill>
                          <a:blip r:embed="rId27"/>
                          <a:srcRect l="9273" r="9415"/>
                          <a:stretch>
                            <a:fillRect/>
                          </a:stretch>
                        </pic:blipFill>
                        <pic:spPr>
                          <a:xfrm>
                            <a:off x="0" y="0"/>
                            <a:ext cx="876935" cy="959485"/>
                          </a:xfrm>
                          <a:prstGeom prst="rect">
                            <a:avLst/>
                          </a:prstGeom>
                          <a:noFill/>
                          <a:ln>
                            <a:noFill/>
                          </a:ln>
                        </pic:spPr>
                      </pic:pic>
                    </a:graphicData>
                  </a:graphic>
                </wp:anchor>
              </w:drawing>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eastAsia="宋体" w:cs="宋体"/>
                <w:color w:val="auto"/>
                <w:kern w:val="0"/>
                <w:szCs w:val="21"/>
                <w:lang w:bidi="ar"/>
              </w:rPr>
              <w:t>540×520×825 mm</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材质说明: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1)优质网布面料,不含致癌芳香胺染料</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2)尼龙+30%玻纤背框</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szCs w:val="21"/>
              </w:rPr>
              <w:t>3)</w:t>
            </w:r>
            <w:r>
              <w:rPr>
                <w:rFonts w:hint="eastAsia" w:ascii="宋体" w:hAnsi="宋体" w:eastAsia="宋体" w:cs="宋体"/>
                <w:color w:val="auto"/>
                <w:kern w:val="0"/>
                <w:szCs w:val="21"/>
                <w:lang w:bidi="ar"/>
              </w:rPr>
              <w:t>优质裁切泡绵,美标防火,座感舒适</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4)E1级成型胶合板,甲醛释放量优于国家标准</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5)钢制椅架,表面喷涂</w:t>
            </w:r>
            <w:r>
              <w:rPr>
                <w:rFonts w:hint="eastAsia" w:ascii="宋体" w:hAnsi="宋体" w:eastAsia="宋体" w:cs="宋体"/>
                <w:color w:val="auto"/>
                <w:kern w:val="0"/>
                <w:szCs w:val="21"/>
                <w:lang w:eastAsia="zh-CN" w:bidi="ar"/>
              </w:rPr>
              <w:t>；</w:t>
            </w:r>
          </w:p>
          <w:p>
            <w:pPr>
              <w:widowControl/>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6)PU静音椅轮,转动轻快灵活</w:t>
            </w:r>
            <w:r>
              <w:rPr>
                <w:rFonts w:hint="eastAsia" w:ascii="宋体" w:hAnsi="宋体" w:eastAsia="宋体" w:cs="宋体"/>
                <w:color w:val="auto"/>
                <w:kern w:val="0"/>
                <w:szCs w:val="21"/>
                <w:lang w:eastAsia="zh-CN" w:bidi="ar"/>
              </w:rPr>
              <w:t>。</w:t>
            </w:r>
          </w:p>
        </w:tc>
      </w:tr>
    </w:tbl>
    <w:p>
      <w:pPr>
        <w:spacing w:line="400" w:lineRule="exact"/>
        <w:ind w:firstLine="422" w:firstLineChars="200"/>
        <w:rPr>
          <w:rFonts w:ascii="宋体" w:hAnsi="宋体" w:cs="宋体"/>
          <w:b/>
          <w:bCs/>
          <w:color w:val="auto"/>
          <w:kern w:val="0"/>
          <w:szCs w:val="21"/>
        </w:rPr>
      </w:pPr>
      <w:r>
        <w:rPr>
          <w:rFonts w:hint="eastAsia" w:ascii="宋体" w:hAnsi="宋体" w:cs="宋体"/>
          <w:b/>
          <w:bCs/>
          <w:color w:val="auto"/>
          <w:kern w:val="0"/>
          <w:szCs w:val="21"/>
        </w:rPr>
        <w:t xml:space="preserve"> 2、样品要求</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（1）产品整体观感：外观优美、尺寸精确、整体平滑、设计合理。</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（2）产品稳固性：支撑零件的组合部件配合严密、平整、端正牢固、承重强。</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（3）五金配件质量：五金件与零部件相符、品质优良、安装连接紧密。</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（4）制作组装工艺：平整度高、无脱胶和鼓泡、封边、连接或焊接无瑕疵</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样品的参数、材质、工艺等须符合采购文件的要求，详见采购清单。样品所有费用由供应商自行承担，成交供应商的样品将做封样处理，作为验收依据。</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kern w:val="0"/>
          <w:szCs w:val="21"/>
          <w:lang w:eastAsia="zh-CN"/>
        </w:rPr>
        <w:t>投标人</w:t>
      </w:r>
      <w:r>
        <w:rPr>
          <w:rFonts w:hint="eastAsia" w:ascii="宋体" w:hAnsi="宋体" w:cs="宋体"/>
          <w:color w:val="auto"/>
          <w:kern w:val="0"/>
          <w:szCs w:val="21"/>
        </w:rPr>
        <w:t>须在提交样品时一并提交样品清单一份（内容包括</w:t>
      </w:r>
      <w:r>
        <w:rPr>
          <w:rFonts w:hint="eastAsia" w:ascii="宋体" w:hAnsi="宋体" w:cs="宋体"/>
          <w:color w:val="auto"/>
          <w:kern w:val="0"/>
          <w:szCs w:val="21"/>
          <w:lang w:eastAsia="zh-CN"/>
        </w:rPr>
        <w:t>投标人</w:t>
      </w:r>
      <w:r>
        <w:rPr>
          <w:rFonts w:hint="eastAsia" w:ascii="宋体" w:hAnsi="宋体" w:cs="宋体"/>
          <w:color w:val="auto"/>
          <w:kern w:val="0"/>
          <w:szCs w:val="21"/>
        </w:rPr>
        <w:t>名称、项目名称、项目编号、样品名称及数量），并在样品上注明</w:t>
      </w:r>
      <w:r>
        <w:rPr>
          <w:rFonts w:hint="eastAsia" w:ascii="宋体" w:hAnsi="宋体" w:cs="宋体"/>
          <w:color w:val="auto"/>
          <w:kern w:val="0"/>
          <w:szCs w:val="21"/>
          <w:lang w:eastAsia="zh-CN"/>
        </w:rPr>
        <w:t>投标人</w:t>
      </w:r>
      <w:r>
        <w:rPr>
          <w:rFonts w:hint="eastAsia" w:ascii="宋体" w:hAnsi="宋体" w:cs="宋体"/>
          <w:color w:val="auto"/>
          <w:kern w:val="0"/>
          <w:szCs w:val="21"/>
        </w:rPr>
        <w:t>名称及项目编号。</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（6）样品评分将采取</w:t>
      </w:r>
      <w:r>
        <w:rPr>
          <w:rFonts w:hint="eastAsia" w:ascii="宋体" w:hAnsi="宋体" w:cs="宋体"/>
          <w:b/>
          <w:bCs/>
          <w:color w:val="auto"/>
          <w:kern w:val="0"/>
          <w:szCs w:val="21"/>
        </w:rPr>
        <w:t>“暗标”</w:t>
      </w:r>
      <w:r>
        <w:rPr>
          <w:rFonts w:hint="eastAsia" w:ascii="宋体" w:hAnsi="宋体" w:cs="宋体"/>
          <w:color w:val="auto"/>
          <w:kern w:val="0"/>
          <w:szCs w:val="21"/>
        </w:rPr>
        <w:t>方式，</w:t>
      </w:r>
      <w:r>
        <w:rPr>
          <w:rFonts w:hint="eastAsia" w:ascii="宋体" w:hAnsi="宋体" w:cs="宋体"/>
          <w:color w:val="auto"/>
          <w:kern w:val="0"/>
          <w:szCs w:val="21"/>
          <w:lang w:eastAsia="zh-CN"/>
        </w:rPr>
        <w:t>投标人</w:t>
      </w:r>
      <w:r>
        <w:rPr>
          <w:rFonts w:hint="eastAsia" w:ascii="宋体" w:hAnsi="宋体" w:cs="宋体"/>
          <w:color w:val="auto"/>
          <w:kern w:val="0"/>
          <w:szCs w:val="21"/>
        </w:rPr>
        <w:t>应对提供样品的明显标识、铭牌、标签等进行遮挡（如出现明显标识、铭牌、标签等，样品分将按 0 分处理），</w:t>
      </w:r>
      <w:r>
        <w:rPr>
          <w:rFonts w:hint="eastAsia" w:ascii="宋体" w:hAnsi="宋体" w:cs="宋体"/>
          <w:color w:val="auto"/>
          <w:kern w:val="0"/>
          <w:szCs w:val="21"/>
          <w:lang w:eastAsia="zh-CN"/>
        </w:rPr>
        <w:t>投标人</w:t>
      </w:r>
      <w:r>
        <w:rPr>
          <w:rFonts w:hint="eastAsia" w:ascii="宋体" w:hAnsi="宋体" w:cs="宋体"/>
          <w:color w:val="auto"/>
          <w:kern w:val="0"/>
          <w:szCs w:val="21"/>
        </w:rPr>
        <w:t>应同时提交加盖</w:t>
      </w:r>
      <w:r>
        <w:rPr>
          <w:rFonts w:hint="eastAsia" w:ascii="宋体" w:hAnsi="宋体" w:cs="宋体"/>
          <w:color w:val="auto"/>
          <w:kern w:val="0"/>
          <w:szCs w:val="21"/>
          <w:lang w:eastAsia="zh-CN"/>
        </w:rPr>
        <w:t>投标人</w:t>
      </w:r>
      <w:r>
        <w:rPr>
          <w:rFonts w:hint="eastAsia" w:ascii="宋体" w:hAnsi="宋体" w:cs="宋体"/>
          <w:color w:val="auto"/>
          <w:kern w:val="0"/>
          <w:szCs w:val="21"/>
        </w:rPr>
        <w:t>公章的纸张密封在小信封中并将小信封粘贴在样品上，</w:t>
      </w:r>
      <w:r>
        <w:rPr>
          <w:rFonts w:hint="eastAsia" w:ascii="宋体" w:hAnsi="宋体" w:cs="宋体"/>
          <w:color w:val="auto"/>
          <w:kern w:val="0"/>
          <w:szCs w:val="21"/>
          <w:lang w:eastAsia="zh-CN"/>
        </w:rPr>
        <w:t>投标人</w:t>
      </w:r>
      <w:r>
        <w:rPr>
          <w:rFonts w:hint="eastAsia" w:ascii="宋体" w:hAnsi="宋体" w:cs="宋体"/>
          <w:color w:val="auto"/>
          <w:kern w:val="0"/>
          <w:szCs w:val="21"/>
        </w:rPr>
        <w:t>递交的样品上及小信封外不得显示</w:t>
      </w:r>
      <w:r>
        <w:rPr>
          <w:rFonts w:hint="eastAsia" w:ascii="宋体" w:hAnsi="宋体" w:cs="宋体"/>
          <w:color w:val="auto"/>
          <w:kern w:val="0"/>
          <w:szCs w:val="21"/>
          <w:lang w:eastAsia="zh-CN"/>
        </w:rPr>
        <w:t>投标人</w:t>
      </w:r>
      <w:r>
        <w:rPr>
          <w:rFonts w:hint="eastAsia" w:ascii="宋体" w:hAnsi="宋体" w:cs="宋体"/>
          <w:color w:val="auto"/>
          <w:kern w:val="0"/>
          <w:szCs w:val="21"/>
        </w:rPr>
        <w:t>名称及其他明显能识别投标人的标识，招标代理机构在样品评审前统一编号，评标委员会依据样品评审标准进行盲评。</w:t>
      </w:r>
    </w:p>
    <w:p>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（7）</w:t>
      </w:r>
      <w:r>
        <w:rPr>
          <w:rFonts w:hint="eastAsia" w:ascii="宋体" w:hAnsi="宋体" w:cs="宋体"/>
          <w:color w:val="auto"/>
          <w:kern w:val="0"/>
          <w:szCs w:val="21"/>
          <w:lang w:eastAsia="zh-CN"/>
        </w:rPr>
        <w:t>投标人</w:t>
      </w:r>
      <w:r>
        <w:rPr>
          <w:rFonts w:hint="eastAsia" w:ascii="宋体" w:hAnsi="宋体" w:cs="宋体"/>
          <w:color w:val="auto"/>
          <w:kern w:val="0"/>
          <w:szCs w:val="21"/>
        </w:rPr>
        <w:t>递交样品时应服从现场工作人员要求，按要求递交样品并签到，不得翻看他人样品及进行拍照，</w:t>
      </w:r>
      <w:r>
        <w:rPr>
          <w:rFonts w:hint="eastAsia" w:ascii="宋体" w:hAnsi="宋体" w:cs="宋体"/>
          <w:color w:val="auto"/>
          <w:kern w:val="0"/>
          <w:szCs w:val="21"/>
          <w:lang w:eastAsia="zh-CN"/>
        </w:rPr>
        <w:t>投标人</w:t>
      </w:r>
      <w:r>
        <w:rPr>
          <w:rFonts w:hint="eastAsia" w:ascii="宋体" w:hAnsi="宋体" w:cs="宋体"/>
          <w:color w:val="auto"/>
          <w:kern w:val="0"/>
          <w:szCs w:val="21"/>
        </w:rPr>
        <w:t>如出现违法违规行为的，视为未提交样品并按照相应法律追究责任。未按要求提交小信封、样品显示</w:t>
      </w:r>
      <w:r>
        <w:rPr>
          <w:rFonts w:hint="eastAsia" w:ascii="宋体" w:hAnsi="宋体" w:cs="宋体"/>
          <w:color w:val="auto"/>
          <w:kern w:val="0"/>
          <w:szCs w:val="21"/>
          <w:lang w:eastAsia="zh-CN"/>
        </w:rPr>
        <w:t>投标人</w:t>
      </w:r>
      <w:r>
        <w:rPr>
          <w:rFonts w:hint="eastAsia" w:ascii="宋体" w:hAnsi="宋体" w:cs="宋体"/>
          <w:color w:val="auto"/>
          <w:kern w:val="0"/>
          <w:szCs w:val="21"/>
        </w:rPr>
        <w:t>名称及有其他明显能识别</w:t>
      </w:r>
      <w:r>
        <w:rPr>
          <w:rFonts w:hint="eastAsia" w:ascii="宋体" w:hAnsi="宋体" w:cs="宋体"/>
          <w:color w:val="auto"/>
          <w:kern w:val="0"/>
          <w:szCs w:val="21"/>
          <w:lang w:eastAsia="zh-CN"/>
        </w:rPr>
        <w:t>投标人</w:t>
      </w:r>
      <w:r>
        <w:rPr>
          <w:rFonts w:hint="eastAsia" w:ascii="宋体" w:hAnsi="宋体" w:cs="宋体"/>
          <w:color w:val="auto"/>
          <w:kern w:val="0"/>
          <w:szCs w:val="21"/>
        </w:rPr>
        <w:t>的标识的，一律视为未提交样品。</w:t>
      </w:r>
    </w:p>
    <w:p>
      <w:pPr>
        <w:spacing w:line="360" w:lineRule="auto"/>
        <w:rPr>
          <w:rFonts w:hint="eastAsia" w:ascii="宋体" w:hAnsi="宋体" w:cs="宋体"/>
          <w:b/>
          <w:color w:val="0000FF"/>
          <w:szCs w:val="21"/>
        </w:rPr>
      </w:pPr>
    </w:p>
    <w:p>
      <w:pPr>
        <w:pStyle w:val="49"/>
        <w:numPr>
          <w:ilvl w:val="0"/>
          <w:numId w:val="0"/>
        </w:numPr>
        <w:rPr>
          <w:rFonts w:hint="default"/>
          <w:color w:val="0000FF"/>
          <w:lang w:val="en-US" w:eastAsia="zh-CN"/>
        </w:rPr>
      </w:pPr>
    </w:p>
    <w:p/>
    <w:p>
      <w:pPr>
        <w:spacing w:line="276" w:lineRule="auto"/>
        <w:jc w:val="center"/>
        <w:rPr>
          <w:rFonts w:ascii="宋体" w:hAnsi="宋体" w:cs="宋体"/>
          <w:b/>
          <w:color w:val="000000" w:themeColor="text1"/>
          <w:szCs w:val="21"/>
          <w14:textFill>
            <w14:solidFill>
              <w14:schemeClr w14:val="tx1"/>
            </w14:solidFill>
          </w14:textFill>
        </w:rPr>
      </w:pPr>
      <w:bookmarkStart w:id="163" w:name="_Toc115881326"/>
    </w:p>
    <w:p>
      <w:pPr>
        <w:spacing w:line="276" w:lineRule="auto"/>
        <w:rPr>
          <w:rFonts w:ascii="宋体" w:hAnsi="宋体" w:cs="宋体"/>
          <w:b/>
          <w:color w:val="000000" w:themeColor="text1"/>
          <w:szCs w:val="21"/>
          <w14:textFill>
            <w14:solidFill>
              <w14:schemeClr w14:val="tx1"/>
            </w14:solidFill>
          </w14:textFill>
        </w:rPr>
      </w:pPr>
    </w:p>
    <w:bookmarkEnd w:id="160"/>
    <w:bookmarkEnd w:id="161"/>
    <w:bookmarkEnd w:id="163"/>
    <w:p>
      <w:pPr>
        <w:rPr>
          <w:rFonts w:hint="eastAsia" w:ascii="宋体" w:hAnsi="宋体" w:cs="宋体"/>
          <w:b/>
          <w:color w:val="000000" w:themeColor="text1"/>
          <w:sz w:val="24"/>
          <w14:textFill>
            <w14:solidFill>
              <w14:schemeClr w14:val="tx1"/>
            </w14:solidFill>
          </w14:textFill>
        </w:rPr>
      </w:pPr>
      <w:bookmarkStart w:id="164" w:name="_Toc115881327"/>
      <w:bookmarkStart w:id="165" w:name="_Toc108881186"/>
      <w:r>
        <w:rPr>
          <w:rFonts w:hint="eastAsia" w:ascii="宋体" w:hAnsi="宋体" w:cs="宋体"/>
          <w:b/>
          <w:color w:val="000000" w:themeColor="text1"/>
          <w:sz w:val="24"/>
          <w14:textFill>
            <w14:solidFill>
              <w14:schemeClr w14:val="tx1"/>
            </w14:solidFill>
          </w14:textFill>
        </w:rPr>
        <w:br w:type="page"/>
      </w:r>
    </w:p>
    <w:p>
      <w:pPr>
        <w:pStyle w:val="4"/>
        <w:spacing w:line="240" w:lineRule="auto"/>
        <w:rPr>
          <w:rFonts w:hint="eastAsia" w:ascii="宋体" w:hAnsi="宋体" w:eastAsia="宋体" w:cs="宋体"/>
          <w:color w:val="000000"/>
          <w:sz w:val="21"/>
          <w:szCs w:val="21"/>
        </w:rPr>
      </w:pPr>
      <w:bookmarkStart w:id="166" w:name="_Toc139463995"/>
      <w:bookmarkStart w:id="167" w:name="_Toc2704"/>
      <w:r>
        <w:rPr>
          <w:rFonts w:hint="eastAsia" w:ascii="宋体" w:hAnsi="宋体" w:eastAsia="宋体" w:cs="宋体"/>
          <w:color w:val="000000"/>
          <w:sz w:val="21"/>
          <w:szCs w:val="21"/>
        </w:rPr>
        <w:t>第二项 政府采购合同（拟签订的合同文本）</w:t>
      </w:r>
      <w:bookmarkEnd w:id="166"/>
      <w:bookmarkEnd w:id="167"/>
    </w:p>
    <w:p>
      <w:pPr>
        <w:jc w:val="center"/>
        <w:rPr>
          <w:rFonts w:hint="eastAsia" w:ascii="宋体" w:hAnsi="宋体" w:cs="宋体"/>
          <w:szCs w:val="21"/>
        </w:rPr>
      </w:pPr>
      <w:r>
        <w:rPr>
          <w:rFonts w:hint="eastAsia" w:ascii="宋体" w:hAnsi="宋体" w:cs="宋体"/>
          <w:szCs w:val="21"/>
        </w:rPr>
        <w:t>货物采购合同</w:t>
      </w:r>
    </w:p>
    <w:p>
      <w:pPr>
        <w:jc w:val="center"/>
        <w:rPr>
          <w:rFonts w:hint="eastAsia" w:ascii="宋体" w:hAnsi="宋体" w:cs="宋体"/>
          <w:szCs w:val="21"/>
        </w:rPr>
      </w:pPr>
      <w:r>
        <w:rPr>
          <w:rFonts w:hint="eastAsia" w:ascii="宋体" w:hAnsi="宋体" w:cs="宋体"/>
          <w:szCs w:val="21"/>
        </w:rPr>
        <w:t xml:space="preserve">                                                                  </w:t>
      </w:r>
    </w:p>
    <w:p>
      <w:pPr>
        <w:ind w:firstLine="6204" w:firstLineChars="2943"/>
        <w:jc w:val="left"/>
        <w:rPr>
          <w:rFonts w:hint="eastAsia" w:ascii="宋体" w:hAnsi="宋体" w:cs="宋体"/>
          <w:szCs w:val="21"/>
        </w:rPr>
      </w:pPr>
      <w:r>
        <w:rPr>
          <w:rFonts w:hint="eastAsia" w:ascii="宋体" w:hAnsi="宋体" w:cs="宋体"/>
          <w:b/>
          <w:szCs w:val="21"/>
        </w:rPr>
        <w:t>合同编号：</w:t>
      </w:r>
      <w:r>
        <w:rPr>
          <w:rFonts w:hint="eastAsia" w:ascii="宋体" w:hAnsi="宋体" w:cs="宋体"/>
          <w:szCs w:val="21"/>
        </w:rPr>
        <w:t>（采购编号）</w:t>
      </w:r>
    </w:p>
    <w:p>
      <w:pPr>
        <w:spacing w:line="400" w:lineRule="exact"/>
        <w:ind w:firstLine="6204" w:firstLineChars="2943"/>
        <w:rPr>
          <w:rFonts w:hint="eastAsia" w:ascii="宋体" w:hAnsi="宋体" w:cs="宋体"/>
          <w:szCs w:val="21"/>
        </w:rPr>
      </w:pPr>
      <w:r>
        <w:rPr>
          <w:rFonts w:hint="eastAsia" w:ascii="宋体" w:hAnsi="宋体" w:cs="宋体"/>
          <w:b/>
          <w:szCs w:val="21"/>
        </w:rPr>
        <w:t>签署地点：</w:t>
      </w:r>
      <w:r>
        <w:rPr>
          <w:rFonts w:hint="eastAsia" w:ascii="宋体" w:hAnsi="宋体" w:cs="宋体"/>
          <w:szCs w:val="21"/>
        </w:rPr>
        <w:t>江苏医药职业学院</w:t>
      </w:r>
    </w:p>
    <w:p>
      <w:pPr>
        <w:spacing w:line="400"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甲方(需方):</w:t>
      </w:r>
      <w:r>
        <w:rPr>
          <w:rFonts w:hint="eastAsia" w:ascii="宋体" w:hAnsi="宋体" w:cs="宋体"/>
          <w:szCs w:val="21"/>
          <w:u w:val="single"/>
        </w:rPr>
        <w:t xml:space="preserve"> 江苏医药职业学院 </w:t>
      </w:r>
    </w:p>
    <w:p>
      <w:pPr>
        <w:spacing w:line="400" w:lineRule="exact"/>
        <w:rPr>
          <w:rFonts w:hint="eastAsia" w:ascii="宋体" w:hAnsi="宋体" w:cs="宋体"/>
          <w:szCs w:val="21"/>
        </w:rPr>
      </w:pPr>
      <w:r>
        <w:rPr>
          <w:rFonts w:hint="eastAsia" w:ascii="宋体" w:hAnsi="宋体" w:cs="宋体"/>
          <w:szCs w:val="21"/>
        </w:rPr>
        <w:t>乙方(供方):</w:t>
      </w:r>
      <w:r>
        <w:rPr>
          <w:rFonts w:hint="eastAsia" w:ascii="宋体" w:hAnsi="宋体" w:cs="宋体"/>
          <w:szCs w:val="21"/>
          <w:u w:val="single"/>
        </w:rPr>
        <w:t xml:space="preserve">                 </w:t>
      </w:r>
      <w:r>
        <w:rPr>
          <w:rFonts w:hint="eastAsia" w:ascii="宋体" w:hAnsi="宋体" w:cs="宋体"/>
          <w:szCs w:val="21"/>
        </w:rPr>
        <w:t xml:space="preserve"> </w:t>
      </w:r>
    </w:p>
    <w:p>
      <w:pPr>
        <w:spacing w:before="312" w:beforeLines="100" w:line="276" w:lineRule="auto"/>
        <w:ind w:firstLine="420" w:firstLineChars="200"/>
        <w:jc w:val="left"/>
        <w:rPr>
          <w:rFonts w:hint="eastAsia" w:ascii="宋体" w:hAnsi="宋体" w:cs="宋体"/>
          <w:szCs w:val="21"/>
        </w:rPr>
      </w:pPr>
      <w:r>
        <w:rPr>
          <w:rFonts w:hint="eastAsia" w:ascii="宋体" w:hAnsi="宋体" w:cs="宋体"/>
          <w:szCs w:val="21"/>
        </w:rPr>
        <w:t>为了维护甲、乙双方合法权益，根据《中华人民共和国民法典》和江苏医药职业学院项目名称的采购文件、响应文件及其在采购过程中的承诺，经双方协商，同意签定本合同，共同遵守。</w:t>
      </w:r>
    </w:p>
    <w:p>
      <w:pPr>
        <w:rPr>
          <w:rFonts w:hint="eastAsia" w:ascii="宋体" w:hAnsi="宋体" w:cs="宋体"/>
          <w:b/>
          <w:bCs/>
          <w:szCs w:val="21"/>
        </w:rPr>
      </w:pPr>
      <w:r>
        <w:rPr>
          <w:rFonts w:hint="eastAsia" w:ascii="宋体" w:hAnsi="宋体" w:cs="宋体"/>
          <w:b/>
          <w:bCs/>
          <w:szCs w:val="21"/>
        </w:rPr>
        <w:t>一、合同文件</w:t>
      </w:r>
    </w:p>
    <w:p>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lang w:val="zh-CN"/>
        </w:rPr>
        <w:t>本合同所附下列文件资料为本合同不可分割的部分：</w:t>
      </w:r>
    </w:p>
    <w:p>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1、政府采购招标文件（包括澄清、修改）；</w:t>
      </w:r>
    </w:p>
    <w:p>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2、乙方投标文件；</w:t>
      </w:r>
    </w:p>
    <w:p>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3、中标（成交）通知书；</w:t>
      </w:r>
    </w:p>
    <w:p>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4、中标人在评标过程中做出的有关澄清、说明、承诺或者补正文件；</w:t>
      </w:r>
    </w:p>
    <w:p>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5、政府采购委托协议书。</w:t>
      </w:r>
    </w:p>
    <w:p>
      <w:pPr>
        <w:rPr>
          <w:rFonts w:hint="eastAsia" w:ascii="宋体" w:hAnsi="宋体" w:cs="宋体"/>
          <w:b/>
          <w:bCs/>
          <w:szCs w:val="21"/>
        </w:rPr>
      </w:pPr>
      <w:r>
        <w:rPr>
          <w:rFonts w:hint="eastAsia" w:ascii="宋体" w:hAnsi="宋体" w:cs="宋体"/>
          <w:b/>
          <w:bCs/>
          <w:szCs w:val="21"/>
        </w:rPr>
        <w:t>二、合同范围和条件</w:t>
      </w:r>
    </w:p>
    <w:p>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本合同的范围和条件应与上述合同文件的规定相一致。</w:t>
      </w:r>
    </w:p>
    <w:p>
      <w:pPr>
        <w:pStyle w:val="29"/>
        <w:spacing w:line="276" w:lineRule="auto"/>
        <w:ind w:firstLine="422"/>
        <w:rPr>
          <w:rFonts w:hint="eastAsia" w:eastAsia="宋体" w:cs="宋体"/>
          <w:color w:val="FF0000"/>
          <w:sz w:val="21"/>
          <w:szCs w:val="21"/>
        </w:rPr>
      </w:pPr>
      <w:r>
        <w:rPr>
          <w:rFonts w:hint="eastAsia" w:eastAsia="宋体" w:cs="宋体"/>
          <w:b/>
          <w:bCs/>
          <w:sz w:val="21"/>
          <w:szCs w:val="21"/>
        </w:rPr>
        <w:t>三、采购内容、价格及采购清单</w:t>
      </w:r>
    </w:p>
    <w:tbl>
      <w:tblPr>
        <w:tblStyle w:val="30"/>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9"/>
        <w:gridCol w:w="670"/>
        <w:gridCol w:w="709"/>
        <w:gridCol w:w="850"/>
        <w:gridCol w:w="1719"/>
        <w:gridCol w:w="850"/>
        <w:gridCol w:w="709"/>
        <w:gridCol w:w="709"/>
        <w:gridCol w:w="709"/>
        <w:gridCol w:w="709"/>
        <w:gridCol w:w="85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2268" w:type="dxa"/>
            <w:gridSpan w:val="4"/>
            <w:noWrap w:val="0"/>
            <w:vAlign w:val="center"/>
          </w:tcPr>
          <w:p>
            <w:pPr>
              <w:jc w:val="center"/>
              <w:rPr>
                <w:rFonts w:hint="eastAsia" w:cs="宋体"/>
                <w:b/>
                <w:szCs w:val="21"/>
              </w:rPr>
            </w:pPr>
            <w:r>
              <w:rPr>
                <w:rFonts w:hint="eastAsia" w:ascii="宋体" w:hAnsi="宋体" w:cs="宋体"/>
                <w:b/>
                <w:szCs w:val="21"/>
              </w:rPr>
              <w:t>采购货物名称</w:t>
            </w:r>
          </w:p>
        </w:tc>
        <w:tc>
          <w:tcPr>
            <w:tcW w:w="1719" w:type="dxa"/>
            <w:noWrap w:val="0"/>
            <w:vAlign w:val="center"/>
          </w:tcPr>
          <w:p>
            <w:pPr>
              <w:jc w:val="center"/>
              <w:rPr>
                <w:rFonts w:hint="eastAsia" w:ascii="宋体" w:hAnsi="宋体" w:cs="宋体"/>
                <w:b/>
                <w:szCs w:val="21"/>
              </w:rPr>
            </w:pPr>
            <w:r>
              <w:rPr>
                <w:rFonts w:hint="eastAsia" w:ascii="宋体" w:hAnsi="宋体" w:cs="宋体"/>
                <w:b/>
                <w:szCs w:val="21"/>
              </w:rPr>
              <w:t>品牌/型号</w:t>
            </w:r>
          </w:p>
        </w:tc>
        <w:tc>
          <w:tcPr>
            <w:tcW w:w="850" w:type="dxa"/>
            <w:noWrap w:val="0"/>
            <w:vAlign w:val="center"/>
          </w:tcPr>
          <w:p>
            <w:pPr>
              <w:jc w:val="center"/>
              <w:rPr>
                <w:rFonts w:hint="eastAsia" w:ascii="宋体" w:hAnsi="宋体" w:cs="宋体"/>
                <w:b/>
                <w:szCs w:val="21"/>
              </w:rPr>
            </w:pPr>
            <w:r>
              <w:rPr>
                <w:rFonts w:hint="eastAsia" w:ascii="宋体" w:hAnsi="宋体" w:cs="宋体"/>
                <w:b/>
                <w:szCs w:val="21"/>
              </w:rPr>
              <w:t>厂商</w:t>
            </w:r>
          </w:p>
        </w:tc>
        <w:tc>
          <w:tcPr>
            <w:tcW w:w="709" w:type="dxa"/>
            <w:noWrap w:val="0"/>
            <w:vAlign w:val="center"/>
          </w:tcPr>
          <w:p>
            <w:pPr>
              <w:jc w:val="center"/>
              <w:rPr>
                <w:rFonts w:hint="eastAsia" w:ascii="宋体" w:hAnsi="宋体" w:cs="宋体"/>
                <w:b/>
                <w:szCs w:val="21"/>
              </w:rPr>
            </w:pPr>
            <w:r>
              <w:rPr>
                <w:rFonts w:hint="eastAsia" w:ascii="宋体" w:hAnsi="宋体" w:cs="宋体"/>
                <w:b/>
                <w:szCs w:val="21"/>
              </w:rPr>
              <w:t>产地</w:t>
            </w:r>
          </w:p>
        </w:tc>
        <w:tc>
          <w:tcPr>
            <w:tcW w:w="709" w:type="dxa"/>
            <w:noWrap w:val="0"/>
            <w:vAlign w:val="center"/>
          </w:tcPr>
          <w:p>
            <w:pPr>
              <w:jc w:val="center"/>
              <w:rPr>
                <w:rFonts w:hint="eastAsia" w:ascii="宋体" w:hAnsi="宋体" w:cs="宋体"/>
                <w:b/>
                <w:szCs w:val="21"/>
              </w:rPr>
            </w:pPr>
            <w:r>
              <w:rPr>
                <w:rFonts w:hint="eastAsia" w:ascii="宋体" w:hAnsi="宋体" w:cs="宋体"/>
                <w:b/>
                <w:szCs w:val="21"/>
              </w:rPr>
              <w:t>数量</w:t>
            </w:r>
          </w:p>
        </w:tc>
        <w:tc>
          <w:tcPr>
            <w:tcW w:w="709" w:type="dxa"/>
            <w:noWrap w:val="0"/>
            <w:vAlign w:val="center"/>
          </w:tcPr>
          <w:p>
            <w:pPr>
              <w:jc w:val="center"/>
              <w:rPr>
                <w:rFonts w:hint="eastAsia" w:ascii="宋体" w:hAnsi="宋体" w:cs="宋体"/>
                <w:b/>
                <w:sz w:val="18"/>
                <w:szCs w:val="21"/>
              </w:rPr>
            </w:pPr>
            <w:r>
              <w:rPr>
                <w:rFonts w:hint="eastAsia" w:ascii="宋体" w:hAnsi="宋体" w:cs="宋体"/>
                <w:b/>
                <w:sz w:val="18"/>
                <w:szCs w:val="21"/>
              </w:rPr>
              <w:t>单价</w:t>
            </w:r>
          </w:p>
          <w:p>
            <w:pPr>
              <w:jc w:val="center"/>
              <w:rPr>
                <w:rFonts w:hint="eastAsia" w:ascii="宋体" w:hAnsi="宋体" w:cs="宋体"/>
                <w:b/>
                <w:sz w:val="18"/>
                <w:szCs w:val="21"/>
              </w:rPr>
            </w:pPr>
            <w:r>
              <w:rPr>
                <w:rFonts w:hint="eastAsia" w:ascii="宋体" w:hAnsi="宋体" w:cs="宋体"/>
                <w:b/>
                <w:sz w:val="18"/>
                <w:szCs w:val="21"/>
              </w:rPr>
              <w:t>（元）</w:t>
            </w:r>
          </w:p>
        </w:tc>
        <w:tc>
          <w:tcPr>
            <w:tcW w:w="709" w:type="dxa"/>
            <w:noWrap w:val="0"/>
            <w:vAlign w:val="center"/>
          </w:tcPr>
          <w:p>
            <w:pPr>
              <w:jc w:val="center"/>
              <w:rPr>
                <w:rFonts w:hint="eastAsia" w:ascii="宋体" w:hAnsi="宋体" w:cs="宋体"/>
                <w:b/>
                <w:sz w:val="18"/>
                <w:szCs w:val="21"/>
              </w:rPr>
            </w:pPr>
            <w:r>
              <w:rPr>
                <w:rFonts w:hint="eastAsia" w:ascii="宋体" w:hAnsi="宋体" w:cs="宋体"/>
                <w:b/>
                <w:sz w:val="18"/>
                <w:szCs w:val="21"/>
              </w:rPr>
              <w:t>总价</w:t>
            </w:r>
          </w:p>
          <w:p>
            <w:pPr>
              <w:jc w:val="center"/>
              <w:rPr>
                <w:rFonts w:hint="eastAsia" w:ascii="宋体" w:hAnsi="宋体" w:cs="宋体"/>
                <w:b/>
                <w:sz w:val="18"/>
                <w:szCs w:val="21"/>
              </w:rPr>
            </w:pPr>
            <w:r>
              <w:rPr>
                <w:rFonts w:hint="eastAsia" w:ascii="宋体" w:hAnsi="宋体" w:cs="宋体"/>
                <w:b/>
                <w:sz w:val="18"/>
                <w:szCs w:val="21"/>
              </w:rPr>
              <w:t>（元）</w:t>
            </w:r>
          </w:p>
        </w:tc>
        <w:tc>
          <w:tcPr>
            <w:tcW w:w="850" w:type="dxa"/>
            <w:noWrap w:val="0"/>
            <w:vAlign w:val="center"/>
          </w:tcPr>
          <w:p>
            <w:pPr>
              <w:jc w:val="center"/>
              <w:rPr>
                <w:rFonts w:hint="eastAsia" w:ascii="宋体" w:hAnsi="宋体" w:cs="宋体"/>
                <w:b/>
                <w:szCs w:val="21"/>
              </w:rPr>
            </w:pPr>
            <w:r>
              <w:rPr>
                <w:rFonts w:hint="eastAsia" w:ascii="宋体" w:hAnsi="宋体" w:cs="宋体"/>
                <w:b/>
                <w:szCs w:val="21"/>
              </w:rPr>
              <w:t>免费</w:t>
            </w:r>
          </w:p>
          <w:p>
            <w:pPr>
              <w:jc w:val="center"/>
              <w:rPr>
                <w:rFonts w:hint="eastAsia" w:ascii="宋体" w:hAnsi="宋体" w:cs="宋体"/>
                <w:b/>
                <w:szCs w:val="21"/>
              </w:rPr>
            </w:pPr>
            <w:r>
              <w:rPr>
                <w:rFonts w:hint="eastAsia" w:ascii="宋体" w:hAnsi="宋体" w:cs="宋体"/>
                <w:b/>
                <w:szCs w:val="21"/>
              </w:rPr>
              <w:t>质保期</w:t>
            </w:r>
          </w:p>
        </w:tc>
        <w:tc>
          <w:tcPr>
            <w:tcW w:w="827" w:type="dxa"/>
            <w:noWrap w:val="0"/>
            <w:vAlign w:val="center"/>
          </w:tcPr>
          <w:p>
            <w:pPr>
              <w:jc w:val="center"/>
              <w:rPr>
                <w:rFonts w:hint="eastAsia" w:ascii="宋体" w:hAnsi="宋体" w:cs="宋体"/>
                <w:b/>
                <w:szCs w:val="21"/>
              </w:rPr>
            </w:pPr>
            <w:r>
              <w:rPr>
                <w:rFonts w:hint="eastAsia" w:ascii="宋体" w:hAnsi="宋体" w:cs="宋体"/>
                <w:b/>
                <w:szCs w:val="21"/>
              </w:rPr>
              <w:t>交货</w:t>
            </w:r>
          </w:p>
          <w:p>
            <w:pPr>
              <w:jc w:val="center"/>
              <w:rPr>
                <w:rFonts w:hint="eastAsia" w:ascii="宋体" w:hAnsi="宋体" w:cs="宋体"/>
                <w:b/>
                <w:szCs w:val="21"/>
              </w:rPr>
            </w:pPr>
            <w:r>
              <w:rPr>
                <w:rFonts w:hint="eastAsia" w:ascii="宋体" w:hAnsi="宋体" w:cs="宋体"/>
                <w:b/>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268" w:type="dxa"/>
            <w:gridSpan w:val="4"/>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w:t>
            </w:r>
          </w:p>
        </w:tc>
        <w:tc>
          <w:tcPr>
            <w:tcW w:w="1719" w:type="dxa"/>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w:t>
            </w:r>
          </w:p>
        </w:tc>
        <w:tc>
          <w:tcPr>
            <w:tcW w:w="850" w:type="dxa"/>
            <w:noWrap w:val="0"/>
            <w:vAlign w:val="top"/>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w:t>
            </w:r>
          </w:p>
        </w:tc>
        <w:tc>
          <w:tcPr>
            <w:tcW w:w="709" w:type="dxa"/>
            <w:noWrap w:val="0"/>
            <w:vAlign w:val="center"/>
          </w:tcPr>
          <w:p>
            <w:pPr>
              <w:spacing w:line="360" w:lineRule="auto"/>
              <w:jc w:val="center"/>
              <w:rPr>
                <w:rFonts w:hint="eastAsia" w:ascii="宋体" w:hAnsi="宋体" w:cs="宋体"/>
                <w:szCs w:val="21"/>
              </w:rPr>
            </w:pPr>
            <w:r>
              <w:rPr>
                <w:rFonts w:hint="eastAsia" w:ascii="宋体" w:hAnsi="宋体" w:cs="宋体"/>
                <w:szCs w:val="21"/>
              </w:rPr>
              <w:t xml:space="preserve"> </w:t>
            </w:r>
          </w:p>
        </w:tc>
        <w:tc>
          <w:tcPr>
            <w:tcW w:w="709" w:type="dxa"/>
            <w:noWrap w:val="0"/>
            <w:vAlign w:val="top"/>
          </w:tcPr>
          <w:p>
            <w:pPr>
              <w:spacing w:line="360" w:lineRule="auto"/>
              <w:jc w:val="center"/>
              <w:rPr>
                <w:rFonts w:hint="eastAsia" w:ascii="宋体" w:hAnsi="宋体" w:cs="宋体"/>
                <w:szCs w:val="21"/>
              </w:rPr>
            </w:pPr>
          </w:p>
        </w:tc>
        <w:tc>
          <w:tcPr>
            <w:tcW w:w="850" w:type="dxa"/>
            <w:noWrap w:val="0"/>
            <w:vAlign w:val="center"/>
          </w:tcPr>
          <w:p>
            <w:pPr>
              <w:spacing w:line="360" w:lineRule="auto"/>
              <w:jc w:val="center"/>
              <w:rPr>
                <w:rFonts w:hint="eastAsia" w:ascii="宋体" w:hAnsi="宋体" w:cs="宋体"/>
                <w:szCs w:val="21"/>
              </w:rPr>
            </w:pPr>
          </w:p>
        </w:tc>
        <w:tc>
          <w:tcPr>
            <w:tcW w:w="827" w:type="dxa"/>
            <w:noWrap w:val="0"/>
            <w:vAlign w:val="center"/>
          </w:tcPr>
          <w:p>
            <w:pPr>
              <w:spacing w:line="360" w:lineRule="auto"/>
              <w:jc w:val="center"/>
              <w:rPr>
                <w:rFonts w:hint="eastAsia" w:ascii="宋体" w:hAnsi="宋体" w:cs="宋体"/>
                <w:szCs w:val="21"/>
                <w:lang w:val="zh-CN"/>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2268" w:type="dxa"/>
            <w:gridSpan w:val="4"/>
            <w:noWrap w:val="0"/>
            <w:vAlign w:val="center"/>
          </w:tcPr>
          <w:p>
            <w:pPr>
              <w:spacing w:line="360" w:lineRule="auto"/>
              <w:jc w:val="center"/>
              <w:rPr>
                <w:rFonts w:hint="eastAsia" w:ascii="宋体" w:hAnsi="宋体" w:cs="宋体"/>
                <w:szCs w:val="21"/>
              </w:rPr>
            </w:pPr>
          </w:p>
        </w:tc>
        <w:tc>
          <w:tcPr>
            <w:tcW w:w="1719" w:type="dxa"/>
            <w:noWrap w:val="0"/>
            <w:vAlign w:val="center"/>
          </w:tcPr>
          <w:p>
            <w:pPr>
              <w:spacing w:line="360" w:lineRule="auto"/>
              <w:jc w:val="center"/>
              <w:rPr>
                <w:rFonts w:hint="eastAsia" w:ascii="宋体" w:hAnsi="宋体" w:cs="宋体"/>
                <w:szCs w:val="21"/>
              </w:rPr>
            </w:pPr>
          </w:p>
        </w:tc>
        <w:tc>
          <w:tcPr>
            <w:tcW w:w="850" w:type="dxa"/>
            <w:noWrap w:val="0"/>
            <w:vAlign w:val="top"/>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top"/>
          </w:tcPr>
          <w:p>
            <w:pPr>
              <w:spacing w:line="360" w:lineRule="auto"/>
              <w:jc w:val="center"/>
              <w:rPr>
                <w:rFonts w:hint="eastAsia" w:ascii="宋体" w:hAnsi="宋体" w:cs="宋体"/>
                <w:szCs w:val="21"/>
              </w:rPr>
            </w:pPr>
          </w:p>
        </w:tc>
        <w:tc>
          <w:tcPr>
            <w:tcW w:w="850" w:type="dxa"/>
            <w:noWrap w:val="0"/>
            <w:vAlign w:val="center"/>
          </w:tcPr>
          <w:p>
            <w:pPr>
              <w:spacing w:line="360" w:lineRule="auto"/>
              <w:jc w:val="center"/>
              <w:rPr>
                <w:rFonts w:hint="eastAsia" w:ascii="宋体" w:hAnsi="宋体" w:cs="宋体"/>
                <w:szCs w:val="21"/>
              </w:rPr>
            </w:pPr>
          </w:p>
        </w:tc>
        <w:tc>
          <w:tcPr>
            <w:tcW w:w="82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2268" w:type="dxa"/>
            <w:gridSpan w:val="4"/>
            <w:noWrap w:val="0"/>
            <w:vAlign w:val="center"/>
          </w:tcPr>
          <w:p>
            <w:pPr>
              <w:spacing w:line="360" w:lineRule="auto"/>
              <w:jc w:val="center"/>
              <w:rPr>
                <w:rFonts w:hint="eastAsia" w:ascii="宋体" w:hAnsi="宋体" w:cs="宋体"/>
                <w:szCs w:val="21"/>
              </w:rPr>
            </w:pPr>
          </w:p>
        </w:tc>
        <w:tc>
          <w:tcPr>
            <w:tcW w:w="1719" w:type="dxa"/>
            <w:noWrap w:val="0"/>
            <w:vAlign w:val="center"/>
          </w:tcPr>
          <w:p>
            <w:pPr>
              <w:spacing w:line="360" w:lineRule="auto"/>
              <w:jc w:val="center"/>
              <w:rPr>
                <w:rFonts w:hint="eastAsia" w:ascii="宋体" w:hAnsi="宋体" w:cs="宋体"/>
                <w:szCs w:val="21"/>
              </w:rPr>
            </w:pPr>
          </w:p>
        </w:tc>
        <w:tc>
          <w:tcPr>
            <w:tcW w:w="850" w:type="dxa"/>
            <w:noWrap w:val="0"/>
            <w:vAlign w:val="top"/>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top"/>
          </w:tcPr>
          <w:p>
            <w:pPr>
              <w:spacing w:line="360" w:lineRule="auto"/>
              <w:jc w:val="center"/>
              <w:rPr>
                <w:rFonts w:hint="eastAsia" w:ascii="宋体" w:hAnsi="宋体" w:cs="宋体"/>
                <w:szCs w:val="21"/>
              </w:rPr>
            </w:pPr>
          </w:p>
        </w:tc>
        <w:tc>
          <w:tcPr>
            <w:tcW w:w="850" w:type="dxa"/>
            <w:noWrap w:val="0"/>
            <w:vAlign w:val="center"/>
          </w:tcPr>
          <w:p>
            <w:pPr>
              <w:spacing w:line="360" w:lineRule="auto"/>
              <w:jc w:val="center"/>
              <w:rPr>
                <w:rFonts w:hint="eastAsia" w:ascii="宋体" w:hAnsi="宋体" w:cs="宋体"/>
                <w:szCs w:val="21"/>
              </w:rPr>
            </w:pPr>
          </w:p>
        </w:tc>
        <w:tc>
          <w:tcPr>
            <w:tcW w:w="82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pPr>
              <w:spacing w:line="360" w:lineRule="auto"/>
              <w:jc w:val="center"/>
              <w:rPr>
                <w:rFonts w:hint="eastAsia" w:ascii="宋体" w:hAnsi="宋体" w:cs="宋体"/>
                <w:szCs w:val="21"/>
              </w:rPr>
            </w:pPr>
          </w:p>
        </w:tc>
        <w:tc>
          <w:tcPr>
            <w:tcW w:w="2268" w:type="dxa"/>
            <w:gridSpan w:val="4"/>
            <w:noWrap w:val="0"/>
            <w:vAlign w:val="center"/>
          </w:tcPr>
          <w:p>
            <w:pPr>
              <w:spacing w:line="360" w:lineRule="auto"/>
              <w:jc w:val="center"/>
              <w:rPr>
                <w:rFonts w:hint="eastAsia" w:ascii="宋体" w:hAnsi="宋体" w:cs="宋体"/>
                <w:szCs w:val="21"/>
              </w:rPr>
            </w:pPr>
          </w:p>
        </w:tc>
        <w:tc>
          <w:tcPr>
            <w:tcW w:w="1719" w:type="dxa"/>
            <w:noWrap w:val="0"/>
            <w:vAlign w:val="center"/>
          </w:tcPr>
          <w:p>
            <w:pPr>
              <w:spacing w:line="360" w:lineRule="auto"/>
              <w:jc w:val="center"/>
              <w:rPr>
                <w:rFonts w:hint="eastAsia" w:ascii="宋体" w:hAnsi="宋体" w:cs="宋体"/>
                <w:szCs w:val="21"/>
              </w:rPr>
            </w:pPr>
          </w:p>
        </w:tc>
        <w:tc>
          <w:tcPr>
            <w:tcW w:w="850" w:type="dxa"/>
            <w:noWrap w:val="0"/>
            <w:vAlign w:val="top"/>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center"/>
          </w:tcPr>
          <w:p>
            <w:pPr>
              <w:spacing w:line="360" w:lineRule="auto"/>
              <w:jc w:val="center"/>
              <w:rPr>
                <w:rFonts w:hint="eastAsia" w:ascii="宋体" w:hAnsi="宋体" w:cs="宋体"/>
                <w:szCs w:val="21"/>
              </w:rPr>
            </w:pPr>
          </w:p>
        </w:tc>
        <w:tc>
          <w:tcPr>
            <w:tcW w:w="709" w:type="dxa"/>
            <w:noWrap w:val="0"/>
            <w:vAlign w:val="top"/>
          </w:tcPr>
          <w:p>
            <w:pPr>
              <w:spacing w:line="360" w:lineRule="auto"/>
              <w:jc w:val="center"/>
              <w:rPr>
                <w:rFonts w:hint="eastAsia" w:ascii="宋体" w:hAnsi="宋体" w:cs="宋体"/>
                <w:szCs w:val="21"/>
              </w:rPr>
            </w:pPr>
          </w:p>
        </w:tc>
        <w:tc>
          <w:tcPr>
            <w:tcW w:w="850" w:type="dxa"/>
            <w:noWrap w:val="0"/>
            <w:vAlign w:val="center"/>
          </w:tcPr>
          <w:p>
            <w:pPr>
              <w:spacing w:line="360" w:lineRule="auto"/>
              <w:jc w:val="center"/>
              <w:rPr>
                <w:rFonts w:hint="eastAsia" w:ascii="宋体" w:hAnsi="宋体" w:cs="宋体"/>
                <w:szCs w:val="21"/>
              </w:rPr>
            </w:pPr>
          </w:p>
        </w:tc>
        <w:tc>
          <w:tcPr>
            <w:tcW w:w="827"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gridSpan w:val="2"/>
            <w:noWrap w:val="0"/>
            <w:vAlign w:val="top"/>
          </w:tcPr>
          <w:p>
            <w:pPr>
              <w:spacing w:line="360" w:lineRule="auto"/>
              <w:jc w:val="left"/>
              <w:rPr>
                <w:rFonts w:hint="eastAsia" w:ascii="宋体" w:hAnsi="宋体" w:cs="宋体"/>
                <w:szCs w:val="21"/>
              </w:rPr>
            </w:pPr>
          </w:p>
        </w:tc>
        <w:tc>
          <w:tcPr>
            <w:tcW w:w="9311" w:type="dxa"/>
            <w:gridSpan w:val="11"/>
            <w:noWrap w:val="0"/>
            <w:vAlign w:val="top"/>
          </w:tcPr>
          <w:p>
            <w:pPr>
              <w:spacing w:line="360" w:lineRule="auto"/>
              <w:jc w:val="left"/>
              <w:rPr>
                <w:rFonts w:hint="eastAsia" w:ascii="宋体" w:hAnsi="宋体" w:cs="宋体"/>
                <w:szCs w:val="21"/>
              </w:rPr>
            </w:pPr>
            <w:r>
              <w:rPr>
                <w:rFonts w:hint="eastAsia" w:ascii="宋体" w:hAnsi="宋体" w:cs="宋体"/>
                <w:szCs w:val="21"/>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9" w:type="dxa"/>
            <w:gridSpan w:val="3"/>
            <w:noWrap w:val="0"/>
            <w:vAlign w:val="top"/>
          </w:tcPr>
          <w:p>
            <w:pPr>
              <w:spacing w:line="360" w:lineRule="auto"/>
              <w:jc w:val="center"/>
              <w:rPr>
                <w:rFonts w:hint="eastAsia" w:ascii="宋体" w:hAnsi="宋体" w:cs="宋体"/>
                <w:szCs w:val="21"/>
              </w:rPr>
            </w:pPr>
            <w:r>
              <w:rPr>
                <w:rFonts w:hint="eastAsia" w:ascii="宋体" w:hAnsi="宋体" w:cs="宋体"/>
                <w:szCs w:val="21"/>
              </w:rPr>
              <w:t>甲方</w:t>
            </w:r>
          </w:p>
        </w:tc>
        <w:tc>
          <w:tcPr>
            <w:tcW w:w="709" w:type="dxa"/>
            <w:noWrap w:val="0"/>
            <w:vAlign w:val="top"/>
          </w:tcPr>
          <w:p>
            <w:pPr>
              <w:spacing w:line="360" w:lineRule="auto"/>
              <w:jc w:val="left"/>
              <w:rPr>
                <w:rFonts w:hint="eastAsia" w:ascii="宋体" w:hAnsi="宋体" w:cs="宋体"/>
                <w:szCs w:val="21"/>
              </w:rPr>
            </w:pPr>
          </w:p>
        </w:tc>
        <w:tc>
          <w:tcPr>
            <w:tcW w:w="7932" w:type="dxa"/>
            <w:gridSpan w:val="9"/>
            <w:noWrap w:val="0"/>
            <w:vAlign w:val="top"/>
          </w:tcPr>
          <w:p>
            <w:pPr>
              <w:spacing w:line="360" w:lineRule="auto"/>
              <w:jc w:val="left"/>
              <w:rPr>
                <w:rFonts w:hint="eastAsia" w:ascii="宋体" w:hAnsi="宋体" w:cs="宋体"/>
                <w:szCs w:val="21"/>
              </w:rPr>
            </w:pPr>
            <w:r>
              <w:rPr>
                <w:rFonts w:hint="eastAsia" w:ascii="宋体" w:hAnsi="宋体" w:cs="宋体"/>
                <w:szCs w:val="21"/>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9" w:type="dxa"/>
            <w:gridSpan w:val="3"/>
            <w:noWrap w:val="0"/>
            <w:vAlign w:val="top"/>
          </w:tcPr>
          <w:p>
            <w:pPr>
              <w:spacing w:line="360" w:lineRule="auto"/>
              <w:jc w:val="center"/>
              <w:rPr>
                <w:rFonts w:hint="eastAsia" w:ascii="宋体" w:hAnsi="宋体" w:cs="宋体"/>
                <w:szCs w:val="21"/>
              </w:rPr>
            </w:pPr>
            <w:r>
              <w:rPr>
                <w:rFonts w:hint="eastAsia" w:ascii="宋体" w:hAnsi="宋体" w:cs="宋体"/>
                <w:szCs w:val="21"/>
              </w:rPr>
              <w:t>乙方</w:t>
            </w:r>
          </w:p>
        </w:tc>
        <w:tc>
          <w:tcPr>
            <w:tcW w:w="709" w:type="dxa"/>
            <w:noWrap w:val="0"/>
            <w:vAlign w:val="top"/>
          </w:tcPr>
          <w:p>
            <w:pPr>
              <w:spacing w:line="360" w:lineRule="auto"/>
              <w:jc w:val="left"/>
              <w:rPr>
                <w:rFonts w:hint="eastAsia" w:ascii="宋体" w:hAnsi="宋体" w:cs="宋体"/>
                <w:szCs w:val="21"/>
              </w:rPr>
            </w:pPr>
          </w:p>
        </w:tc>
        <w:tc>
          <w:tcPr>
            <w:tcW w:w="7932" w:type="dxa"/>
            <w:gridSpan w:val="9"/>
            <w:noWrap w:val="0"/>
            <w:vAlign w:val="top"/>
          </w:tcPr>
          <w:p>
            <w:pPr>
              <w:spacing w:line="360" w:lineRule="auto"/>
              <w:jc w:val="left"/>
              <w:rPr>
                <w:rFonts w:hint="eastAsia" w:ascii="宋体" w:hAnsi="宋体" w:cs="宋体"/>
                <w:szCs w:val="21"/>
              </w:rPr>
            </w:pPr>
            <w:r>
              <w:rPr>
                <w:rFonts w:hint="eastAsia" w:ascii="宋体" w:hAnsi="宋体" w:cs="宋体"/>
                <w:szCs w:val="21"/>
              </w:rPr>
              <w:t>联系人：  联系方式：</w:t>
            </w:r>
          </w:p>
        </w:tc>
      </w:tr>
    </w:tbl>
    <w:p>
      <w:pPr>
        <w:pStyle w:val="57"/>
        <w:wordWrap/>
        <w:spacing w:line="400" w:lineRule="exact"/>
        <w:ind w:firstLine="422"/>
        <w:outlineLvl w:val="9"/>
        <w:rPr>
          <w:rFonts w:hint="eastAsia" w:ascii="宋体" w:hAnsi="宋体" w:eastAsia="宋体" w:cs="宋体"/>
          <w:b/>
          <w:sz w:val="21"/>
          <w:szCs w:val="21"/>
        </w:rPr>
      </w:pPr>
      <w:bookmarkStart w:id="168" w:name="_Toc5660"/>
      <w:r>
        <w:rPr>
          <w:rFonts w:hint="eastAsia" w:ascii="宋体" w:hAnsi="宋体" w:eastAsia="宋体" w:cs="宋体"/>
          <w:b/>
          <w:sz w:val="21"/>
          <w:szCs w:val="21"/>
        </w:rPr>
        <w:t>四、合同金额</w:t>
      </w:r>
      <w:bookmarkEnd w:id="168"/>
    </w:p>
    <w:p>
      <w:pPr>
        <w:spacing w:line="400" w:lineRule="exact"/>
        <w:ind w:firstLine="420" w:firstLineChars="200"/>
        <w:jc w:val="left"/>
        <w:rPr>
          <w:rFonts w:hint="eastAsia" w:ascii="宋体" w:hAnsi="宋体" w:cs="宋体"/>
          <w:szCs w:val="21"/>
        </w:rPr>
      </w:pPr>
      <w:r>
        <w:rPr>
          <w:rFonts w:hint="eastAsia" w:ascii="宋体" w:hAnsi="宋体" w:cs="宋体"/>
          <w:szCs w:val="21"/>
        </w:rPr>
        <w:t>根据中标（成交）通知书中规定，合同总金额为人民币大写:         （￥    ）</w:t>
      </w:r>
    </w:p>
    <w:p>
      <w:pPr>
        <w:spacing w:line="400" w:lineRule="exact"/>
        <w:ind w:firstLine="420" w:firstLineChars="200"/>
        <w:jc w:val="left"/>
        <w:rPr>
          <w:rFonts w:hint="eastAsia" w:ascii="宋体" w:hAnsi="宋体" w:cs="宋体"/>
          <w:szCs w:val="21"/>
        </w:rPr>
      </w:pPr>
      <w:r>
        <w:rPr>
          <w:rFonts w:hint="eastAsia" w:ascii="宋体" w:hAnsi="宋体" w:cs="宋体"/>
          <w:szCs w:val="21"/>
        </w:rPr>
        <w:t>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57"/>
        <w:wordWrap/>
        <w:spacing w:line="276" w:lineRule="auto"/>
        <w:ind w:firstLine="422"/>
        <w:outlineLvl w:val="9"/>
        <w:rPr>
          <w:rFonts w:hint="eastAsia" w:ascii="宋体" w:hAnsi="宋体" w:eastAsia="宋体" w:cs="宋体"/>
          <w:b/>
          <w:sz w:val="21"/>
          <w:szCs w:val="21"/>
        </w:rPr>
      </w:pPr>
      <w:bookmarkStart w:id="169" w:name="_Toc16685"/>
      <w:r>
        <w:rPr>
          <w:rFonts w:hint="eastAsia" w:ascii="宋体" w:hAnsi="宋体" w:eastAsia="宋体" w:cs="宋体"/>
          <w:b/>
          <w:sz w:val="21"/>
          <w:szCs w:val="21"/>
        </w:rPr>
        <w:t>五、交货期和交货地点</w:t>
      </w:r>
      <w:bookmarkEnd w:id="169"/>
    </w:p>
    <w:p>
      <w:pPr>
        <w:pStyle w:val="57"/>
        <w:spacing w:line="276" w:lineRule="auto"/>
        <w:ind w:firstLine="420"/>
        <w:outlineLvl w:val="9"/>
        <w:rPr>
          <w:rFonts w:hint="eastAsia" w:ascii="宋体" w:hAnsi="宋体" w:eastAsia="宋体" w:cs="宋体"/>
          <w:snapToGrid w:val="0"/>
          <w:kern w:val="0"/>
          <w:sz w:val="21"/>
          <w:szCs w:val="21"/>
        </w:rPr>
      </w:pPr>
      <w:bookmarkStart w:id="170" w:name="_Toc10637"/>
      <w:r>
        <w:rPr>
          <w:rFonts w:hint="eastAsia" w:ascii="宋体" w:hAnsi="宋体" w:eastAsia="宋体" w:cs="宋体"/>
          <w:sz w:val="21"/>
          <w:szCs w:val="21"/>
        </w:rPr>
        <w:t>1、交货期：</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w:t>
      </w:r>
      <w:bookmarkEnd w:id="170"/>
    </w:p>
    <w:p>
      <w:pPr>
        <w:pStyle w:val="57"/>
        <w:wordWrap/>
        <w:spacing w:line="276" w:lineRule="auto"/>
        <w:ind w:firstLine="420"/>
        <w:outlineLvl w:val="9"/>
        <w:rPr>
          <w:rFonts w:hint="eastAsia" w:ascii="宋体" w:hAnsi="宋体" w:eastAsia="宋体" w:cs="宋体"/>
          <w:snapToGrid w:val="0"/>
          <w:kern w:val="0"/>
          <w:sz w:val="21"/>
          <w:szCs w:val="21"/>
        </w:rPr>
      </w:pPr>
      <w:bookmarkStart w:id="171" w:name="_Toc31657"/>
      <w:r>
        <w:rPr>
          <w:rFonts w:hint="eastAsia" w:ascii="宋体" w:hAnsi="宋体" w:eastAsia="宋体" w:cs="宋体"/>
          <w:snapToGrid w:val="0"/>
          <w:kern w:val="0"/>
          <w:sz w:val="21"/>
          <w:szCs w:val="21"/>
        </w:rPr>
        <w:t>签订合同后30日历天交货并安装调试合格。</w:t>
      </w:r>
      <w:bookmarkEnd w:id="171"/>
    </w:p>
    <w:p>
      <w:pPr>
        <w:pStyle w:val="57"/>
        <w:wordWrap/>
        <w:spacing w:line="276" w:lineRule="auto"/>
        <w:ind w:firstLine="420"/>
        <w:outlineLvl w:val="9"/>
        <w:rPr>
          <w:rFonts w:hint="eastAsia" w:ascii="宋体" w:hAnsi="宋体" w:eastAsia="宋体" w:cs="宋体"/>
          <w:snapToGrid w:val="0"/>
          <w:kern w:val="0"/>
          <w:sz w:val="21"/>
          <w:szCs w:val="21"/>
        </w:rPr>
      </w:pPr>
      <w:bookmarkStart w:id="172" w:name="_Toc19408"/>
      <w:r>
        <w:rPr>
          <w:rFonts w:hint="eastAsia" w:ascii="宋体" w:hAnsi="宋体" w:eastAsia="宋体" w:cs="宋体"/>
          <w:snapToGrid w:val="0"/>
          <w:kern w:val="0"/>
          <w:sz w:val="21"/>
          <w:szCs w:val="21"/>
        </w:rPr>
        <w:t>乙方于交货的同时应向甲方提供货物清单、合格证书等资料。双方在确认交货时间时，已充分考虑了节假日等各种因素，除出现人力不可抗拒因素或重大变更且经甲方书面同意的，否则交货时间不予调整。包装及运输方式不当，致货物受损的，所有损失概由卖方自行承担。</w:t>
      </w:r>
      <w:bookmarkEnd w:id="172"/>
    </w:p>
    <w:p>
      <w:pPr>
        <w:pStyle w:val="57"/>
        <w:wordWrap/>
        <w:spacing w:line="276" w:lineRule="auto"/>
        <w:ind w:firstLine="420"/>
        <w:outlineLvl w:val="9"/>
        <w:rPr>
          <w:rFonts w:hint="eastAsia" w:ascii="宋体" w:hAnsi="宋体" w:eastAsia="宋体" w:cs="宋体"/>
          <w:sz w:val="21"/>
          <w:szCs w:val="21"/>
        </w:rPr>
      </w:pPr>
      <w:bookmarkStart w:id="173" w:name="_Toc3928"/>
      <w:r>
        <w:rPr>
          <w:rFonts w:hint="eastAsia" w:ascii="宋体" w:hAnsi="宋体" w:eastAsia="宋体" w:cs="宋体"/>
          <w:sz w:val="21"/>
          <w:szCs w:val="21"/>
        </w:rPr>
        <w:t>2、交货地点：江苏医药职业学院指定地点</w:t>
      </w:r>
      <w:bookmarkEnd w:id="173"/>
    </w:p>
    <w:p>
      <w:pPr>
        <w:pStyle w:val="57"/>
        <w:wordWrap/>
        <w:spacing w:line="276" w:lineRule="auto"/>
        <w:ind w:firstLine="420"/>
        <w:outlineLvl w:val="9"/>
        <w:rPr>
          <w:rFonts w:hint="eastAsia" w:ascii="宋体" w:hAnsi="宋体" w:eastAsia="宋体" w:cs="宋体"/>
          <w:sz w:val="21"/>
          <w:szCs w:val="21"/>
        </w:rPr>
      </w:pPr>
      <w:bookmarkStart w:id="174" w:name="_Toc21109"/>
      <w:r>
        <w:rPr>
          <w:rFonts w:hint="eastAsia" w:ascii="宋体" w:hAnsi="宋体" w:eastAsia="宋体" w:cs="宋体"/>
          <w:snapToGrid w:val="0"/>
          <w:kern w:val="0"/>
          <w:sz w:val="21"/>
          <w:szCs w:val="21"/>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bookmarkEnd w:id="174"/>
    </w:p>
    <w:p>
      <w:pPr>
        <w:pStyle w:val="57"/>
        <w:wordWrap/>
        <w:spacing w:line="276" w:lineRule="auto"/>
        <w:ind w:firstLine="420"/>
        <w:outlineLvl w:val="9"/>
        <w:rPr>
          <w:rFonts w:hint="eastAsia" w:ascii="宋体" w:hAnsi="宋体" w:eastAsia="宋体" w:cs="宋体"/>
          <w:sz w:val="21"/>
          <w:szCs w:val="21"/>
        </w:rPr>
      </w:pPr>
      <w:bookmarkStart w:id="175" w:name="_Toc8945"/>
      <w:r>
        <w:rPr>
          <w:rFonts w:hint="eastAsia" w:ascii="宋体" w:hAnsi="宋体" w:eastAsia="宋体" w:cs="宋体"/>
          <w:sz w:val="21"/>
          <w:szCs w:val="21"/>
        </w:rPr>
        <w:t>4、货物所有权自乙方负责将货物运送至交货地点、交付甲方时起转移，交付给甲方之前的相关的运输、保险、保管等费用及货物灭失、损毁的一切风险由乙方承担，并负责补足、更换、修理及承担相应费用。</w:t>
      </w:r>
      <w:bookmarkEnd w:id="175"/>
    </w:p>
    <w:p>
      <w:pPr>
        <w:pStyle w:val="57"/>
        <w:wordWrap/>
        <w:spacing w:line="276" w:lineRule="auto"/>
        <w:ind w:firstLine="420"/>
        <w:outlineLvl w:val="9"/>
        <w:rPr>
          <w:rFonts w:hint="eastAsia" w:ascii="宋体" w:hAnsi="宋体" w:eastAsia="宋体" w:cs="宋体"/>
          <w:sz w:val="21"/>
          <w:szCs w:val="21"/>
        </w:rPr>
      </w:pPr>
      <w:bookmarkStart w:id="176" w:name="_Toc23346"/>
      <w:r>
        <w:rPr>
          <w:rFonts w:hint="eastAsia" w:ascii="宋体" w:hAnsi="宋体" w:eastAsia="宋体" w:cs="宋体"/>
          <w:sz w:val="21"/>
          <w:szCs w:val="21"/>
        </w:rPr>
        <w:t>5、乙方应承担由于包装或其防护措施不妥而引起的货物损坏或丢失等的全部责任。</w:t>
      </w:r>
      <w:bookmarkEnd w:id="176"/>
    </w:p>
    <w:p>
      <w:pPr>
        <w:pStyle w:val="57"/>
        <w:wordWrap/>
        <w:spacing w:line="276" w:lineRule="auto"/>
        <w:ind w:firstLine="420"/>
        <w:outlineLvl w:val="9"/>
        <w:rPr>
          <w:rFonts w:hint="eastAsia" w:ascii="宋体" w:hAnsi="宋体" w:eastAsia="宋体" w:cs="宋体"/>
          <w:sz w:val="21"/>
          <w:szCs w:val="21"/>
        </w:rPr>
      </w:pPr>
      <w:bookmarkStart w:id="177" w:name="_Toc4036"/>
      <w:r>
        <w:rPr>
          <w:rFonts w:hint="eastAsia" w:ascii="宋体" w:hAnsi="宋体" w:eastAsia="宋体" w:cs="宋体"/>
          <w:sz w:val="21"/>
          <w:szCs w:val="21"/>
        </w:rPr>
        <w:t>6、安全责任：货物在运输、装卸、正常使用过程中，因质量问题等造成甲方或第三方人身伤害及财产损失的，由乙方承担全部责任。</w:t>
      </w:r>
      <w:bookmarkEnd w:id="177"/>
    </w:p>
    <w:p>
      <w:pPr>
        <w:pStyle w:val="57"/>
        <w:wordWrap/>
        <w:spacing w:line="276" w:lineRule="auto"/>
        <w:ind w:firstLine="422"/>
        <w:outlineLvl w:val="9"/>
        <w:rPr>
          <w:rFonts w:hint="eastAsia" w:ascii="宋体" w:hAnsi="宋体" w:eastAsia="宋体" w:cs="宋体"/>
          <w:b/>
          <w:sz w:val="21"/>
          <w:szCs w:val="21"/>
        </w:rPr>
      </w:pPr>
      <w:bookmarkStart w:id="178" w:name="_Toc2751"/>
      <w:r>
        <w:rPr>
          <w:rFonts w:hint="eastAsia" w:ascii="宋体" w:hAnsi="宋体" w:eastAsia="宋体" w:cs="宋体"/>
          <w:b/>
          <w:sz w:val="21"/>
          <w:szCs w:val="21"/>
        </w:rPr>
        <w:t>六、售后服务承诺</w:t>
      </w:r>
      <w:bookmarkEnd w:id="178"/>
    </w:p>
    <w:p>
      <w:pPr>
        <w:spacing w:line="276" w:lineRule="auto"/>
        <w:ind w:firstLine="420" w:firstLineChars="200"/>
        <w:rPr>
          <w:rFonts w:hint="eastAsia" w:ascii="宋体" w:hAnsi="宋体" w:cs="宋体"/>
          <w:szCs w:val="21"/>
        </w:rPr>
      </w:pPr>
      <w:r>
        <w:rPr>
          <w:rFonts w:hint="eastAsia" w:ascii="宋体" w:hAnsi="宋体" w:cs="宋体"/>
          <w:szCs w:val="21"/>
        </w:rPr>
        <w:t>供应商对所提供货物的售后服务作如下承诺：</w:t>
      </w:r>
    </w:p>
    <w:p>
      <w:pPr>
        <w:pStyle w:val="57"/>
        <w:wordWrap/>
        <w:spacing w:line="276" w:lineRule="auto"/>
        <w:ind w:firstLine="420"/>
        <w:outlineLvl w:val="9"/>
        <w:rPr>
          <w:rFonts w:hint="eastAsia" w:ascii="宋体" w:hAnsi="宋体" w:eastAsia="宋体" w:cs="宋体"/>
          <w:sz w:val="21"/>
          <w:szCs w:val="21"/>
        </w:rPr>
      </w:pPr>
      <w:bookmarkStart w:id="179" w:name="_Toc32167"/>
      <w:r>
        <w:rPr>
          <w:rFonts w:hint="eastAsia" w:ascii="宋体" w:hAnsi="宋体" w:eastAsia="宋体" w:cs="宋体"/>
          <w:sz w:val="21"/>
          <w:szCs w:val="21"/>
        </w:rPr>
        <w:t>1、保证所提供货物必须符合国家有关标准；保证货物是全新、未使用过的原装合格正品，且是近期生产的。</w:t>
      </w:r>
      <w:bookmarkEnd w:id="179"/>
    </w:p>
    <w:p>
      <w:pPr>
        <w:pStyle w:val="57"/>
        <w:wordWrap/>
        <w:spacing w:line="276" w:lineRule="auto"/>
        <w:ind w:firstLine="420"/>
        <w:outlineLvl w:val="9"/>
        <w:rPr>
          <w:rFonts w:hint="eastAsia" w:ascii="宋体" w:hAnsi="宋体" w:eastAsia="宋体" w:cs="宋体"/>
          <w:sz w:val="21"/>
          <w:szCs w:val="21"/>
        </w:rPr>
      </w:pPr>
      <w:bookmarkStart w:id="180" w:name="_Toc12184"/>
      <w:r>
        <w:rPr>
          <w:rFonts w:hint="eastAsia" w:ascii="宋体" w:hAnsi="宋体" w:eastAsia="宋体" w:cs="宋体"/>
          <w:sz w:val="21"/>
          <w:szCs w:val="21"/>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bookmarkEnd w:id="180"/>
    </w:p>
    <w:p>
      <w:pPr>
        <w:pStyle w:val="57"/>
        <w:wordWrap/>
        <w:spacing w:line="276" w:lineRule="auto"/>
        <w:ind w:firstLine="420"/>
        <w:outlineLvl w:val="9"/>
        <w:rPr>
          <w:rFonts w:hint="eastAsia" w:ascii="宋体" w:hAnsi="宋体" w:eastAsia="宋体" w:cs="宋体"/>
          <w:sz w:val="21"/>
          <w:szCs w:val="21"/>
        </w:rPr>
      </w:pPr>
      <w:bookmarkStart w:id="181" w:name="_Toc5948"/>
      <w:r>
        <w:rPr>
          <w:rFonts w:hint="eastAsia" w:ascii="宋体" w:hAnsi="宋体" w:eastAsia="宋体" w:cs="宋体"/>
          <w:sz w:val="21"/>
          <w:szCs w:val="21"/>
        </w:rPr>
        <w:t>3、质保期、保修期及保修服务的内容严格遵守国家法律及合同文件规定。</w:t>
      </w:r>
      <w:bookmarkEnd w:id="181"/>
    </w:p>
    <w:p>
      <w:pPr>
        <w:spacing w:line="276" w:lineRule="auto"/>
        <w:ind w:firstLine="420" w:firstLineChars="200"/>
        <w:rPr>
          <w:rFonts w:hint="eastAsia" w:ascii="宋体" w:hAnsi="宋体" w:cs="宋体"/>
          <w:szCs w:val="21"/>
        </w:rPr>
      </w:pPr>
      <w:r>
        <w:rPr>
          <w:rFonts w:hint="eastAsia" w:ascii="宋体" w:hAnsi="宋体" w:cs="宋体"/>
          <w:szCs w:val="21"/>
        </w:rPr>
        <w:t>质保期限为</w:t>
      </w:r>
      <w:r>
        <w:rPr>
          <w:rFonts w:hint="eastAsia" w:ascii="宋体" w:hAnsi="宋体" w:cs="宋体"/>
          <w:szCs w:val="21"/>
          <w:u w:val="single"/>
        </w:rPr>
        <w:t xml:space="preserve">   </w:t>
      </w:r>
      <w:r>
        <w:rPr>
          <w:rFonts w:hint="eastAsia" w:ascii="宋体" w:hAnsi="宋体" w:cs="宋体"/>
          <w:szCs w:val="21"/>
        </w:rPr>
        <w:t>年，质保期限从验收合格之日起计算，质保期内“三包”责任所产生的费用由供应商承担。质保期满后，乙方仍应遵守本合同各条相应的服务约定(乙方提供本产品的终身维修，保修期内供应商提供的维修服务、技术支持、软件升级及零配件更换仅收取成本费用，其余一切费用均由乙方承担)。</w:t>
      </w:r>
    </w:p>
    <w:p>
      <w:pPr>
        <w:pStyle w:val="57"/>
        <w:wordWrap/>
        <w:spacing w:line="276" w:lineRule="auto"/>
        <w:ind w:firstLine="420"/>
        <w:outlineLvl w:val="9"/>
        <w:rPr>
          <w:rFonts w:hint="eastAsia" w:ascii="宋体" w:hAnsi="宋体" w:eastAsia="宋体" w:cs="宋体"/>
          <w:sz w:val="21"/>
          <w:szCs w:val="21"/>
        </w:rPr>
      </w:pPr>
      <w:bookmarkStart w:id="182" w:name="_Toc20381"/>
      <w:r>
        <w:rPr>
          <w:rFonts w:hint="eastAsia" w:ascii="宋体" w:hAnsi="宋体" w:eastAsia="宋体" w:cs="宋体"/>
          <w:sz w:val="21"/>
          <w:szCs w:val="21"/>
        </w:rPr>
        <w:t>4、对制造商提供的货物的硬件或软件的升级改进服务，有及时告知用户的义务，在用户同意接受这些服务的情况下提供便利条件。</w:t>
      </w:r>
      <w:bookmarkEnd w:id="182"/>
    </w:p>
    <w:p>
      <w:pPr>
        <w:pStyle w:val="57"/>
        <w:wordWrap/>
        <w:spacing w:line="276" w:lineRule="auto"/>
        <w:ind w:firstLine="420"/>
        <w:outlineLvl w:val="9"/>
        <w:rPr>
          <w:rFonts w:hint="eastAsia" w:ascii="宋体" w:hAnsi="宋体" w:eastAsia="宋体" w:cs="宋体"/>
          <w:sz w:val="21"/>
          <w:szCs w:val="21"/>
        </w:rPr>
      </w:pPr>
      <w:bookmarkStart w:id="183" w:name="_Toc24961"/>
      <w:r>
        <w:rPr>
          <w:rFonts w:hint="eastAsia" w:ascii="宋体" w:hAnsi="宋体" w:eastAsia="宋体" w:cs="宋体"/>
          <w:sz w:val="21"/>
          <w:szCs w:val="21"/>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bookmarkEnd w:id="183"/>
    </w:p>
    <w:p>
      <w:pPr>
        <w:pStyle w:val="57"/>
        <w:wordWrap/>
        <w:spacing w:line="276" w:lineRule="auto"/>
        <w:ind w:firstLine="420"/>
        <w:outlineLvl w:val="9"/>
        <w:rPr>
          <w:rFonts w:hint="eastAsia" w:ascii="宋体" w:hAnsi="宋体" w:eastAsia="宋体" w:cs="宋体"/>
          <w:sz w:val="21"/>
          <w:szCs w:val="21"/>
        </w:rPr>
      </w:pPr>
      <w:bookmarkStart w:id="184" w:name="_Toc8174"/>
      <w:r>
        <w:rPr>
          <w:rFonts w:hint="eastAsia" w:ascii="宋体" w:hAnsi="宋体" w:eastAsia="宋体" w:cs="宋体"/>
          <w:sz w:val="21"/>
          <w:szCs w:val="21"/>
        </w:rPr>
        <w:t>6、乙方质保负责人：          ，联系电话（手机）：</w:t>
      </w:r>
      <w:bookmarkEnd w:id="184"/>
      <w:r>
        <w:rPr>
          <w:rFonts w:hint="eastAsia" w:ascii="宋体" w:hAnsi="宋体" w:eastAsia="宋体" w:cs="宋体"/>
          <w:sz w:val="21"/>
          <w:szCs w:val="21"/>
        </w:rPr>
        <w:t xml:space="preserve">            </w:t>
      </w:r>
    </w:p>
    <w:p>
      <w:pPr>
        <w:pStyle w:val="57"/>
        <w:wordWrap/>
        <w:spacing w:line="276" w:lineRule="auto"/>
        <w:ind w:firstLine="422"/>
        <w:outlineLvl w:val="9"/>
        <w:rPr>
          <w:rFonts w:hint="eastAsia" w:ascii="宋体" w:hAnsi="宋体" w:eastAsia="宋体" w:cs="宋体"/>
          <w:b/>
          <w:sz w:val="21"/>
          <w:szCs w:val="21"/>
        </w:rPr>
      </w:pPr>
      <w:bookmarkStart w:id="185" w:name="_Toc22731"/>
      <w:r>
        <w:rPr>
          <w:rFonts w:hint="eastAsia" w:ascii="宋体" w:hAnsi="宋体" w:eastAsia="宋体" w:cs="宋体"/>
          <w:b/>
          <w:sz w:val="21"/>
          <w:szCs w:val="21"/>
        </w:rPr>
        <w:t>七、验收办法</w:t>
      </w:r>
      <w:bookmarkEnd w:id="185"/>
    </w:p>
    <w:p>
      <w:pPr>
        <w:pStyle w:val="57"/>
        <w:wordWrap/>
        <w:spacing w:line="276" w:lineRule="auto"/>
        <w:ind w:firstLine="420"/>
        <w:outlineLvl w:val="9"/>
        <w:rPr>
          <w:rFonts w:hint="eastAsia" w:ascii="宋体" w:hAnsi="宋体" w:eastAsia="宋体" w:cs="宋体"/>
          <w:bCs w:val="0"/>
          <w:sz w:val="21"/>
          <w:szCs w:val="21"/>
        </w:rPr>
      </w:pPr>
      <w:bookmarkStart w:id="186" w:name="_Toc8312"/>
      <w:r>
        <w:rPr>
          <w:rFonts w:hint="eastAsia" w:ascii="宋体" w:hAnsi="宋体" w:eastAsia="宋体" w:cs="宋体"/>
          <w:bCs w:val="0"/>
          <w:sz w:val="21"/>
          <w:szCs w:val="21"/>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bookmarkEnd w:id="186"/>
    </w:p>
    <w:p>
      <w:pPr>
        <w:pStyle w:val="57"/>
        <w:wordWrap/>
        <w:spacing w:line="276" w:lineRule="auto"/>
        <w:ind w:firstLine="420"/>
        <w:outlineLvl w:val="9"/>
        <w:rPr>
          <w:rFonts w:hint="eastAsia" w:ascii="宋体" w:hAnsi="宋体" w:eastAsia="宋体" w:cs="宋体"/>
          <w:bCs w:val="0"/>
          <w:sz w:val="21"/>
          <w:szCs w:val="21"/>
        </w:rPr>
      </w:pPr>
      <w:bookmarkStart w:id="187" w:name="_Toc18067"/>
      <w:r>
        <w:rPr>
          <w:rFonts w:hint="eastAsia" w:ascii="宋体" w:hAnsi="宋体" w:eastAsia="宋体" w:cs="宋体"/>
          <w:bCs w:val="0"/>
          <w:sz w:val="21"/>
          <w:szCs w:val="21"/>
        </w:rPr>
        <w:t>1、实物验收：通过对比合同、到货清单和到货实物，完成外观、数量、型号、材质、配置、资料（如货物说明书、操作规程、检修手册、出厂检验合格证、保修卡、软件、图表）等实物内容的核对及检查工作。</w:t>
      </w:r>
      <w:r>
        <w:rPr>
          <w:rFonts w:hint="eastAsia" w:ascii="宋体" w:hAnsi="宋体" w:eastAsia="宋体" w:cs="宋体"/>
          <w:sz w:val="21"/>
          <w:szCs w:val="21"/>
        </w:rPr>
        <w:t>对包装破损、型号规格、外观或质量不符合约定的货物，甲方将予以拒收，该部分视为乙方未按时供货。如甲方对全部货物验收合格，双方签字确认。</w:t>
      </w:r>
      <w:bookmarkEnd w:id="187"/>
    </w:p>
    <w:p>
      <w:pPr>
        <w:pStyle w:val="57"/>
        <w:wordWrap/>
        <w:spacing w:line="276" w:lineRule="auto"/>
        <w:ind w:firstLine="420"/>
        <w:outlineLvl w:val="9"/>
        <w:rPr>
          <w:rFonts w:hint="eastAsia" w:ascii="宋体" w:hAnsi="宋体" w:eastAsia="宋体" w:cs="宋体"/>
          <w:bCs w:val="0"/>
          <w:sz w:val="21"/>
          <w:szCs w:val="21"/>
        </w:rPr>
      </w:pPr>
      <w:bookmarkStart w:id="188" w:name="_Toc8457"/>
      <w:r>
        <w:rPr>
          <w:rFonts w:hint="eastAsia" w:ascii="宋体" w:hAnsi="宋体" w:eastAsia="宋体" w:cs="宋体"/>
          <w:bCs w:val="0"/>
          <w:sz w:val="21"/>
          <w:szCs w:val="21"/>
        </w:rPr>
        <w:t>2、技术验收：检查货物是否按规范进行安装；通过运行调试（包括功能调试、技术指标调试、整机统调等）对性能指标、技术质量等进行检测；供应商是否按照合同要求提供人员培训、完成履约任务。</w:t>
      </w:r>
      <w:bookmarkEnd w:id="188"/>
    </w:p>
    <w:p>
      <w:pPr>
        <w:pStyle w:val="57"/>
        <w:wordWrap/>
        <w:spacing w:line="276" w:lineRule="auto"/>
        <w:ind w:firstLine="420"/>
        <w:outlineLvl w:val="9"/>
        <w:rPr>
          <w:rFonts w:hint="eastAsia" w:ascii="宋体" w:hAnsi="宋体" w:eastAsia="宋体" w:cs="宋体"/>
          <w:sz w:val="21"/>
          <w:szCs w:val="21"/>
        </w:rPr>
      </w:pPr>
      <w:bookmarkStart w:id="189" w:name="_Toc7878"/>
      <w:r>
        <w:rPr>
          <w:rFonts w:hint="eastAsia" w:ascii="宋体" w:hAnsi="宋体" w:eastAsia="宋体" w:cs="宋体"/>
          <w:sz w:val="21"/>
          <w:szCs w:val="21"/>
        </w:rPr>
        <w:t>3、甲方对货物的清点、检验、确认、初步验收等不能解除或减轻乙方提供合格货物的责任，在使用期内发现货物缺陷、质量问题的，乙方仍应承担责任。</w:t>
      </w:r>
      <w:bookmarkEnd w:id="189"/>
    </w:p>
    <w:p>
      <w:pPr>
        <w:pStyle w:val="57"/>
        <w:wordWrap/>
        <w:spacing w:line="276" w:lineRule="auto"/>
        <w:ind w:firstLine="420"/>
        <w:outlineLvl w:val="9"/>
        <w:rPr>
          <w:rFonts w:hint="eastAsia" w:ascii="宋体" w:hAnsi="宋体" w:eastAsia="宋体" w:cs="宋体"/>
          <w:sz w:val="21"/>
          <w:szCs w:val="21"/>
        </w:rPr>
      </w:pPr>
      <w:bookmarkStart w:id="190" w:name="_Toc25573"/>
      <w:r>
        <w:rPr>
          <w:rFonts w:hint="eastAsia" w:ascii="宋体" w:hAnsi="宋体" w:eastAsia="宋体" w:cs="宋体"/>
          <w:sz w:val="21"/>
          <w:szCs w:val="21"/>
        </w:rPr>
        <w:t>4、如果甲方发现货物存在缺陷（如货物的数量、外观、规格型号、尺码、质量、做工等与合同约定不符等）时，则甲方有权采取下列一种或几种方式解决，并通知乙方：</w:t>
      </w:r>
      <w:bookmarkEnd w:id="190"/>
    </w:p>
    <w:p>
      <w:pPr>
        <w:pStyle w:val="57"/>
        <w:wordWrap/>
        <w:spacing w:line="276" w:lineRule="auto"/>
        <w:ind w:firstLine="420"/>
        <w:outlineLvl w:val="9"/>
        <w:rPr>
          <w:rFonts w:hint="eastAsia" w:ascii="宋体" w:hAnsi="宋体" w:eastAsia="宋体" w:cs="宋体"/>
          <w:sz w:val="21"/>
          <w:szCs w:val="21"/>
        </w:rPr>
      </w:pPr>
      <w:bookmarkStart w:id="191" w:name="_Toc26739"/>
      <w:r>
        <w:rPr>
          <w:rFonts w:hint="eastAsia" w:ascii="宋体" w:hAnsi="宋体" w:eastAsia="宋体" w:cs="宋体"/>
          <w:sz w:val="21"/>
          <w:szCs w:val="21"/>
        </w:rPr>
        <w:t>4.1如甲方决定退货，则乙方应将其向甲方收取的全部价款退还甲方，并承担甲方由此发生的一切损失和费用，包括利息、银行手续费、运费、保险费、仓储费、装卸费以及为看管和保护退回货物所需的其它必要费用。</w:t>
      </w:r>
      <w:bookmarkEnd w:id="191"/>
    </w:p>
    <w:p>
      <w:pPr>
        <w:pStyle w:val="57"/>
        <w:wordWrap/>
        <w:spacing w:line="276" w:lineRule="auto"/>
        <w:ind w:firstLine="420"/>
        <w:outlineLvl w:val="9"/>
        <w:rPr>
          <w:rFonts w:hint="eastAsia" w:ascii="宋体" w:hAnsi="宋体" w:eastAsia="宋体" w:cs="宋体"/>
          <w:sz w:val="21"/>
          <w:szCs w:val="21"/>
        </w:rPr>
      </w:pPr>
      <w:bookmarkStart w:id="192" w:name="_Toc29240"/>
      <w:r>
        <w:rPr>
          <w:rFonts w:hint="eastAsia" w:ascii="宋体" w:hAnsi="宋体" w:eastAsia="宋体" w:cs="宋体"/>
          <w:sz w:val="21"/>
          <w:szCs w:val="21"/>
        </w:rPr>
        <w:t>4.2如甲方决定换货，则乙方应在 7 日内负责更换，乙方应承担全部费用和风险，并按照逾期交货承担违约责任。</w:t>
      </w:r>
      <w:bookmarkEnd w:id="192"/>
    </w:p>
    <w:p>
      <w:pPr>
        <w:pStyle w:val="57"/>
        <w:wordWrap/>
        <w:spacing w:line="276" w:lineRule="auto"/>
        <w:ind w:firstLine="420"/>
        <w:outlineLvl w:val="9"/>
        <w:rPr>
          <w:rFonts w:hint="eastAsia" w:ascii="宋体" w:hAnsi="宋体" w:eastAsia="宋体" w:cs="宋体"/>
          <w:sz w:val="21"/>
          <w:szCs w:val="21"/>
        </w:rPr>
      </w:pPr>
      <w:bookmarkStart w:id="193" w:name="_Toc5388"/>
      <w:r>
        <w:rPr>
          <w:rFonts w:hint="eastAsia" w:ascii="宋体" w:hAnsi="宋体" w:eastAsia="宋体" w:cs="宋体"/>
          <w:sz w:val="21"/>
          <w:szCs w:val="21"/>
        </w:rPr>
        <w:t>5、如果在甲方发出通知后2日内，乙方未作答复，上述通知内容视为已被乙方接受。</w:t>
      </w:r>
      <w:bookmarkEnd w:id="193"/>
    </w:p>
    <w:p>
      <w:pPr>
        <w:pStyle w:val="57"/>
        <w:wordWrap/>
        <w:spacing w:line="276" w:lineRule="auto"/>
        <w:ind w:firstLine="422"/>
        <w:outlineLvl w:val="9"/>
        <w:rPr>
          <w:rFonts w:hint="eastAsia" w:ascii="宋体" w:hAnsi="宋体" w:eastAsia="宋体" w:cs="宋体"/>
          <w:b/>
          <w:sz w:val="21"/>
          <w:szCs w:val="21"/>
        </w:rPr>
      </w:pPr>
      <w:bookmarkStart w:id="194" w:name="_Toc6357"/>
      <w:r>
        <w:rPr>
          <w:rFonts w:hint="eastAsia" w:ascii="宋体" w:hAnsi="宋体" w:eastAsia="宋体" w:cs="宋体"/>
          <w:b/>
          <w:sz w:val="21"/>
          <w:szCs w:val="21"/>
        </w:rPr>
        <w:t>八、双方的权利和义务</w:t>
      </w:r>
      <w:bookmarkEnd w:id="194"/>
    </w:p>
    <w:p>
      <w:pPr>
        <w:pStyle w:val="58"/>
        <w:wordWrap/>
        <w:spacing w:line="276" w:lineRule="auto"/>
        <w:ind w:firstLine="422"/>
        <w:outlineLvl w:val="9"/>
        <w:rPr>
          <w:rFonts w:hint="eastAsia" w:ascii="宋体" w:hAnsi="宋体" w:eastAsia="宋体" w:cs="宋体"/>
          <w:sz w:val="21"/>
          <w:szCs w:val="21"/>
        </w:rPr>
      </w:pPr>
      <w:r>
        <w:rPr>
          <w:rFonts w:hint="eastAsia" w:ascii="宋体" w:hAnsi="宋体" w:eastAsia="宋体" w:cs="宋体"/>
          <w:sz w:val="21"/>
          <w:szCs w:val="21"/>
        </w:rPr>
        <w:t>1、甲方的权利和义务</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1.1甲方有权向乙方询问工作进展情况；</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1.2甲方有权对具体本项目全部工作内容提出科学性、合理性建议和意见；</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1.3甲方有权向乙方索取与委托采购内容有关的成果文件；</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1.4甲方有权对乙方提供货物及服务过程进行监督、检查、考核；</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1.5协调乙方在提供货物及服务过程相关的政府部门和单位；</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p>
    <w:p>
      <w:pPr>
        <w:pStyle w:val="58"/>
        <w:wordWrap/>
        <w:spacing w:line="276" w:lineRule="auto"/>
        <w:ind w:firstLine="422"/>
        <w:outlineLvl w:val="9"/>
        <w:rPr>
          <w:rFonts w:hint="eastAsia" w:ascii="宋体" w:hAnsi="宋体" w:eastAsia="宋体" w:cs="宋体"/>
          <w:sz w:val="21"/>
          <w:szCs w:val="21"/>
        </w:rPr>
      </w:pPr>
      <w:r>
        <w:rPr>
          <w:rFonts w:hint="eastAsia" w:ascii="宋体" w:hAnsi="宋体" w:eastAsia="宋体" w:cs="宋体"/>
          <w:sz w:val="21"/>
          <w:szCs w:val="21"/>
        </w:rPr>
        <w:t>2、乙方的权利和义务</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2.1.乙方可要求甲方按本合同的约定按时足额支付</w:t>
      </w:r>
      <w:bookmarkStart w:id="195" w:name="_Hlk40975009"/>
      <w:r>
        <w:rPr>
          <w:rFonts w:hint="eastAsia" w:ascii="宋体" w:hAnsi="宋体" w:eastAsia="宋体" w:cs="宋体"/>
          <w:sz w:val="21"/>
          <w:szCs w:val="21"/>
        </w:rPr>
        <w:t>相应费用</w:t>
      </w:r>
      <w:bookmarkEnd w:id="195"/>
      <w:r>
        <w:rPr>
          <w:rFonts w:hint="eastAsia" w:ascii="宋体" w:hAnsi="宋体" w:eastAsia="宋体" w:cs="宋体"/>
          <w:sz w:val="21"/>
          <w:szCs w:val="21"/>
        </w:rPr>
        <w:t>；</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2.2.乙方在履行合同过程中，不得将本项目委托给第三人，如有违反，甲方有权解除合同，乙方应退还甲方已付全部合同价款，并按照本合同向甲方支付违约金。</w:t>
      </w:r>
    </w:p>
    <w:p>
      <w:pPr>
        <w:pStyle w:val="60"/>
        <w:wordWrap/>
        <w:spacing w:line="276" w:lineRule="auto"/>
        <w:ind w:firstLine="420"/>
        <w:outlineLvl w:val="9"/>
        <w:rPr>
          <w:rFonts w:hint="eastAsia" w:ascii="宋体" w:hAnsi="宋体" w:eastAsia="宋体" w:cs="宋体"/>
          <w:b/>
          <w:sz w:val="21"/>
          <w:szCs w:val="21"/>
        </w:rPr>
      </w:pPr>
      <w:r>
        <w:rPr>
          <w:rFonts w:hint="eastAsia" w:ascii="宋体" w:hAnsi="宋体" w:eastAsia="宋体" w:cs="宋体"/>
          <w:sz w:val="21"/>
          <w:szCs w:val="21"/>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pStyle w:val="57"/>
        <w:wordWrap/>
        <w:spacing w:line="276" w:lineRule="auto"/>
        <w:ind w:firstLine="422"/>
        <w:outlineLvl w:val="9"/>
        <w:rPr>
          <w:rFonts w:hint="eastAsia" w:ascii="宋体" w:hAnsi="宋体" w:eastAsia="宋体" w:cs="宋体"/>
          <w:b/>
          <w:sz w:val="21"/>
          <w:szCs w:val="21"/>
        </w:rPr>
      </w:pPr>
      <w:bookmarkStart w:id="196" w:name="_Toc667"/>
      <w:r>
        <w:rPr>
          <w:rFonts w:hint="eastAsia" w:ascii="宋体" w:hAnsi="宋体" w:eastAsia="宋体" w:cs="宋体"/>
          <w:b/>
          <w:sz w:val="21"/>
          <w:szCs w:val="21"/>
        </w:rPr>
        <w:t>九、付款方式与结算</w:t>
      </w:r>
      <w:bookmarkEnd w:id="196"/>
    </w:p>
    <w:p>
      <w:pPr>
        <w:widowControl/>
        <w:spacing w:line="276" w:lineRule="auto"/>
        <w:ind w:firstLine="422" w:firstLineChars="200"/>
        <w:jc w:val="left"/>
        <w:rPr>
          <w:rFonts w:hint="eastAsia" w:ascii="宋体" w:hAnsi="宋体" w:cs="宋体"/>
          <w:b/>
          <w:szCs w:val="21"/>
        </w:rPr>
      </w:pPr>
      <w:r>
        <w:rPr>
          <w:rFonts w:hint="eastAsia" w:ascii="宋体" w:hAnsi="宋体" w:cs="宋体"/>
          <w:b/>
          <w:szCs w:val="21"/>
        </w:rPr>
        <w:t>1、履约保证金支付</w:t>
      </w:r>
    </w:p>
    <w:p>
      <w:pPr>
        <w:pStyle w:val="29"/>
        <w:spacing w:line="276" w:lineRule="auto"/>
        <w:rPr>
          <w:rFonts w:hint="eastAsia" w:eastAsia="宋体" w:cs="宋体"/>
          <w:sz w:val="21"/>
          <w:szCs w:val="21"/>
        </w:rPr>
      </w:pPr>
      <w:r>
        <w:rPr>
          <w:rFonts w:hint="eastAsia" w:eastAsia="宋体" w:cs="宋体"/>
          <w:sz w:val="21"/>
          <w:szCs w:val="21"/>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9"/>
        <w:spacing w:line="276" w:lineRule="auto"/>
        <w:rPr>
          <w:rFonts w:hint="eastAsia" w:eastAsia="宋体" w:cs="宋体"/>
          <w:sz w:val="21"/>
          <w:szCs w:val="21"/>
          <w:lang w:val="zh-CN"/>
        </w:rPr>
      </w:pPr>
      <w:r>
        <w:rPr>
          <w:rFonts w:hint="eastAsia" w:eastAsia="宋体" w:cs="宋体"/>
          <w:sz w:val="21"/>
          <w:szCs w:val="21"/>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276" w:lineRule="auto"/>
        <w:ind w:firstLine="422" w:firstLineChars="200"/>
        <w:jc w:val="left"/>
        <w:rPr>
          <w:rFonts w:hint="eastAsia" w:ascii="宋体" w:hAnsi="宋体" w:cs="宋体"/>
          <w:b/>
          <w:szCs w:val="21"/>
        </w:rPr>
      </w:pPr>
      <w:r>
        <w:rPr>
          <w:rFonts w:hint="eastAsia" w:ascii="宋体" w:hAnsi="宋体" w:cs="宋体"/>
          <w:b/>
          <w:szCs w:val="21"/>
        </w:rPr>
        <w:t>2、合同金额结算及支付方式：</w:t>
      </w:r>
    </w:p>
    <w:p>
      <w:pPr>
        <w:pStyle w:val="29"/>
        <w:spacing w:line="276" w:lineRule="auto"/>
        <w:jc w:val="left"/>
        <w:rPr>
          <w:rFonts w:hint="eastAsia" w:eastAsia="宋体" w:cs="宋体"/>
          <w:sz w:val="21"/>
          <w:szCs w:val="21"/>
        </w:rPr>
      </w:pPr>
      <w:r>
        <w:rPr>
          <w:rFonts w:hint="eastAsia" w:eastAsia="宋体" w:cs="宋体"/>
          <w:sz w:val="21"/>
          <w:szCs w:val="21"/>
        </w:rPr>
        <w:t>合同签订后，乙方完成全部供货及安装、调试、培训，甲方验收合格后支付合同价的70%款项；审计合格后付至审计价的90%，余款待完成合同规定服务事项及合同履约</w:t>
      </w:r>
      <w:r>
        <w:rPr>
          <w:rFonts w:hint="eastAsia" w:eastAsia="宋体" w:cs="宋体"/>
          <w:sz w:val="21"/>
          <w:szCs w:val="21"/>
          <w:u w:val="single"/>
        </w:rPr>
        <w:t xml:space="preserve">   </w:t>
      </w:r>
      <w:r>
        <w:rPr>
          <w:rFonts w:hint="eastAsia" w:eastAsia="宋体" w:cs="宋体"/>
          <w:sz w:val="21"/>
          <w:szCs w:val="21"/>
        </w:rPr>
        <w:t>年后一次性无息付清。</w:t>
      </w:r>
    </w:p>
    <w:p>
      <w:pPr>
        <w:pStyle w:val="29"/>
        <w:spacing w:line="276" w:lineRule="auto"/>
        <w:rPr>
          <w:rFonts w:hint="eastAsia" w:eastAsia="宋体" w:cs="宋体"/>
          <w:sz w:val="21"/>
          <w:szCs w:val="21"/>
        </w:rPr>
      </w:pPr>
      <w:r>
        <w:rPr>
          <w:rFonts w:hint="eastAsia" w:eastAsia="宋体" w:cs="宋体"/>
          <w:sz w:val="21"/>
          <w:szCs w:val="21"/>
        </w:rPr>
        <w:t>以上付款均以人民币通过银行支付, 付款前需提供我校财务处认可的增值税发票（仪器设备须开增值税专用发票）。</w:t>
      </w:r>
    </w:p>
    <w:p>
      <w:pPr>
        <w:pStyle w:val="29"/>
        <w:spacing w:line="276" w:lineRule="auto"/>
        <w:jc w:val="left"/>
        <w:rPr>
          <w:rFonts w:hint="eastAsia" w:eastAsia="宋体" w:cs="宋体"/>
          <w:sz w:val="21"/>
          <w:szCs w:val="21"/>
        </w:rPr>
      </w:pPr>
      <w:r>
        <w:rPr>
          <w:rFonts w:hint="eastAsia" w:eastAsia="宋体" w:cs="宋体"/>
          <w:sz w:val="21"/>
          <w:szCs w:val="21"/>
        </w:rPr>
        <w:t>甲方发票开票信息</w:t>
      </w:r>
    </w:p>
    <w:p>
      <w:pPr>
        <w:pStyle w:val="29"/>
        <w:spacing w:line="276" w:lineRule="auto"/>
        <w:jc w:val="left"/>
        <w:rPr>
          <w:rFonts w:hint="eastAsia" w:eastAsia="宋体" w:cs="宋体"/>
          <w:sz w:val="21"/>
          <w:szCs w:val="21"/>
        </w:rPr>
      </w:pPr>
      <w:r>
        <w:rPr>
          <w:rFonts w:hint="eastAsia" w:eastAsia="宋体" w:cs="宋体"/>
          <w:sz w:val="21"/>
          <w:szCs w:val="21"/>
        </w:rPr>
        <w:t>甲方名称：江苏医药职业学院纳税人识别号：123200004660027966</w:t>
      </w:r>
    </w:p>
    <w:p>
      <w:pPr>
        <w:pStyle w:val="29"/>
        <w:spacing w:line="276" w:lineRule="auto"/>
        <w:jc w:val="left"/>
        <w:rPr>
          <w:rFonts w:hint="eastAsia" w:eastAsia="宋体" w:cs="宋体"/>
          <w:sz w:val="21"/>
          <w:szCs w:val="21"/>
        </w:rPr>
      </w:pPr>
      <w:r>
        <w:rPr>
          <w:rFonts w:hint="eastAsia" w:eastAsia="宋体" w:cs="宋体"/>
          <w:sz w:val="21"/>
          <w:szCs w:val="21"/>
        </w:rPr>
        <w:t>开户行及账号：建设银行盐城城南支行  32001735038052500575</w:t>
      </w:r>
    </w:p>
    <w:p>
      <w:pPr>
        <w:pStyle w:val="29"/>
        <w:spacing w:line="276" w:lineRule="auto"/>
        <w:jc w:val="left"/>
        <w:rPr>
          <w:rFonts w:hint="eastAsia" w:eastAsia="宋体" w:cs="宋体"/>
          <w:sz w:val="21"/>
          <w:szCs w:val="21"/>
        </w:rPr>
      </w:pPr>
      <w:r>
        <w:rPr>
          <w:rFonts w:hint="eastAsia" w:eastAsia="宋体" w:cs="宋体"/>
          <w:sz w:val="21"/>
          <w:szCs w:val="21"/>
        </w:rPr>
        <w:t>乙方收取货款开户行名称、账号等信息：</w:t>
      </w:r>
    </w:p>
    <w:p>
      <w:pPr>
        <w:pStyle w:val="29"/>
        <w:spacing w:line="276" w:lineRule="auto"/>
        <w:jc w:val="left"/>
        <w:rPr>
          <w:rFonts w:hint="eastAsia" w:eastAsia="宋体" w:cs="宋体"/>
          <w:sz w:val="21"/>
          <w:szCs w:val="21"/>
        </w:rPr>
      </w:pPr>
      <w:r>
        <w:rPr>
          <w:rFonts w:hint="eastAsia" w:eastAsia="宋体" w:cs="宋体"/>
          <w:sz w:val="21"/>
          <w:szCs w:val="21"/>
        </w:rPr>
        <w:t xml:space="preserve">单位名称： </w:t>
      </w:r>
    </w:p>
    <w:p>
      <w:pPr>
        <w:pStyle w:val="29"/>
        <w:spacing w:line="276" w:lineRule="auto"/>
        <w:jc w:val="left"/>
        <w:rPr>
          <w:rFonts w:hint="eastAsia" w:eastAsia="宋体" w:cs="宋体"/>
          <w:sz w:val="21"/>
          <w:szCs w:val="21"/>
        </w:rPr>
      </w:pPr>
      <w:r>
        <w:rPr>
          <w:rFonts w:hint="eastAsia" w:eastAsia="宋体" w:cs="宋体"/>
          <w:sz w:val="21"/>
          <w:szCs w:val="21"/>
        </w:rPr>
        <w:t>开户行名称：</w:t>
      </w:r>
    </w:p>
    <w:p>
      <w:pPr>
        <w:pStyle w:val="29"/>
        <w:spacing w:line="276" w:lineRule="auto"/>
        <w:jc w:val="left"/>
        <w:rPr>
          <w:rFonts w:hint="eastAsia" w:eastAsia="宋体" w:cs="宋体"/>
          <w:sz w:val="21"/>
          <w:szCs w:val="21"/>
        </w:rPr>
      </w:pPr>
      <w:r>
        <w:rPr>
          <w:rFonts w:hint="eastAsia" w:eastAsia="宋体" w:cs="宋体"/>
          <w:sz w:val="21"/>
          <w:szCs w:val="21"/>
        </w:rPr>
        <w:t>行号：</w:t>
      </w:r>
    </w:p>
    <w:p>
      <w:pPr>
        <w:pStyle w:val="57"/>
        <w:wordWrap/>
        <w:spacing w:line="276" w:lineRule="auto"/>
        <w:ind w:firstLine="422"/>
        <w:outlineLvl w:val="9"/>
        <w:rPr>
          <w:rFonts w:hint="eastAsia" w:ascii="宋体" w:hAnsi="宋体" w:eastAsia="宋体" w:cs="宋体"/>
          <w:b/>
          <w:sz w:val="21"/>
          <w:szCs w:val="21"/>
        </w:rPr>
      </w:pPr>
      <w:bookmarkStart w:id="197" w:name="_Toc30748"/>
      <w:r>
        <w:rPr>
          <w:rFonts w:hint="eastAsia" w:ascii="宋体" w:hAnsi="宋体" w:eastAsia="宋体" w:cs="宋体"/>
          <w:b/>
          <w:sz w:val="21"/>
          <w:szCs w:val="21"/>
        </w:rPr>
        <w:t>十、违约责任</w:t>
      </w:r>
      <w:bookmarkEnd w:id="197"/>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2、甲方应配合乙方的工作，若因甲方原因造成乙方未完成规定采购内容，甲方不得扣除乙方相应费用。</w:t>
      </w:r>
    </w:p>
    <w:p>
      <w:pPr>
        <w:pStyle w:val="60"/>
        <w:wordWrap/>
        <w:spacing w:line="276" w:lineRule="auto"/>
        <w:ind w:firstLine="420"/>
        <w:outlineLvl w:val="9"/>
        <w:rPr>
          <w:rFonts w:hint="eastAsia" w:ascii="宋体" w:hAnsi="宋体" w:eastAsia="宋体" w:cs="宋体"/>
          <w:sz w:val="21"/>
          <w:szCs w:val="21"/>
        </w:rPr>
      </w:pPr>
      <w:r>
        <w:rPr>
          <w:rFonts w:hint="eastAsia" w:ascii="宋体" w:hAnsi="宋体" w:eastAsia="宋体" w:cs="宋体"/>
          <w:sz w:val="21"/>
          <w:szCs w:val="21"/>
        </w:rPr>
        <w:t>3、如因乙方自身原因，不履行合同义务或者履行合同义务不符合约定的，应当承担继续履行、采取补救措施或者由甲方扣除相应合同价款作为对甲方造成损失的赔偿。</w:t>
      </w:r>
    </w:p>
    <w:p>
      <w:pPr>
        <w:pStyle w:val="58"/>
        <w:wordWrap/>
        <w:spacing w:line="276" w:lineRule="auto"/>
        <w:ind w:firstLine="420"/>
        <w:outlineLvl w:val="9"/>
        <w:rPr>
          <w:rFonts w:hint="eastAsia" w:ascii="宋体" w:hAnsi="宋体" w:eastAsia="宋体" w:cs="宋体"/>
          <w:b w:val="0"/>
          <w:sz w:val="21"/>
          <w:szCs w:val="21"/>
        </w:rPr>
      </w:pPr>
      <w:r>
        <w:rPr>
          <w:rFonts w:hint="eastAsia" w:ascii="宋体" w:hAnsi="宋体" w:eastAsia="宋体" w:cs="宋体"/>
          <w:b w:val="0"/>
          <w:sz w:val="21"/>
          <w:szCs w:val="21"/>
        </w:rPr>
        <w:t>4、如乙方未按照本合同的约定期限交货的，则每迟延1日，应向甲方支付合同总价款1％的违约金；迟延超过10日的，甲方有权单方解除本合同。</w:t>
      </w:r>
    </w:p>
    <w:p>
      <w:pPr>
        <w:pStyle w:val="58"/>
        <w:wordWrap/>
        <w:spacing w:line="276" w:lineRule="auto"/>
        <w:ind w:firstLine="420"/>
        <w:outlineLvl w:val="9"/>
        <w:rPr>
          <w:rFonts w:hint="eastAsia" w:ascii="宋体" w:hAnsi="宋体" w:eastAsia="宋体" w:cs="宋体"/>
          <w:b w:val="0"/>
          <w:sz w:val="21"/>
          <w:szCs w:val="21"/>
        </w:rPr>
      </w:pPr>
      <w:r>
        <w:rPr>
          <w:rFonts w:hint="eastAsia" w:ascii="宋体" w:hAnsi="宋体" w:eastAsia="宋体" w:cs="宋体"/>
          <w:b w:val="0"/>
          <w:sz w:val="21"/>
          <w:szCs w:val="21"/>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pStyle w:val="58"/>
        <w:wordWrap/>
        <w:spacing w:line="276" w:lineRule="auto"/>
        <w:ind w:firstLine="420"/>
        <w:outlineLvl w:val="9"/>
        <w:rPr>
          <w:rFonts w:hint="eastAsia" w:ascii="宋体" w:hAnsi="宋体" w:eastAsia="宋体" w:cs="宋体"/>
          <w:b w:val="0"/>
          <w:sz w:val="21"/>
          <w:szCs w:val="21"/>
        </w:rPr>
      </w:pPr>
      <w:r>
        <w:rPr>
          <w:rFonts w:hint="eastAsia" w:ascii="宋体" w:hAnsi="宋体" w:eastAsia="宋体" w:cs="宋体"/>
          <w:b w:val="0"/>
          <w:sz w:val="21"/>
          <w:szCs w:val="21"/>
        </w:rPr>
        <w:t>6、乙方未经甲方书面同意将本合同的全部或部分义务转让给第三方，或者将合同权利、对甲方享有的债权转让给第三方的，该等转让对甲方无效，且甲方有权单方解除本合同。</w:t>
      </w:r>
    </w:p>
    <w:p>
      <w:pPr>
        <w:pStyle w:val="58"/>
        <w:wordWrap/>
        <w:spacing w:line="276" w:lineRule="auto"/>
        <w:ind w:firstLine="420"/>
        <w:outlineLvl w:val="9"/>
        <w:rPr>
          <w:rFonts w:hint="eastAsia" w:ascii="宋体" w:hAnsi="宋体" w:eastAsia="宋体" w:cs="宋体"/>
          <w:b w:val="0"/>
          <w:sz w:val="21"/>
          <w:szCs w:val="21"/>
        </w:rPr>
      </w:pPr>
      <w:r>
        <w:rPr>
          <w:rFonts w:hint="eastAsia" w:ascii="宋体" w:hAnsi="宋体" w:eastAsia="宋体" w:cs="宋体"/>
          <w:b w:val="0"/>
          <w:sz w:val="21"/>
          <w:szCs w:val="21"/>
        </w:rPr>
        <w:t>7、乙方提供的货物不属于生产厂家的原装正品的，甲方有权单方解除合同。</w:t>
      </w:r>
    </w:p>
    <w:p>
      <w:pPr>
        <w:pStyle w:val="58"/>
        <w:wordWrap/>
        <w:spacing w:line="276" w:lineRule="auto"/>
        <w:ind w:firstLine="420"/>
        <w:outlineLvl w:val="9"/>
        <w:rPr>
          <w:rFonts w:hint="eastAsia" w:ascii="宋体" w:hAnsi="宋体" w:eastAsia="宋体" w:cs="宋体"/>
          <w:b w:val="0"/>
          <w:sz w:val="21"/>
          <w:szCs w:val="21"/>
        </w:rPr>
      </w:pPr>
      <w:r>
        <w:rPr>
          <w:rFonts w:hint="eastAsia" w:ascii="宋体" w:hAnsi="宋体" w:eastAsia="宋体" w:cs="宋体"/>
          <w:b w:val="0"/>
          <w:sz w:val="21"/>
          <w:szCs w:val="21"/>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pStyle w:val="58"/>
        <w:wordWrap/>
        <w:spacing w:line="276" w:lineRule="auto"/>
        <w:ind w:firstLine="420"/>
        <w:outlineLvl w:val="9"/>
        <w:rPr>
          <w:rFonts w:hint="eastAsia" w:ascii="宋体" w:hAnsi="宋体" w:eastAsia="宋体" w:cs="宋体"/>
          <w:b w:val="0"/>
          <w:sz w:val="21"/>
          <w:szCs w:val="21"/>
        </w:rPr>
      </w:pPr>
      <w:r>
        <w:rPr>
          <w:rFonts w:hint="eastAsia" w:ascii="宋体" w:hAnsi="宋体" w:eastAsia="宋体" w:cs="宋体"/>
          <w:b w:val="0"/>
          <w:sz w:val="21"/>
          <w:szCs w:val="21"/>
        </w:rPr>
        <w:t>9、因乙方存在其他违约行为或因乙方原因导致合同目的无法实现或合同无法继续履行的，甲方有权解除合同。</w:t>
      </w:r>
    </w:p>
    <w:p>
      <w:pPr>
        <w:pStyle w:val="58"/>
        <w:wordWrap/>
        <w:spacing w:line="276" w:lineRule="auto"/>
        <w:ind w:firstLine="420"/>
        <w:outlineLvl w:val="9"/>
        <w:rPr>
          <w:rFonts w:hint="eastAsia" w:ascii="宋体" w:hAnsi="宋体" w:eastAsia="宋体" w:cs="宋体"/>
          <w:b w:val="0"/>
          <w:sz w:val="21"/>
          <w:szCs w:val="21"/>
        </w:rPr>
      </w:pPr>
      <w:r>
        <w:rPr>
          <w:rFonts w:hint="eastAsia" w:ascii="宋体" w:hAnsi="宋体" w:eastAsia="宋体" w:cs="宋体"/>
          <w:b w:val="0"/>
          <w:sz w:val="21"/>
          <w:szCs w:val="21"/>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pStyle w:val="58"/>
        <w:wordWrap/>
        <w:spacing w:line="276" w:lineRule="auto"/>
        <w:ind w:firstLine="420"/>
        <w:outlineLvl w:val="9"/>
        <w:rPr>
          <w:rFonts w:hint="eastAsia" w:ascii="宋体" w:hAnsi="宋体" w:eastAsia="宋体" w:cs="宋体"/>
          <w:b w:val="0"/>
          <w:sz w:val="21"/>
          <w:szCs w:val="21"/>
        </w:rPr>
      </w:pPr>
      <w:r>
        <w:rPr>
          <w:rFonts w:hint="eastAsia" w:ascii="宋体" w:hAnsi="宋体" w:eastAsia="宋体" w:cs="宋体"/>
          <w:b w:val="0"/>
          <w:sz w:val="21"/>
          <w:szCs w:val="21"/>
        </w:rPr>
        <w:t>11、本合同所涉及全部违约金，甲方均有权从未付合同价款中扣除，乙方对此无异议。</w:t>
      </w:r>
    </w:p>
    <w:p>
      <w:pPr>
        <w:pStyle w:val="57"/>
        <w:wordWrap/>
        <w:spacing w:line="276" w:lineRule="auto"/>
        <w:ind w:firstLine="422"/>
        <w:outlineLvl w:val="9"/>
        <w:rPr>
          <w:rFonts w:hint="eastAsia" w:ascii="宋体" w:hAnsi="宋体" w:eastAsia="宋体" w:cs="宋体"/>
          <w:b/>
          <w:sz w:val="21"/>
          <w:szCs w:val="21"/>
        </w:rPr>
      </w:pPr>
      <w:bookmarkStart w:id="198" w:name="_Toc2189"/>
      <w:r>
        <w:rPr>
          <w:rFonts w:hint="eastAsia" w:ascii="宋体" w:hAnsi="宋体" w:eastAsia="宋体" w:cs="宋体"/>
          <w:b/>
          <w:sz w:val="21"/>
          <w:szCs w:val="21"/>
        </w:rPr>
        <w:t>十一、合同解除</w:t>
      </w:r>
      <w:bookmarkEnd w:id="198"/>
    </w:p>
    <w:p>
      <w:pPr>
        <w:pStyle w:val="57"/>
        <w:wordWrap/>
        <w:spacing w:line="276" w:lineRule="auto"/>
        <w:ind w:firstLine="420"/>
        <w:outlineLvl w:val="9"/>
        <w:rPr>
          <w:rFonts w:hint="eastAsia" w:ascii="宋体" w:hAnsi="宋体" w:eastAsia="宋体" w:cs="宋体"/>
          <w:sz w:val="21"/>
          <w:szCs w:val="21"/>
        </w:rPr>
      </w:pPr>
      <w:bookmarkStart w:id="199" w:name="_Toc10251"/>
      <w:r>
        <w:rPr>
          <w:rFonts w:hint="eastAsia" w:ascii="宋体" w:hAnsi="宋体" w:eastAsia="宋体" w:cs="宋体"/>
          <w:sz w:val="21"/>
          <w:szCs w:val="21"/>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199"/>
    </w:p>
    <w:p>
      <w:pPr>
        <w:pStyle w:val="57"/>
        <w:wordWrap/>
        <w:spacing w:line="276" w:lineRule="auto"/>
        <w:ind w:firstLine="420"/>
        <w:outlineLvl w:val="9"/>
        <w:rPr>
          <w:rFonts w:hint="eastAsia" w:ascii="宋体" w:hAnsi="宋体" w:eastAsia="宋体" w:cs="宋体"/>
          <w:sz w:val="21"/>
          <w:szCs w:val="21"/>
        </w:rPr>
      </w:pPr>
      <w:bookmarkStart w:id="200" w:name="_Toc11278"/>
      <w:r>
        <w:rPr>
          <w:rFonts w:hint="eastAsia" w:ascii="宋体" w:hAnsi="宋体" w:eastAsia="宋体" w:cs="宋体"/>
          <w:sz w:val="21"/>
          <w:szCs w:val="21"/>
        </w:rPr>
        <w:t>2、按合同约定或法律规定，解除合同的事由发生时，解除权人可以解除合同。享有解除权的一方应当自解除事由发生之日起三年内行使解除权，期限届满不行使的，解除权消灭。</w:t>
      </w:r>
      <w:bookmarkEnd w:id="200"/>
    </w:p>
    <w:p>
      <w:pPr>
        <w:pStyle w:val="57"/>
        <w:wordWrap/>
        <w:spacing w:line="276" w:lineRule="auto"/>
        <w:ind w:firstLine="422"/>
        <w:outlineLvl w:val="9"/>
        <w:rPr>
          <w:rFonts w:hint="eastAsia" w:ascii="宋体" w:hAnsi="宋体" w:eastAsia="宋体" w:cs="宋体"/>
          <w:b/>
          <w:sz w:val="21"/>
          <w:szCs w:val="21"/>
        </w:rPr>
      </w:pPr>
      <w:bookmarkStart w:id="201" w:name="_Toc14778"/>
      <w:r>
        <w:rPr>
          <w:rFonts w:hint="eastAsia" w:ascii="宋体" w:hAnsi="宋体" w:eastAsia="宋体" w:cs="宋体"/>
          <w:b/>
          <w:sz w:val="21"/>
          <w:szCs w:val="21"/>
        </w:rPr>
        <w:t>十二、不可抗力</w:t>
      </w:r>
      <w:bookmarkEnd w:id="201"/>
    </w:p>
    <w:p>
      <w:pPr>
        <w:pStyle w:val="57"/>
        <w:wordWrap/>
        <w:spacing w:line="276" w:lineRule="auto"/>
        <w:ind w:firstLine="420"/>
        <w:outlineLvl w:val="9"/>
        <w:rPr>
          <w:rFonts w:hint="eastAsia" w:ascii="宋体" w:hAnsi="宋体" w:eastAsia="宋体" w:cs="宋体"/>
          <w:sz w:val="21"/>
          <w:szCs w:val="21"/>
        </w:rPr>
      </w:pPr>
      <w:bookmarkStart w:id="202" w:name="_Toc16393"/>
      <w:r>
        <w:rPr>
          <w:rFonts w:hint="eastAsia" w:ascii="宋体" w:hAnsi="宋体" w:eastAsia="宋体" w:cs="宋体"/>
          <w:sz w:val="21"/>
          <w:szCs w:val="21"/>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202"/>
    </w:p>
    <w:p>
      <w:pPr>
        <w:pStyle w:val="57"/>
        <w:wordWrap/>
        <w:spacing w:line="276" w:lineRule="auto"/>
        <w:ind w:firstLine="420"/>
        <w:outlineLvl w:val="9"/>
        <w:rPr>
          <w:rFonts w:hint="eastAsia" w:ascii="宋体" w:hAnsi="宋体" w:eastAsia="宋体" w:cs="宋体"/>
          <w:sz w:val="21"/>
          <w:szCs w:val="21"/>
        </w:rPr>
      </w:pPr>
      <w:bookmarkStart w:id="203" w:name="_Toc27092"/>
      <w:r>
        <w:rPr>
          <w:rFonts w:hint="eastAsia" w:ascii="宋体" w:hAnsi="宋体" w:eastAsia="宋体" w:cs="宋体"/>
          <w:sz w:val="21"/>
          <w:szCs w:val="21"/>
        </w:rPr>
        <w:t>2、双方确定，因发生不可抗力，致使本合同的履行成为不必要或不可能的，一方应当及时通知另一方解除合同。如果一方未及时通知对方或未采取必要措施，责任方须对扩大的损失承担赔偿责任。</w:t>
      </w:r>
      <w:bookmarkEnd w:id="203"/>
    </w:p>
    <w:p>
      <w:pPr>
        <w:pStyle w:val="57"/>
        <w:wordWrap/>
        <w:spacing w:line="276" w:lineRule="auto"/>
        <w:ind w:firstLine="422"/>
        <w:outlineLvl w:val="9"/>
        <w:rPr>
          <w:rFonts w:hint="eastAsia" w:ascii="宋体" w:hAnsi="宋体" w:eastAsia="宋体" w:cs="宋体"/>
          <w:b/>
          <w:sz w:val="21"/>
          <w:szCs w:val="21"/>
        </w:rPr>
      </w:pPr>
      <w:bookmarkStart w:id="204" w:name="_Toc5695"/>
      <w:r>
        <w:rPr>
          <w:rFonts w:hint="eastAsia" w:ascii="宋体" w:hAnsi="宋体" w:eastAsia="宋体" w:cs="宋体"/>
          <w:b/>
          <w:sz w:val="21"/>
          <w:szCs w:val="21"/>
        </w:rPr>
        <w:t>十三、通知与送达</w:t>
      </w:r>
      <w:bookmarkEnd w:id="204"/>
    </w:p>
    <w:p>
      <w:pPr>
        <w:pStyle w:val="57"/>
        <w:wordWrap/>
        <w:spacing w:line="276" w:lineRule="auto"/>
        <w:ind w:firstLine="420"/>
        <w:outlineLvl w:val="9"/>
        <w:rPr>
          <w:rFonts w:hint="eastAsia" w:ascii="宋体" w:hAnsi="宋体" w:eastAsia="宋体" w:cs="宋体"/>
          <w:sz w:val="21"/>
          <w:szCs w:val="21"/>
        </w:rPr>
      </w:pPr>
      <w:bookmarkStart w:id="205" w:name="_Toc13263"/>
      <w:r>
        <w:rPr>
          <w:rFonts w:hint="eastAsia" w:ascii="宋体" w:hAnsi="宋体" w:eastAsia="宋体" w:cs="宋体"/>
          <w:sz w:val="21"/>
          <w:szCs w:val="21"/>
        </w:rPr>
        <w:t>1、乙方的通知与送达方式为：</w:t>
      </w:r>
      <w:bookmarkEnd w:id="205"/>
    </w:p>
    <w:p>
      <w:pPr>
        <w:pStyle w:val="57"/>
        <w:wordWrap/>
        <w:spacing w:line="276" w:lineRule="auto"/>
        <w:ind w:firstLine="420"/>
        <w:outlineLvl w:val="9"/>
        <w:rPr>
          <w:rFonts w:hint="eastAsia" w:ascii="宋体" w:hAnsi="宋体" w:eastAsia="宋体" w:cs="宋体"/>
          <w:sz w:val="21"/>
          <w:szCs w:val="21"/>
        </w:rPr>
      </w:pPr>
      <w:bookmarkStart w:id="206" w:name="_Toc21018"/>
      <w:r>
        <w:rPr>
          <w:rFonts w:hint="eastAsia" w:ascii="宋体" w:hAnsi="宋体" w:eastAsia="宋体" w:cs="宋体"/>
          <w:sz w:val="21"/>
          <w:szCs w:val="21"/>
        </w:rPr>
        <w:t>乙方：</w:t>
      </w:r>
      <w:bookmarkEnd w:id="206"/>
    </w:p>
    <w:p>
      <w:pPr>
        <w:pStyle w:val="57"/>
        <w:wordWrap/>
        <w:spacing w:line="276" w:lineRule="auto"/>
        <w:ind w:firstLine="420"/>
        <w:outlineLvl w:val="9"/>
        <w:rPr>
          <w:rFonts w:hint="eastAsia" w:ascii="宋体" w:hAnsi="宋体" w:eastAsia="宋体" w:cs="宋体"/>
          <w:sz w:val="21"/>
          <w:szCs w:val="21"/>
        </w:rPr>
      </w:pPr>
      <w:bookmarkStart w:id="207" w:name="_Toc13102"/>
      <w:r>
        <w:rPr>
          <w:rFonts w:hint="eastAsia" w:ascii="宋体" w:hAnsi="宋体" w:eastAsia="宋体" w:cs="宋体"/>
          <w:sz w:val="21"/>
          <w:szCs w:val="21"/>
        </w:rPr>
        <w:t>通讯地址：                      ；</w:t>
      </w:r>
      <w:bookmarkEnd w:id="207"/>
    </w:p>
    <w:p>
      <w:pPr>
        <w:pStyle w:val="57"/>
        <w:wordWrap/>
        <w:spacing w:line="276" w:lineRule="auto"/>
        <w:ind w:firstLine="420"/>
        <w:outlineLvl w:val="9"/>
        <w:rPr>
          <w:rFonts w:hint="eastAsia" w:ascii="宋体" w:hAnsi="宋体" w:eastAsia="宋体" w:cs="宋体"/>
          <w:sz w:val="21"/>
          <w:szCs w:val="21"/>
        </w:rPr>
      </w:pPr>
      <w:bookmarkStart w:id="208" w:name="_Toc30307"/>
      <w:r>
        <w:rPr>
          <w:rFonts w:hint="eastAsia" w:ascii="宋体" w:hAnsi="宋体" w:eastAsia="宋体" w:cs="宋体"/>
          <w:sz w:val="21"/>
          <w:szCs w:val="21"/>
        </w:rPr>
        <w:t>联系人：                        ；联系电话（手机）：</w:t>
      </w:r>
      <w:bookmarkEnd w:id="208"/>
    </w:p>
    <w:p>
      <w:pPr>
        <w:pStyle w:val="57"/>
        <w:wordWrap/>
        <w:spacing w:line="276" w:lineRule="auto"/>
        <w:ind w:firstLine="420"/>
        <w:outlineLvl w:val="9"/>
        <w:rPr>
          <w:rFonts w:hint="eastAsia" w:ascii="宋体" w:hAnsi="宋体" w:eastAsia="宋体" w:cs="宋体"/>
          <w:sz w:val="21"/>
          <w:szCs w:val="21"/>
        </w:rPr>
      </w:pPr>
      <w:bookmarkStart w:id="209" w:name="_Toc7285"/>
      <w:r>
        <w:rPr>
          <w:rFonts w:hint="eastAsia" w:ascii="宋体" w:hAnsi="宋体" w:eastAsia="宋体" w:cs="宋体"/>
          <w:sz w:val="21"/>
          <w:szCs w:val="21"/>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209"/>
    </w:p>
    <w:p>
      <w:pPr>
        <w:pStyle w:val="57"/>
        <w:wordWrap/>
        <w:spacing w:line="276" w:lineRule="auto"/>
        <w:ind w:firstLine="420"/>
        <w:outlineLvl w:val="9"/>
        <w:rPr>
          <w:rFonts w:hint="eastAsia" w:ascii="宋体" w:hAnsi="宋体" w:eastAsia="宋体" w:cs="宋体"/>
          <w:sz w:val="21"/>
          <w:szCs w:val="21"/>
        </w:rPr>
      </w:pPr>
      <w:bookmarkStart w:id="210" w:name="_Toc985"/>
      <w:r>
        <w:rPr>
          <w:rFonts w:hint="eastAsia" w:ascii="宋体" w:hAnsi="宋体" w:eastAsia="宋体" w:cs="宋体"/>
          <w:sz w:val="21"/>
          <w:szCs w:val="21"/>
        </w:rPr>
        <w:t>3、乙方必须保证本合同约定的联络方式真实有效，乙方前述联系方式不真实、不准确或未留联系方式，一切责任均由乙方承担。联系方式如有变更，必须于变更后3日内书面通知甲方。否则，甲方按照本合同约定的通知与送达方式向其发出的任何通知均视为合法有效。乙方拒收、不在指定地址或联系不上导致通知被退回，均视为通知已经合法有效送达。</w:t>
      </w:r>
      <w:bookmarkEnd w:id="210"/>
    </w:p>
    <w:p>
      <w:pPr>
        <w:pStyle w:val="57"/>
        <w:wordWrap/>
        <w:spacing w:line="276" w:lineRule="auto"/>
        <w:ind w:firstLine="420"/>
        <w:outlineLvl w:val="9"/>
        <w:rPr>
          <w:rFonts w:hint="eastAsia" w:ascii="宋体" w:hAnsi="宋体" w:eastAsia="宋体" w:cs="宋体"/>
          <w:sz w:val="21"/>
          <w:szCs w:val="21"/>
        </w:rPr>
      </w:pPr>
      <w:bookmarkStart w:id="211" w:name="_Toc1748"/>
      <w:r>
        <w:rPr>
          <w:rFonts w:hint="eastAsia" w:ascii="宋体" w:hAnsi="宋体" w:eastAsia="宋体" w:cs="宋体"/>
          <w:sz w:val="21"/>
          <w:szCs w:val="21"/>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211"/>
    </w:p>
    <w:p>
      <w:pPr>
        <w:pStyle w:val="57"/>
        <w:wordWrap/>
        <w:spacing w:line="276" w:lineRule="auto"/>
        <w:ind w:firstLine="422"/>
        <w:outlineLvl w:val="9"/>
        <w:rPr>
          <w:rFonts w:hint="eastAsia" w:ascii="宋体" w:hAnsi="宋体" w:eastAsia="宋体" w:cs="宋体"/>
          <w:b/>
          <w:sz w:val="21"/>
          <w:szCs w:val="21"/>
        </w:rPr>
      </w:pPr>
      <w:bookmarkStart w:id="212" w:name="_Toc16545"/>
      <w:r>
        <w:rPr>
          <w:rFonts w:hint="eastAsia" w:ascii="宋体" w:hAnsi="宋体" w:eastAsia="宋体" w:cs="宋体"/>
          <w:b/>
          <w:sz w:val="21"/>
          <w:szCs w:val="21"/>
        </w:rPr>
        <w:t>十四、争议解决方式</w:t>
      </w:r>
      <w:bookmarkEnd w:id="212"/>
    </w:p>
    <w:p>
      <w:pPr>
        <w:pStyle w:val="59"/>
        <w:wordWrap/>
        <w:spacing w:line="276" w:lineRule="auto"/>
        <w:ind w:firstLine="420"/>
        <w:rPr>
          <w:rFonts w:hint="eastAsia" w:ascii="宋体" w:hAnsi="宋体" w:eastAsia="宋体" w:cs="宋体"/>
          <w:sz w:val="21"/>
          <w:szCs w:val="21"/>
        </w:rPr>
      </w:pPr>
      <w:r>
        <w:rPr>
          <w:rFonts w:hint="eastAsia" w:ascii="宋体" w:hAnsi="宋体" w:eastAsia="宋体" w:cs="宋体"/>
          <w:sz w:val="21"/>
          <w:szCs w:val="21"/>
        </w:rPr>
        <w:t>双方因本合同发生争议，由甲、乙方协商解决，协商不成的，应向甲方住所地有管辖权的人民法院诉讼解决。</w:t>
      </w:r>
    </w:p>
    <w:p>
      <w:pPr>
        <w:pStyle w:val="57"/>
        <w:wordWrap/>
        <w:spacing w:line="276" w:lineRule="auto"/>
        <w:ind w:firstLine="422"/>
        <w:outlineLvl w:val="9"/>
        <w:rPr>
          <w:rFonts w:hint="eastAsia" w:ascii="宋体" w:hAnsi="宋体" w:eastAsia="宋体" w:cs="宋体"/>
          <w:b/>
          <w:sz w:val="21"/>
          <w:szCs w:val="21"/>
        </w:rPr>
      </w:pPr>
      <w:bookmarkStart w:id="213" w:name="_Toc16493"/>
      <w:r>
        <w:rPr>
          <w:rFonts w:hint="eastAsia" w:ascii="宋体" w:hAnsi="宋体" w:eastAsia="宋体" w:cs="宋体"/>
          <w:b/>
          <w:sz w:val="21"/>
          <w:szCs w:val="21"/>
        </w:rPr>
        <w:t>十五、</w:t>
      </w:r>
      <w:r>
        <w:rPr>
          <w:rFonts w:hint="eastAsia" w:ascii="宋体" w:hAnsi="宋体" w:eastAsia="宋体" w:cs="宋体"/>
          <w:b/>
          <w:bCs w:val="0"/>
          <w:sz w:val="21"/>
          <w:szCs w:val="21"/>
        </w:rPr>
        <w:t>合同生效及其它</w:t>
      </w:r>
      <w:bookmarkEnd w:id="213"/>
    </w:p>
    <w:p>
      <w:pPr>
        <w:autoSpaceDE w:val="0"/>
        <w:autoSpaceDN w:val="0"/>
        <w:adjustRightInd w:val="0"/>
        <w:spacing w:line="276" w:lineRule="auto"/>
        <w:ind w:firstLine="482"/>
        <w:rPr>
          <w:rFonts w:hint="eastAsia" w:ascii="宋体" w:hAnsi="宋体" w:cs="宋体"/>
          <w:szCs w:val="21"/>
          <w:lang w:val="zh-CN"/>
        </w:rPr>
      </w:pPr>
      <w:r>
        <w:rPr>
          <w:rFonts w:hint="eastAsia" w:ascii="宋体" w:hAnsi="宋体" w:cs="宋体"/>
          <w:szCs w:val="21"/>
          <w:lang w:val="zh-CN"/>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276" w:lineRule="auto"/>
        <w:ind w:firstLine="482"/>
        <w:rPr>
          <w:rFonts w:hint="eastAsia" w:ascii="宋体" w:hAnsi="宋体" w:cs="宋体"/>
          <w:szCs w:val="21"/>
          <w:lang w:val="zh-CN"/>
        </w:rPr>
      </w:pPr>
      <w:r>
        <w:rPr>
          <w:rFonts w:hint="eastAsia" w:ascii="宋体" w:hAnsi="宋体" w:cs="宋体"/>
          <w:szCs w:val="21"/>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276" w:lineRule="auto"/>
        <w:ind w:firstLine="482"/>
        <w:rPr>
          <w:rFonts w:hint="eastAsia" w:ascii="宋体" w:hAnsi="宋体" w:cs="宋体"/>
          <w:szCs w:val="21"/>
          <w:lang w:val="zh-CN"/>
        </w:rPr>
      </w:pPr>
      <w:r>
        <w:rPr>
          <w:rFonts w:hint="eastAsia" w:ascii="宋体" w:hAnsi="宋体" w:cs="宋体"/>
          <w:szCs w:val="21"/>
          <w:lang w:val="zh-CN"/>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276" w:lineRule="auto"/>
        <w:ind w:firstLine="482"/>
        <w:rPr>
          <w:rFonts w:hint="eastAsia" w:ascii="宋体" w:hAnsi="宋体" w:cs="宋体"/>
          <w:szCs w:val="21"/>
          <w:lang w:val="zh-CN"/>
        </w:rPr>
      </w:pPr>
      <w:r>
        <w:rPr>
          <w:rFonts w:hint="eastAsia" w:ascii="宋体" w:hAnsi="宋体" w:cs="宋体"/>
          <w:szCs w:val="21"/>
          <w:lang w:val="zh-CN"/>
        </w:rPr>
        <w:t>4、本合同未尽事宜，供需双方可签订补充协议，与本合同具有同等法律效力。</w:t>
      </w:r>
    </w:p>
    <w:p>
      <w:pPr>
        <w:autoSpaceDE w:val="0"/>
        <w:autoSpaceDN w:val="0"/>
        <w:adjustRightInd w:val="0"/>
        <w:spacing w:line="276" w:lineRule="auto"/>
        <w:ind w:firstLine="482"/>
        <w:rPr>
          <w:rFonts w:hint="eastAsia" w:ascii="宋体" w:hAnsi="宋体" w:cs="宋体"/>
          <w:szCs w:val="21"/>
        </w:rPr>
      </w:pPr>
      <w:r>
        <w:rPr>
          <w:rFonts w:hint="eastAsia" w:ascii="宋体" w:hAnsi="宋体" w:cs="宋体"/>
          <w:szCs w:val="21"/>
          <w:lang w:val="zh-CN"/>
        </w:rPr>
        <w:t>5、本合同相关的招投标资料/谈判纪要以及与本合同相关的其他文件均为本合同附件，与本合同具有同等法律效力。若本合同附件与本合同内容存在不一致之处，以本合同约定为准。</w:t>
      </w:r>
    </w:p>
    <w:p>
      <w:pPr>
        <w:spacing w:line="276" w:lineRule="auto"/>
        <w:ind w:firstLine="420" w:firstLineChars="200"/>
        <w:rPr>
          <w:rFonts w:hint="eastAsia" w:ascii="宋体" w:hAnsi="宋体" w:cs="宋体"/>
          <w:szCs w:val="21"/>
        </w:rPr>
      </w:pPr>
    </w:p>
    <w:p>
      <w:pPr>
        <w:spacing w:line="276" w:lineRule="auto"/>
        <w:ind w:firstLine="422" w:firstLineChars="200"/>
        <w:rPr>
          <w:rFonts w:hint="eastAsia" w:ascii="宋体" w:hAnsi="宋体" w:cs="宋体"/>
          <w:b/>
          <w:color w:val="FF0000"/>
          <w:szCs w:val="21"/>
        </w:rPr>
      </w:pPr>
      <w:r>
        <w:rPr>
          <w:rFonts w:hint="eastAsia" w:ascii="宋体" w:hAnsi="宋体" w:cs="宋体"/>
          <w:b/>
          <w:szCs w:val="21"/>
        </w:rPr>
        <w:t>附件：货物清单明细</w:t>
      </w:r>
    </w:p>
    <w:p>
      <w:pPr>
        <w:pStyle w:val="11"/>
        <w:spacing w:line="276" w:lineRule="auto"/>
        <w:rPr>
          <w:rFonts w:hint="eastAsia" w:ascii="宋体" w:hAnsi="宋体" w:eastAsia="宋体" w:cs="宋体"/>
          <w:sz w:val="21"/>
          <w:szCs w:val="21"/>
        </w:rPr>
      </w:pPr>
    </w:p>
    <w:p>
      <w:pPr>
        <w:spacing w:line="276" w:lineRule="auto"/>
        <w:ind w:firstLine="420"/>
        <w:rPr>
          <w:rFonts w:hint="eastAsia" w:ascii="宋体" w:hAnsi="宋体" w:cs="宋体"/>
          <w:szCs w:val="21"/>
        </w:rPr>
      </w:pPr>
      <w:r>
        <w:rPr>
          <w:rFonts w:hint="eastAsia" w:ascii="宋体" w:hAnsi="宋体" w:cs="宋体"/>
          <w:bCs/>
          <w:color w:val="000000"/>
          <w:szCs w:val="21"/>
        </w:rPr>
        <w:t>（以下无正文）</w:t>
      </w:r>
    </w:p>
    <w:p>
      <w:pPr>
        <w:pStyle w:val="29"/>
        <w:spacing w:line="276" w:lineRule="auto"/>
        <w:rPr>
          <w:rFonts w:hint="eastAsia" w:eastAsia="宋体" w:cs="宋体"/>
          <w:sz w:val="21"/>
          <w:szCs w:val="21"/>
        </w:rPr>
      </w:pPr>
    </w:p>
    <w:p>
      <w:pPr>
        <w:snapToGrid w:val="0"/>
        <w:spacing w:line="276" w:lineRule="auto"/>
        <w:ind w:firstLine="411" w:firstLineChars="196"/>
        <w:jc w:val="left"/>
        <w:rPr>
          <w:rFonts w:hint="eastAsia" w:ascii="宋体" w:hAnsi="宋体" w:cs="宋体"/>
          <w:szCs w:val="21"/>
        </w:rPr>
      </w:pPr>
      <w:r>
        <w:rPr>
          <w:rFonts w:hint="eastAsia" w:ascii="宋体" w:hAnsi="宋体" w:cs="宋体"/>
          <w:szCs w:val="21"/>
        </w:rPr>
        <w:t xml:space="preserve">甲方(印章): 江苏医药职业学院                   乙方(印章):                  </w:t>
      </w:r>
    </w:p>
    <w:p>
      <w:pPr>
        <w:snapToGrid w:val="0"/>
        <w:spacing w:line="276" w:lineRule="auto"/>
        <w:ind w:firstLine="420" w:firstLineChars="200"/>
        <w:jc w:val="left"/>
        <w:rPr>
          <w:rFonts w:hint="eastAsia" w:ascii="宋体" w:hAnsi="宋体" w:cs="宋体"/>
          <w:szCs w:val="21"/>
        </w:rPr>
      </w:pPr>
      <w:r>
        <w:rPr>
          <w:rFonts w:hint="eastAsia" w:ascii="宋体" w:hAnsi="宋体" w:cs="宋体"/>
          <w:szCs w:val="21"/>
        </w:rPr>
        <w:t>法定代表人或其委托代理人：                     法定代表人或其委托代理人：</w:t>
      </w:r>
    </w:p>
    <w:p>
      <w:pPr>
        <w:snapToGrid w:val="0"/>
        <w:spacing w:line="276" w:lineRule="auto"/>
        <w:ind w:firstLine="1260" w:firstLineChars="600"/>
        <w:jc w:val="left"/>
        <w:rPr>
          <w:rFonts w:hint="eastAsia" w:ascii="宋体" w:hAnsi="宋体" w:cs="宋体"/>
          <w:szCs w:val="21"/>
          <w:u w:val="single"/>
        </w:rPr>
      </w:pPr>
      <w:r>
        <w:rPr>
          <w:rFonts w:hint="eastAsia" w:ascii="宋体" w:hAnsi="宋体" w:cs="宋体"/>
          <w:szCs w:val="21"/>
        </w:rPr>
        <w:t>（签字）:                                       (签字):</w:t>
      </w:r>
    </w:p>
    <w:p>
      <w:pPr>
        <w:snapToGrid w:val="0"/>
        <w:spacing w:line="276" w:lineRule="auto"/>
        <w:ind w:left="5670" w:leftChars="200" w:hanging="5250" w:hangingChars="2500"/>
        <w:rPr>
          <w:rFonts w:hint="eastAsia" w:ascii="宋体" w:hAnsi="宋体" w:cs="宋体"/>
          <w:szCs w:val="21"/>
        </w:rPr>
      </w:pPr>
      <w:r>
        <w:rPr>
          <w:rFonts w:hint="eastAsia" w:ascii="宋体" w:hAnsi="宋体" w:cs="宋体"/>
          <w:szCs w:val="21"/>
        </w:rPr>
        <w:t xml:space="preserve">地址: 盐城市解放南路283号                     地址:                       </w:t>
      </w:r>
    </w:p>
    <w:p>
      <w:pPr>
        <w:snapToGrid w:val="0"/>
        <w:spacing w:line="276" w:lineRule="auto"/>
        <w:ind w:firstLine="420" w:firstLineChars="200"/>
        <w:rPr>
          <w:rFonts w:hint="eastAsia" w:ascii="宋体" w:hAnsi="宋体" w:cs="宋体"/>
          <w:szCs w:val="21"/>
        </w:rPr>
      </w:pPr>
      <w:r>
        <w:rPr>
          <w:rFonts w:hint="eastAsia" w:ascii="宋体" w:hAnsi="宋体" w:cs="宋体"/>
          <w:szCs w:val="21"/>
        </w:rPr>
        <w:t>电话:051588550311                              电话:</w:t>
      </w:r>
    </w:p>
    <w:p>
      <w:pPr>
        <w:snapToGrid w:val="0"/>
        <w:spacing w:line="276" w:lineRule="auto"/>
        <w:ind w:firstLine="420" w:firstLineChars="200"/>
        <w:rPr>
          <w:rFonts w:hint="eastAsia" w:ascii="宋体" w:hAnsi="宋体" w:cs="宋体"/>
          <w:szCs w:val="21"/>
        </w:rPr>
      </w:pPr>
      <w:r>
        <w:rPr>
          <w:rFonts w:hint="eastAsia" w:ascii="宋体" w:hAnsi="宋体" w:cs="宋体"/>
          <w:szCs w:val="21"/>
        </w:rPr>
        <w:t xml:space="preserve">　　                                           </w:t>
      </w:r>
    </w:p>
    <w:p>
      <w:pPr>
        <w:snapToGrid w:val="0"/>
        <w:spacing w:line="400" w:lineRule="exact"/>
        <w:ind w:firstLine="3990" w:firstLineChars="1900"/>
        <w:rPr>
          <w:rFonts w:hint="eastAsia" w:ascii="宋体" w:hAnsi="宋体" w:cs="宋体"/>
          <w:szCs w:val="21"/>
        </w:rPr>
      </w:pPr>
      <w:r>
        <w:rPr>
          <w:rFonts w:hint="eastAsia" w:ascii="宋体" w:hAnsi="宋体" w:cs="宋体"/>
          <w:szCs w:val="21"/>
        </w:rPr>
        <w:t xml:space="preserve">                   日期:    年   月   日</w:t>
      </w:r>
    </w:p>
    <w:p>
      <w:pPr>
        <w:pStyle w:val="11"/>
        <w:rPr>
          <w:rFonts w:hint="eastAsia" w:ascii="宋体" w:hAnsi="宋体" w:eastAsia="宋体" w:cs="宋体"/>
          <w:sz w:val="21"/>
          <w:szCs w:val="21"/>
        </w:rPr>
      </w:pPr>
    </w:p>
    <w:p>
      <w:pPr>
        <w:rPr>
          <w:rFonts w:hint="eastAsia" w:ascii="宋体" w:hAnsi="宋体" w:cs="宋体"/>
          <w:szCs w:val="21"/>
        </w:rPr>
      </w:pPr>
    </w:p>
    <w:p>
      <w:pPr>
        <w:pStyle w:val="2"/>
        <w:rPr>
          <w:rFonts w:hint="eastAsia" w:ascii="宋体" w:hAnsi="宋体" w:cs="宋体"/>
          <w:sz w:val="24"/>
          <w:szCs w:val="21"/>
        </w:rPr>
      </w:pPr>
      <w:r>
        <w:rPr>
          <w:rFonts w:hint="eastAsia"/>
        </w:rPr>
        <w:br w:type="page"/>
      </w:r>
    </w:p>
    <w:p>
      <w:pPr>
        <w:spacing w:line="460" w:lineRule="exact"/>
        <w:jc w:val="center"/>
        <w:outlineLvl w:val="0"/>
        <w:rPr>
          <w:rFonts w:ascii="宋体" w:hAnsi="宋体" w:cs="宋体"/>
          <w:b/>
          <w:color w:val="000000" w:themeColor="text1"/>
          <w:sz w:val="28"/>
          <w:szCs w:val="21"/>
          <w14:textFill>
            <w14:solidFill>
              <w14:schemeClr w14:val="tx1"/>
            </w14:solidFill>
          </w14:textFill>
        </w:rPr>
      </w:pPr>
      <w:bookmarkStart w:id="214" w:name="_Toc6430"/>
      <w:r>
        <w:rPr>
          <w:rFonts w:hint="eastAsia" w:ascii="宋体" w:hAnsi="宋体" w:cs="宋体"/>
          <w:b/>
          <w:color w:val="000000" w:themeColor="text1"/>
          <w:sz w:val="28"/>
          <w:szCs w:val="21"/>
          <w14:textFill>
            <w14:solidFill>
              <w14:schemeClr w14:val="tx1"/>
            </w14:solidFill>
          </w14:textFill>
        </w:rPr>
        <w:t>第四章  评标方法和标准</w:t>
      </w:r>
      <w:bookmarkEnd w:id="164"/>
      <w:bookmarkEnd w:id="165"/>
      <w:bookmarkEnd w:id="214"/>
    </w:p>
    <w:p>
      <w:pPr>
        <w:spacing w:line="240" w:lineRule="exact"/>
        <w:jc w:val="left"/>
        <w:rPr>
          <w:rFonts w:ascii="宋体" w:hAnsi="宋体" w:cs="宋体"/>
          <w:b/>
          <w:color w:val="000000" w:themeColor="text1"/>
          <w:szCs w:val="21"/>
          <w14:textFill>
            <w14:solidFill>
              <w14:schemeClr w14:val="tx1"/>
            </w14:solidFill>
          </w14:textFill>
        </w:rPr>
      </w:pPr>
    </w:p>
    <w:p>
      <w:pPr>
        <w:spacing w:line="440" w:lineRule="exact"/>
        <w:jc w:val="center"/>
        <w:outlineLvl w:val="1"/>
        <w:rPr>
          <w:rFonts w:ascii="宋体" w:hAnsi="宋体" w:cs="宋体"/>
          <w:b/>
          <w:color w:val="000000" w:themeColor="text1"/>
          <w:szCs w:val="21"/>
          <w14:textFill>
            <w14:solidFill>
              <w14:schemeClr w14:val="tx1"/>
            </w14:solidFill>
          </w14:textFill>
        </w:rPr>
      </w:pPr>
      <w:bookmarkStart w:id="215" w:name="_Toc108881187"/>
      <w:bookmarkStart w:id="216" w:name="_Toc10177"/>
      <w:bookmarkStart w:id="217" w:name="_Toc115881328"/>
      <w:r>
        <w:rPr>
          <w:rFonts w:hint="eastAsia" w:ascii="宋体" w:hAnsi="宋体" w:cs="宋体"/>
          <w:b/>
          <w:color w:val="000000" w:themeColor="text1"/>
          <w:szCs w:val="21"/>
          <w14:textFill>
            <w14:solidFill>
              <w14:schemeClr w14:val="tx1"/>
            </w14:solidFill>
          </w14:textFill>
        </w:rPr>
        <w:t>一、评标方法</w:t>
      </w:r>
      <w:bookmarkEnd w:id="215"/>
      <w:bookmarkEnd w:id="216"/>
      <w:bookmarkEnd w:id="217"/>
    </w:p>
    <w:p>
      <w:pPr>
        <w:spacing w:line="44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1.本项目采用“综合评分法”。本项目将按照法律法规及招标文件规定（投标人须知等）及本章的规定评标。</w:t>
      </w:r>
    </w:p>
    <w:p>
      <w:pPr>
        <w:spacing w:line="44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3.根据《政府采购促进中小企业发展管理办法》等有关规定，对满足价格扣除条件且在投标文件中提交了《中小企业声明函》等证明文件的投标人（投标人须知23.3），对小型和微型企业产品的价格</w:t>
      </w:r>
      <w:r>
        <w:rPr>
          <w:rFonts w:hint="eastAsia" w:ascii="宋体" w:hAnsi="宋体" w:cs="宋体"/>
          <w:b/>
          <w:color w:val="000000" w:themeColor="text1"/>
          <w:szCs w:val="21"/>
          <w:u w:val="single"/>
          <w14:textFill>
            <w14:solidFill>
              <w14:schemeClr w14:val="tx1"/>
            </w14:solidFill>
          </w14:textFill>
        </w:rPr>
        <w:t>给予20%的扣除</w:t>
      </w:r>
      <w:r>
        <w:rPr>
          <w:rFonts w:hint="eastAsia" w:ascii="宋体" w:hAnsi="宋体" w:cs="宋体"/>
          <w:color w:val="000000" w:themeColor="text1"/>
          <w:szCs w:val="21"/>
          <w14:textFill>
            <w14:solidFill>
              <w14:schemeClr w14:val="tx1"/>
            </w14:solidFill>
          </w14:textFill>
        </w:rPr>
        <w:t>，本项目对残疾人福利性单位、监狱和戒毒企业（简称监狱企业）均视同小型、微型企业，对于同时属于小微企业、监狱企业或残疾人福利性单位的，不重复进行投标报价扣除。用扣除后的价格参与评审。</w:t>
      </w:r>
    </w:p>
    <w:p>
      <w:pPr>
        <w:spacing w:line="440" w:lineRule="exact"/>
        <w:ind w:firstLine="40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4.各项评分均保证到小数点后2位；评分统计（含报价分计算）按4舍5入精确到小数点后 2 位。</w:t>
      </w:r>
    </w:p>
    <w:p>
      <w:pPr>
        <w:spacing w:line="440" w:lineRule="exact"/>
        <w:ind w:firstLine="43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5.同品牌处理办法：</w:t>
      </w:r>
    </w:p>
    <w:p>
      <w:pPr>
        <w:spacing w:line="440" w:lineRule="exact"/>
        <w:ind w:firstLine="43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5.1如采用最低评标办法，则：</w:t>
      </w:r>
      <w:r>
        <w:rPr>
          <w:rFonts w:hint="eastAsia" w:ascii="宋体" w:hAnsi="宋体" w:cs="宋体"/>
          <w:b/>
          <w:color w:val="000000" w:themeColor="text1"/>
          <w:szCs w:val="21"/>
          <w:u w:val="single"/>
          <w14:textFill>
            <w14:solidFill>
              <w14:schemeClr w14:val="tx1"/>
            </w14:solidFill>
          </w14:textFill>
        </w:rPr>
        <w:t>免费质保期最长的</w:t>
      </w:r>
      <w:r>
        <w:rPr>
          <w:rFonts w:hint="eastAsia" w:ascii="宋体" w:hAnsi="宋体" w:cs="宋体"/>
          <w:color w:val="000000" w:themeColor="text1"/>
          <w:szCs w:val="21"/>
          <w14:textFill>
            <w14:solidFill>
              <w14:schemeClr w14:val="tx1"/>
            </w14:solidFill>
          </w14:textFill>
        </w:rPr>
        <w:t>参加评标。如</w:t>
      </w:r>
      <w:r>
        <w:rPr>
          <w:rFonts w:hint="eastAsia" w:ascii="宋体" w:hAnsi="宋体" w:cs="宋体"/>
          <w:b/>
          <w:color w:val="000000" w:themeColor="text1"/>
          <w:szCs w:val="21"/>
          <w:u w:val="single"/>
          <w14:textFill>
            <w14:solidFill>
              <w14:schemeClr w14:val="tx1"/>
            </w14:solidFill>
          </w14:textFill>
        </w:rPr>
        <w:t>免费质保期</w:t>
      </w:r>
      <w:r>
        <w:rPr>
          <w:rFonts w:hint="eastAsia" w:ascii="宋体" w:hAnsi="宋体" w:cs="宋体"/>
          <w:color w:val="000000" w:themeColor="text1"/>
          <w:szCs w:val="21"/>
          <w14:textFill>
            <w14:solidFill>
              <w14:schemeClr w14:val="tx1"/>
            </w14:solidFill>
          </w14:textFill>
        </w:rPr>
        <w:t>相同的，采取随机抽取方式确定；如采用综合评标法，则：</w:t>
      </w:r>
      <w:r>
        <w:rPr>
          <w:rFonts w:hint="eastAsia" w:ascii="宋体" w:hAnsi="宋体" w:cs="宋体"/>
          <w:b/>
          <w:color w:val="000000" w:themeColor="text1"/>
          <w:szCs w:val="21"/>
          <w:u w:val="single"/>
          <w14:textFill>
            <w14:solidFill>
              <w14:schemeClr w14:val="tx1"/>
            </w14:solidFill>
          </w14:textFill>
        </w:rPr>
        <w:t>报价最低的</w:t>
      </w:r>
      <w:r>
        <w:rPr>
          <w:rFonts w:hint="eastAsia" w:ascii="宋体" w:hAnsi="宋体" w:cs="宋体"/>
          <w:color w:val="000000" w:themeColor="text1"/>
          <w:szCs w:val="21"/>
          <w14:textFill>
            <w14:solidFill>
              <w14:schemeClr w14:val="tx1"/>
            </w14:solidFill>
          </w14:textFill>
        </w:rPr>
        <w:t>参加评标。如</w:t>
      </w:r>
      <w:r>
        <w:rPr>
          <w:rFonts w:hint="eastAsia" w:ascii="宋体" w:hAnsi="宋体" w:cs="宋体"/>
          <w:b/>
          <w:color w:val="000000" w:themeColor="text1"/>
          <w:szCs w:val="21"/>
          <w:u w:val="single"/>
          <w14:textFill>
            <w14:solidFill>
              <w14:schemeClr w14:val="tx1"/>
            </w14:solidFill>
          </w14:textFill>
        </w:rPr>
        <w:t>报价相同</w:t>
      </w:r>
      <w:r>
        <w:rPr>
          <w:rFonts w:hint="eastAsia" w:ascii="宋体" w:hAnsi="宋体" w:cs="宋体"/>
          <w:color w:val="000000" w:themeColor="text1"/>
          <w:szCs w:val="21"/>
          <w14:textFill>
            <w14:solidFill>
              <w14:schemeClr w14:val="tx1"/>
            </w14:solidFill>
          </w14:textFill>
        </w:rPr>
        <w:t>的，采取随机抽取方式确定。</w:t>
      </w:r>
    </w:p>
    <w:p>
      <w:pPr>
        <w:spacing w:line="440" w:lineRule="exact"/>
        <w:ind w:firstLine="420"/>
        <w:jc w:val="left"/>
        <w:rPr>
          <w:rFonts w:ascii="宋体" w:hAnsi="宋体" w:cs="宋体"/>
          <w:b/>
          <w:color w:val="000000" w:themeColor="text1"/>
          <w:szCs w:val="21"/>
          <w14:textFill>
            <w14:solidFill>
              <w14:schemeClr w14:val="tx1"/>
            </w14:solidFill>
          </w14:textFill>
        </w:rPr>
      </w:pPr>
      <w:bookmarkStart w:id="218" w:name="_Toc115881329"/>
      <w:bookmarkStart w:id="219" w:name="_Toc108881188"/>
      <w:r>
        <w:rPr>
          <w:rFonts w:hint="eastAsia" w:ascii="宋体" w:hAnsi="宋体" w:cs="宋体"/>
          <w:color w:val="000000" w:themeColor="text1"/>
          <w:szCs w:val="21"/>
          <w14:textFill>
            <w14:solidFill>
              <w14:schemeClr w14:val="tx1"/>
            </w14:solidFill>
          </w14:textFill>
        </w:rPr>
        <w:t>5.2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440" w:lineRule="exact"/>
        <w:jc w:val="center"/>
        <w:outlineLvl w:val="1"/>
        <w:rPr>
          <w:rFonts w:ascii="宋体" w:hAnsi="宋体" w:cs="宋体"/>
          <w:b/>
          <w:color w:val="0000FF"/>
          <w:szCs w:val="21"/>
        </w:rPr>
      </w:pPr>
      <w:bookmarkStart w:id="220" w:name="_Toc3814"/>
      <w:r>
        <w:rPr>
          <w:rFonts w:hint="eastAsia" w:ascii="宋体" w:hAnsi="宋体" w:cs="宋体"/>
          <w:b/>
          <w:color w:val="000000" w:themeColor="text1"/>
          <w:szCs w:val="21"/>
          <w14:textFill>
            <w14:solidFill>
              <w14:schemeClr w14:val="tx1"/>
            </w14:solidFill>
          </w14:textFill>
        </w:rPr>
        <w:t>二、评分标准</w:t>
      </w:r>
      <w:bookmarkEnd w:id="218"/>
      <w:bookmarkEnd w:id="219"/>
      <w:bookmarkEnd w:id="220"/>
    </w:p>
    <w:tbl>
      <w:tblPr>
        <w:tblStyle w:val="30"/>
        <w:tblW w:w="97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72"/>
        <w:gridCol w:w="689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color w:val="000000"/>
                <w:kern w:val="0"/>
                <w:szCs w:val="21"/>
              </w:rPr>
            </w:pPr>
            <w:bookmarkStart w:id="221" w:name="_Toc108881189"/>
            <w:r>
              <w:rPr>
                <w:rFonts w:hint="eastAsia" w:ascii="宋体" w:hAnsi="宋体" w:cs="宋体"/>
                <w:b/>
                <w:color w:val="000000"/>
                <w:kern w:val="0"/>
                <w:szCs w:val="21"/>
              </w:rPr>
              <w:t>序号</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color w:val="000000"/>
                <w:szCs w:val="21"/>
              </w:rPr>
            </w:pPr>
            <w:r>
              <w:rPr>
                <w:rFonts w:hint="eastAsia" w:ascii="宋体" w:hAnsi="宋体" w:cs="宋体"/>
                <w:b/>
                <w:color w:val="000000"/>
                <w:kern w:val="0"/>
                <w:szCs w:val="21"/>
              </w:rPr>
              <w:t>评审项目</w:t>
            </w:r>
          </w:p>
        </w:tc>
        <w:tc>
          <w:tcPr>
            <w:tcW w:w="68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color w:val="000000"/>
                <w:szCs w:val="21"/>
              </w:rPr>
            </w:pPr>
            <w:r>
              <w:rPr>
                <w:rFonts w:hint="eastAsia" w:ascii="宋体" w:hAnsi="宋体" w:cs="宋体"/>
                <w:b/>
                <w:color w:val="000000"/>
                <w:kern w:val="0"/>
                <w:szCs w:val="21"/>
              </w:rPr>
              <w:t>评分内容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投标报价</w:t>
            </w:r>
          </w:p>
        </w:tc>
        <w:tc>
          <w:tcPr>
            <w:tcW w:w="6892" w:type="dxa"/>
            <w:tcBorders>
              <w:top w:val="single" w:color="auto" w:sz="4" w:space="0"/>
              <w:left w:val="single" w:color="auto" w:sz="4" w:space="0"/>
              <w:bottom w:val="single" w:color="auto" w:sz="4" w:space="0"/>
              <w:right w:val="single" w:color="auto" w:sz="4" w:space="0"/>
            </w:tcBorders>
            <w:noWrap w:val="0"/>
            <w:vAlign w:val="top"/>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00"/>
                <w:kern w:val="0"/>
                <w:szCs w:val="21"/>
              </w:rPr>
            </w:pPr>
            <w:r>
              <w:rPr>
                <w:rFonts w:hint="eastAsia" w:ascii="宋体" w:hAnsi="宋体" w:cs="宋体"/>
                <w:color w:val="000000"/>
                <w:kern w:val="0"/>
                <w:szCs w:val="21"/>
              </w:rPr>
              <w:t>以满足采购文件要求且投标价格最低的投标报价为评标基准价，其价格分为满分30分，其他投标人的价格分按照下列公式计算：投标报价得分=（评标基准价/投标报价）×30（小数点后保留两位，四舍五入）</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szCs w:val="21"/>
              </w:rPr>
            </w:pPr>
            <w:r>
              <w:rPr>
                <w:rFonts w:ascii="宋体" w:hAnsi="宋体" w:cs="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技术响应</w:t>
            </w:r>
          </w:p>
        </w:tc>
        <w:tc>
          <w:tcPr>
            <w:tcW w:w="6892"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宋体" w:hAnsi="宋体" w:eastAsia="宋体" w:cs="宋体"/>
              </w:rPr>
            </w:pPr>
            <w:r>
              <w:rPr>
                <w:rFonts w:hint="eastAsia" w:ascii="宋体" w:hAnsi="宋体" w:eastAsia="宋体" w:cs="宋体"/>
              </w:rPr>
              <w:t>投标产品对</w:t>
            </w:r>
            <w:r>
              <w:rPr>
                <w:rFonts w:hint="eastAsia" w:ascii="宋体" w:hAnsi="宋体" w:eastAsia="宋体" w:cs="宋体"/>
                <w:color w:val="000000"/>
                <w:kern w:val="0"/>
                <w:szCs w:val="21"/>
              </w:rPr>
              <w:t>采购</w:t>
            </w:r>
            <w:r>
              <w:rPr>
                <w:rFonts w:hint="eastAsia" w:ascii="宋体" w:hAnsi="宋体" w:eastAsia="宋体" w:cs="宋体"/>
              </w:rPr>
              <w:t>文件具体需求的响应程度能够满足</w:t>
            </w:r>
            <w:r>
              <w:rPr>
                <w:rFonts w:hint="eastAsia" w:ascii="宋体" w:hAnsi="宋体" w:eastAsia="宋体" w:cs="宋体"/>
                <w:color w:val="000000"/>
                <w:kern w:val="0"/>
                <w:szCs w:val="21"/>
              </w:rPr>
              <w:t>采购</w:t>
            </w:r>
            <w:r>
              <w:rPr>
                <w:rFonts w:hint="eastAsia" w:ascii="宋体" w:hAnsi="宋体" w:eastAsia="宋体" w:cs="宋体"/>
              </w:rPr>
              <w:t>文件技术要求的得30分。如带“★”条款存在负偏离的，每一条负偏离扣3分，负偏离≥3条的本项不得分；未带“★”条款负偏离1项扣1分，负偏离≥5条的本项不得分。</w:t>
            </w:r>
          </w:p>
          <w:p>
            <w:pPr>
              <w:widowControl/>
              <w:ind w:firstLine="420" w:firstLineChars="200"/>
              <w:jc w:val="left"/>
              <w:rPr>
                <w:rFonts w:hint="eastAsia"/>
              </w:rPr>
            </w:pPr>
            <w:r>
              <w:rPr>
                <w:rFonts w:hint="eastAsia" w:ascii="宋体" w:hAnsi="宋体" w:eastAsia="宋体" w:cs="宋体"/>
              </w:rPr>
              <w:t>投标</w:t>
            </w:r>
            <w:r>
              <w:rPr>
                <w:rFonts w:hint="eastAsia" w:ascii="宋体" w:hAnsi="宋体" w:eastAsia="宋体" w:cs="宋体"/>
                <w:lang w:val="en-US" w:eastAsia="zh-CN"/>
              </w:rPr>
              <w:t>人</w:t>
            </w:r>
            <w:r>
              <w:rPr>
                <w:rFonts w:hint="eastAsia" w:ascii="宋体" w:hAnsi="宋体" w:eastAsia="宋体" w:cs="宋体"/>
              </w:rPr>
              <w:t>需在“技术条款偏离表”中如实详细填列所投产品的技术指标，并按采购文件要求提供相应证明材料并在偏离表中标明所在页码。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szCs w:val="21"/>
              </w:rPr>
            </w:pPr>
            <w:r>
              <w:rPr>
                <w:rFonts w:hint="eastAsia" w:ascii="宋体" w:hAnsi="宋体" w:cs="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认证证书</w:t>
            </w:r>
          </w:p>
        </w:tc>
        <w:tc>
          <w:tcPr>
            <w:tcW w:w="6892"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投标人或制造商获得中国环境标志产品认证证书，认证范围包含人造板家具、金属家具、软体家具，满足得2分。</w:t>
            </w:r>
          </w:p>
          <w:p>
            <w:pPr>
              <w:widowControl/>
              <w:ind w:firstLine="420" w:firstLineChars="200"/>
              <w:jc w:val="left"/>
              <w:rPr>
                <w:rFonts w:hint="eastAsia" w:ascii="宋体" w:hAnsi="宋体" w:eastAsia="宋体" w:cs="宋体"/>
              </w:rPr>
            </w:pPr>
            <w:r>
              <w:rPr>
                <w:rFonts w:hint="eastAsia" w:ascii="宋体" w:hAnsi="宋体" w:eastAsia="宋体" w:cs="宋体"/>
              </w:rPr>
              <w:t>2、投标人或制造商获得中国绿色产品认证证书，认证范围包含人造板家具、金属家具、软体家具，满足得2分。</w:t>
            </w:r>
          </w:p>
          <w:p>
            <w:pPr>
              <w:widowControl/>
              <w:ind w:firstLine="420" w:firstLineChars="200"/>
              <w:jc w:val="left"/>
              <w:rPr>
                <w:rFonts w:hint="eastAsia" w:ascii="宋体" w:hAnsi="宋体" w:eastAsia="宋体" w:cs="宋体"/>
              </w:rPr>
            </w:pPr>
            <w:r>
              <w:rPr>
                <w:rFonts w:hint="eastAsia" w:ascii="宋体" w:hAnsi="宋体" w:eastAsia="宋体" w:cs="宋体"/>
              </w:rPr>
              <w:t>3、投标人或制造商获得有害物质限量认证证书，认证范围包含人造板家具、金属家具、钢木家具、软体家具，满足得2分。</w:t>
            </w:r>
          </w:p>
          <w:p>
            <w:pPr>
              <w:widowControl/>
              <w:ind w:firstLine="420" w:firstLineChars="200"/>
              <w:jc w:val="left"/>
              <w:rPr>
                <w:rFonts w:hint="eastAsia" w:ascii="宋体" w:hAnsi="宋体" w:eastAsia="宋体" w:cs="宋体"/>
              </w:rPr>
            </w:pPr>
            <w:r>
              <w:rPr>
                <w:rFonts w:hint="eastAsia" w:ascii="宋体" w:hAnsi="宋体" w:eastAsia="宋体" w:cs="宋体"/>
              </w:rPr>
              <w:t>4、投标人或制造商获得家具定制服务认证证书，认证范围与本项目需求相关，评级标准达到五星级及以上的得3分；评级标准达到四星级的得2分；评级标准达到三星级及三星级以下的得1分。</w:t>
            </w:r>
          </w:p>
          <w:p>
            <w:pPr>
              <w:widowControl/>
              <w:ind w:firstLine="422" w:firstLineChars="200"/>
              <w:jc w:val="left"/>
              <w:rPr>
                <w:rFonts w:hint="eastAsia" w:ascii="宋体" w:hAnsi="宋体" w:eastAsia="宋体" w:cs="宋体"/>
                <w:lang w:eastAsia="zh-CN"/>
              </w:rPr>
            </w:pPr>
            <w:r>
              <w:rPr>
                <w:rFonts w:hint="eastAsia" w:ascii="宋体" w:hAnsi="宋体" w:cs="宋体"/>
                <w:b/>
                <w:color w:val="auto"/>
                <w:szCs w:val="21"/>
              </w:rPr>
              <w:t>注：以上均需提供证书复印件加盖投标人公章</w:t>
            </w:r>
            <w:r>
              <w:rPr>
                <w:rFonts w:hint="eastAsia" w:ascii="宋体" w:hAnsi="宋体" w:cs="宋体"/>
                <w:b/>
                <w:color w:val="auto"/>
                <w:szCs w:val="21"/>
                <w:lang w:eastAsia="zh-CN"/>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体系认证</w:t>
            </w:r>
          </w:p>
        </w:tc>
        <w:tc>
          <w:tcPr>
            <w:tcW w:w="6892" w:type="dxa"/>
            <w:tcBorders>
              <w:top w:val="single" w:color="auto" w:sz="4" w:space="0"/>
              <w:left w:val="single" w:color="auto" w:sz="4" w:space="0"/>
              <w:bottom w:val="single" w:color="auto" w:sz="4" w:space="0"/>
              <w:right w:val="single" w:color="auto" w:sz="4" w:space="0"/>
            </w:tcBorders>
            <w:noWrap w:val="0"/>
            <w:vAlign w:val="center"/>
          </w:tcPr>
          <w:p>
            <w:pPr>
              <w:bidi w:val="0"/>
              <w:ind w:firstLine="210" w:firstLineChars="100"/>
              <w:rPr>
                <w:rFonts w:hint="eastAsia" w:ascii="宋体" w:hAnsi="宋体" w:eastAsia="宋体" w:cs="宋体"/>
                <w:b w:val="0"/>
                <w:bCs w:val="0"/>
                <w:lang w:val="en-US" w:eastAsia="zh-CN"/>
              </w:rPr>
            </w:pPr>
            <w:r>
              <w:rPr>
                <w:rFonts w:hint="eastAsia" w:ascii="宋体" w:hAnsi="宋体" w:eastAsia="宋体" w:cs="宋体"/>
                <w:b w:val="0"/>
                <w:bCs w:val="0"/>
              </w:rPr>
              <w:t>根据投标供应商具有的认证证书情况打分（本项最多得</w:t>
            </w:r>
            <w:r>
              <w:rPr>
                <w:rFonts w:hint="eastAsia" w:ascii="宋体" w:hAnsi="宋体" w:cs="宋体"/>
                <w:b w:val="0"/>
                <w:bCs w:val="0"/>
                <w:lang w:val="en-US" w:eastAsia="zh-CN"/>
              </w:rPr>
              <w:t>3</w:t>
            </w:r>
            <w:r>
              <w:rPr>
                <w:rFonts w:hint="eastAsia" w:ascii="宋体" w:hAnsi="宋体" w:eastAsia="宋体" w:cs="宋体"/>
                <w:b w:val="0"/>
                <w:bCs w:val="0"/>
              </w:rPr>
              <w:t>分，单个证书不重复计分）</w:t>
            </w:r>
          </w:p>
          <w:p>
            <w:pPr>
              <w:bidi w:val="0"/>
              <w:rPr>
                <w:rFonts w:hint="eastAsia" w:ascii="宋体" w:hAnsi="宋体" w:eastAsia="宋体" w:cs="宋体"/>
                <w:lang w:val="en-US" w:eastAsia="zh-CN"/>
              </w:rPr>
            </w:pPr>
            <w:r>
              <w:rPr>
                <w:rFonts w:hint="eastAsia" w:ascii="宋体" w:hAnsi="宋体" w:eastAsia="宋体" w:cs="宋体"/>
                <w:lang w:val="en-US" w:eastAsia="zh-CN"/>
              </w:rPr>
              <w:t>（1）质量</w:t>
            </w:r>
            <w:r>
              <w:rPr>
                <w:rFonts w:hint="eastAsia" w:ascii="宋体" w:hAnsi="宋体" w:eastAsia="宋体" w:cs="宋体"/>
                <w:sz w:val="21"/>
                <w:szCs w:val="21"/>
              </w:rPr>
              <w:t>管理体系认证证书</w:t>
            </w:r>
            <w:r>
              <w:rPr>
                <w:rFonts w:hint="eastAsia" w:ascii="宋体" w:hAnsi="宋体" w:eastAsia="宋体" w:cs="宋体"/>
                <w:lang w:val="en-US" w:eastAsia="zh-CN"/>
              </w:rPr>
              <w:t>，1分；</w:t>
            </w:r>
          </w:p>
          <w:p>
            <w:pPr>
              <w:bidi w:val="0"/>
              <w:rPr>
                <w:rFonts w:hint="eastAsia" w:ascii="宋体" w:hAnsi="宋体" w:eastAsia="宋体" w:cs="宋体"/>
                <w:lang w:val="en-US" w:eastAsia="zh-CN"/>
              </w:rPr>
            </w:pPr>
            <w:r>
              <w:rPr>
                <w:rFonts w:hint="eastAsia" w:ascii="宋体" w:hAnsi="宋体" w:eastAsia="宋体" w:cs="宋体"/>
                <w:lang w:val="en-US" w:eastAsia="zh-CN"/>
              </w:rPr>
              <w:t>（2）环境管理体系认证证书，1分；</w:t>
            </w:r>
          </w:p>
          <w:p>
            <w:pPr>
              <w:bidi w:val="0"/>
              <w:rPr>
                <w:rFonts w:hint="eastAsia" w:ascii="宋体" w:hAnsi="宋体" w:eastAsia="宋体" w:cs="宋体"/>
                <w:lang w:val="en-US" w:eastAsia="zh-CN"/>
              </w:rPr>
            </w:pPr>
            <w:r>
              <w:rPr>
                <w:rFonts w:hint="eastAsia" w:ascii="宋体" w:hAnsi="宋体" w:eastAsia="宋体" w:cs="宋体"/>
                <w:lang w:val="en-US" w:eastAsia="zh-CN"/>
              </w:rPr>
              <w:t>（3）职业健康安全管理体系认证证书，1分；</w:t>
            </w:r>
          </w:p>
          <w:p>
            <w:pPr>
              <w:ind w:firstLine="211" w:firstLineChars="100"/>
              <w:rPr>
                <w:rFonts w:hint="eastAsia"/>
              </w:rPr>
            </w:pPr>
            <w:r>
              <w:rPr>
                <w:rFonts w:hint="eastAsia" w:ascii="宋体" w:hAnsi="宋体" w:eastAsia="宋体" w:cs="宋体"/>
                <w:b/>
                <w:bCs/>
              </w:rPr>
              <w:t>说明：证书可在中国国家认证认可监督管理委员会（CNCA）官方网站（www.cnca.gov.cn）上查询到，且证书状态须为有效，状态无效不得分，投标文件中须提供有效内证书复印件及其在中国国家认证认可监督管理委员会官方网站上查询截图，资料不全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eastAsia"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项目业绩</w:t>
            </w:r>
          </w:p>
        </w:tc>
        <w:tc>
          <w:tcPr>
            <w:tcW w:w="6892" w:type="dxa"/>
            <w:tcBorders>
              <w:top w:val="single" w:color="auto" w:sz="4" w:space="0"/>
              <w:left w:val="single" w:color="auto" w:sz="4" w:space="0"/>
              <w:right w:val="single" w:color="auto" w:sz="4" w:space="0"/>
            </w:tcBorders>
            <w:noWrap w:val="0"/>
            <w:vAlign w:val="center"/>
          </w:tcPr>
          <w:p>
            <w:pPr>
              <w:widowControl/>
              <w:ind w:firstLine="420" w:firstLineChars="200"/>
              <w:jc w:val="left"/>
              <w:rPr>
                <w:rFonts w:hint="eastAsia"/>
              </w:rPr>
            </w:pPr>
            <w:r>
              <w:rPr>
                <w:rFonts w:hint="eastAsia"/>
              </w:rPr>
              <w:t>投标</w:t>
            </w:r>
            <w:r>
              <w:rPr>
                <w:rFonts w:hint="eastAsia"/>
                <w:lang w:val="en-US" w:eastAsia="zh-CN"/>
              </w:rPr>
              <w:t>人</w:t>
            </w:r>
            <w:r>
              <w:rPr>
                <w:rFonts w:hint="eastAsia" w:ascii="宋体" w:hAnsi="宋体" w:eastAsia="宋体" w:cs="宋体"/>
              </w:rPr>
              <w:t>自2020年</w:t>
            </w:r>
            <w:r>
              <w:rPr>
                <w:rFonts w:hint="eastAsia"/>
              </w:rPr>
              <w:t>以来至今</w:t>
            </w:r>
            <w:r>
              <w:t>（以合同签订时间为准）</w:t>
            </w:r>
            <w:r>
              <w:rPr>
                <w:rFonts w:hint="eastAsia"/>
              </w:rPr>
              <w:t>承担过</w:t>
            </w:r>
            <w:r>
              <w:t>的同类案例，每个案例需提</w:t>
            </w:r>
            <w:r>
              <w:rPr>
                <w:highlight w:val="none"/>
              </w:rPr>
              <w:t>供合同和验收报告复印件，</w:t>
            </w:r>
            <w:r>
              <w:t>每个案例得</w:t>
            </w:r>
            <w:r>
              <w:rPr>
                <w:rFonts w:hint="eastAsia"/>
              </w:rPr>
              <w:t>1</w:t>
            </w:r>
            <w:r>
              <w:t>分，最高得</w:t>
            </w:r>
            <w:r>
              <w:rPr>
                <w:rFonts w:hint="eastAsia"/>
              </w:rPr>
              <w:t>3</w:t>
            </w:r>
            <w:r>
              <w:t>分</w:t>
            </w:r>
            <w:r>
              <w:rPr>
                <w:b/>
                <w:bCs/>
              </w:rPr>
              <w:t>（同类案例是指与采购标的同品类的产品案例）</w:t>
            </w:r>
            <w:r>
              <w:rPr>
                <w:rFonts w:hint="eastAsia"/>
              </w:rPr>
              <w:t>。</w:t>
            </w:r>
          </w:p>
        </w:tc>
        <w:tc>
          <w:tcPr>
            <w:tcW w:w="708" w:type="dxa"/>
            <w:tcBorders>
              <w:top w:val="single" w:color="auto" w:sz="4" w:space="0"/>
              <w:left w:val="single" w:color="auto" w:sz="4" w:space="0"/>
              <w:right w:val="single" w:color="auto" w:sz="4" w:space="0"/>
            </w:tcBorders>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eastAsia"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1472" w:type="dxa"/>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实施方案</w:t>
            </w:r>
          </w:p>
        </w:tc>
        <w:tc>
          <w:tcPr>
            <w:tcW w:w="6892" w:type="dxa"/>
            <w:noWrap w:val="0"/>
            <w:vAlign w:val="center"/>
          </w:tcPr>
          <w:p>
            <w:pPr>
              <w:widowControl/>
              <w:ind w:firstLine="422" w:firstLineChars="200"/>
              <w:jc w:val="left"/>
              <w:rPr>
                <w:rFonts w:hint="eastAsia" w:ascii="宋体" w:hAnsi="宋体" w:eastAsia="宋体" w:cs="宋体"/>
                <w:b/>
                <w:bCs/>
                <w:lang w:eastAsia="zh-CN"/>
              </w:rPr>
            </w:pPr>
            <w:r>
              <w:rPr>
                <w:rFonts w:hint="eastAsia" w:ascii="宋体" w:hAnsi="宋体" w:eastAsia="宋体" w:cs="宋体"/>
                <w:b/>
                <w:bCs/>
              </w:rPr>
              <w:t>1、生产实施方案，要具备生产能力，在规定的时间内有计划的完成项目需求产品的生产装配：</w:t>
            </w:r>
            <w:r>
              <w:rPr>
                <w:rFonts w:hint="eastAsia" w:ascii="宋体" w:hAnsi="宋体" w:cs="宋体"/>
                <w:b/>
                <w:bCs/>
                <w:lang w:eastAsia="zh-CN"/>
              </w:rPr>
              <w:t>（</w:t>
            </w:r>
            <w:r>
              <w:rPr>
                <w:rFonts w:hint="eastAsia" w:ascii="宋体" w:hAnsi="宋体" w:cs="宋体"/>
                <w:b/>
                <w:bCs/>
                <w:lang w:val="en-US" w:eastAsia="zh-CN"/>
              </w:rPr>
              <w:t>3分</w:t>
            </w:r>
            <w:r>
              <w:rPr>
                <w:rFonts w:hint="eastAsia" w:ascii="宋体" w:hAnsi="宋体" w:cs="宋体"/>
                <w:b/>
                <w:bCs/>
                <w:lang w:eastAsia="zh-CN"/>
              </w:rPr>
              <w:t>）</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针对本项目的产品生产方案，科学、可行、针对性强</w:t>
            </w:r>
            <w:r>
              <w:rPr>
                <w:rFonts w:hint="eastAsia" w:ascii="宋体" w:hAnsi="宋体" w:eastAsia="宋体" w:cs="宋体"/>
                <w:lang w:val="en-US" w:eastAsia="zh-CN"/>
              </w:rPr>
              <w:t>2</w:t>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针对本项目的产品生产方案，合理、可行、细节待完善</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针对本项目的产品生产方案，欠合理，可行性较差，基本满足项目需要0.1-</w:t>
            </w:r>
            <w:r>
              <w:rPr>
                <w:rFonts w:hint="eastAsia" w:ascii="宋体" w:hAnsi="宋体" w:eastAsia="宋体" w:cs="宋体"/>
                <w:lang w:val="en-US" w:eastAsia="zh-CN"/>
              </w:rPr>
              <w:t>1</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未提供不得分。</w:t>
            </w:r>
          </w:p>
          <w:p>
            <w:pPr>
              <w:widowControl/>
              <w:ind w:firstLine="422" w:firstLineChars="200"/>
              <w:jc w:val="left"/>
              <w:rPr>
                <w:rFonts w:hint="eastAsia" w:ascii="宋体" w:hAnsi="宋体" w:eastAsia="宋体" w:cs="宋体"/>
              </w:rPr>
            </w:pPr>
            <w:r>
              <w:rPr>
                <w:rFonts w:hint="eastAsia" w:ascii="宋体" w:hAnsi="宋体" w:eastAsia="宋体" w:cs="宋体"/>
                <w:b/>
                <w:bCs/>
              </w:rPr>
              <w:t>2、品质管理管控，确保产品生产过程中的质量控制完善：</w:t>
            </w:r>
            <w:r>
              <w:rPr>
                <w:rFonts w:hint="eastAsia" w:ascii="宋体" w:hAnsi="宋体" w:cs="宋体"/>
                <w:b/>
                <w:bCs/>
                <w:lang w:eastAsia="zh-CN"/>
              </w:rPr>
              <w:t>（</w:t>
            </w:r>
            <w:r>
              <w:rPr>
                <w:rFonts w:hint="eastAsia" w:ascii="宋体" w:hAnsi="宋体" w:cs="宋体"/>
                <w:b/>
                <w:bCs/>
                <w:lang w:val="en-US" w:eastAsia="zh-CN"/>
              </w:rPr>
              <w:t>3分</w:t>
            </w:r>
            <w:r>
              <w:rPr>
                <w:rFonts w:hint="eastAsia" w:ascii="宋体" w:hAnsi="宋体" w:cs="宋体"/>
                <w:b/>
                <w:bCs/>
                <w:lang w:eastAsia="zh-CN"/>
              </w:rPr>
              <w:t>）</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针对本项目的产品品控方案，科学、可行、针对性强</w:t>
            </w:r>
            <w:r>
              <w:rPr>
                <w:rFonts w:hint="eastAsia" w:ascii="宋体" w:hAnsi="宋体" w:eastAsia="宋体" w:cs="宋体"/>
                <w:lang w:val="en-US" w:eastAsia="zh-CN"/>
              </w:rPr>
              <w:t>2</w:t>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针对本项目的产品品控方案，合理、可行、细节待完善</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针对本项目的产品品控方案，欠合理，可行性较差，基本满足项目需要0.1-</w:t>
            </w:r>
            <w:r>
              <w:rPr>
                <w:rFonts w:hint="eastAsia" w:ascii="宋体" w:hAnsi="宋体" w:eastAsia="宋体" w:cs="宋体"/>
                <w:lang w:val="en-US" w:eastAsia="zh-CN"/>
              </w:rPr>
              <w:t>1</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未提供不得分。</w:t>
            </w:r>
          </w:p>
          <w:p>
            <w:pPr>
              <w:widowControl/>
              <w:ind w:firstLine="422" w:firstLineChars="200"/>
              <w:jc w:val="left"/>
              <w:rPr>
                <w:rFonts w:hint="eastAsia" w:ascii="宋体" w:hAnsi="宋体" w:eastAsia="宋体" w:cs="宋体"/>
                <w:b/>
                <w:bCs/>
              </w:rPr>
            </w:pPr>
            <w:r>
              <w:rPr>
                <w:rFonts w:hint="eastAsia" w:ascii="宋体" w:hAnsi="宋体" w:eastAsia="宋体" w:cs="宋体"/>
                <w:b/>
                <w:bCs/>
              </w:rPr>
              <w:t>3、根据投标供应商针对本项目的供货方案进行评价：</w:t>
            </w:r>
            <w:r>
              <w:rPr>
                <w:rFonts w:hint="eastAsia" w:ascii="宋体" w:hAnsi="宋体" w:cs="宋体"/>
                <w:b/>
                <w:bCs/>
                <w:lang w:eastAsia="zh-CN"/>
              </w:rPr>
              <w:t>（</w:t>
            </w:r>
            <w:r>
              <w:rPr>
                <w:rFonts w:hint="eastAsia" w:ascii="宋体" w:hAnsi="宋体" w:cs="宋体"/>
                <w:b/>
                <w:bCs/>
                <w:lang w:val="en-US" w:eastAsia="zh-CN"/>
              </w:rPr>
              <w:t>3分</w:t>
            </w:r>
            <w:r>
              <w:rPr>
                <w:rFonts w:hint="eastAsia" w:ascii="宋体" w:hAnsi="宋体" w:cs="宋体"/>
                <w:b/>
                <w:bCs/>
                <w:lang w:eastAsia="zh-CN"/>
              </w:rPr>
              <w:t>）</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针对本项目的产品供</w:t>
            </w:r>
            <w:r>
              <w:rPr>
                <w:rFonts w:hint="eastAsia" w:ascii="宋体" w:hAnsi="宋体" w:eastAsia="宋体" w:cs="宋体"/>
                <w:lang w:val="en-US" w:eastAsia="zh-CN"/>
              </w:rPr>
              <w:t>2</w:t>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针对本项目的产品供货方案描述简略，仅能满足项目基础使用要求的，得</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分；</w:t>
            </w:r>
          </w:p>
          <w:p>
            <w:pPr>
              <w:widowControl/>
              <w:ind w:left="-53" w:leftChars="-202" w:hanging="371" w:hangingChars="177"/>
              <w:jc w:val="left"/>
              <w:rPr>
                <w:rFonts w:hint="eastAsia" w:ascii="宋体" w:hAnsi="宋体" w:eastAsia="宋体" w:cs="宋体"/>
              </w:rPr>
            </w:pPr>
            <w:r>
              <w:rPr>
                <w:rFonts w:hint="eastAsia" w:ascii="宋体" w:hAnsi="宋体" w:eastAsia="宋体" w:cs="宋体"/>
              </w:rPr>
              <w:t>针     对本项目的产品供货方案描述差，不能满足项目基础使用要求的，得0.1-</w:t>
            </w:r>
            <w:r>
              <w:rPr>
                <w:rFonts w:hint="eastAsia" w:ascii="宋体" w:hAnsi="宋体" w:eastAsia="宋体" w:cs="宋体"/>
                <w:lang w:val="en-US" w:eastAsia="zh-CN"/>
              </w:rPr>
              <w:t>1</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未提供方案的不得分。</w:t>
            </w:r>
          </w:p>
          <w:p>
            <w:pPr>
              <w:widowControl/>
              <w:ind w:firstLine="422" w:firstLineChars="200"/>
              <w:jc w:val="left"/>
              <w:rPr>
                <w:rFonts w:hint="eastAsia" w:ascii="宋体" w:hAnsi="宋体" w:eastAsia="宋体" w:cs="宋体"/>
                <w:b/>
                <w:bCs/>
              </w:rPr>
            </w:pPr>
            <w:r>
              <w:rPr>
                <w:rFonts w:hint="eastAsia" w:ascii="宋体" w:hAnsi="宋体" w:eastAsia="宋体" w:cs="宋体"/>
                <w:b/>
                <w:bCs/>
              </w:rPr>
              <w:t>4、安装服务实施方案，安装方案的制定，根据货物交付时间节点，落实送货安装时间和人员安排，确保按期交付使用：</w:t>
            </w:r>
            <w:r>
              <w:rPr>
                <w:rFonts w:hint="eastAsia" w:ascii="宋体" w:hAnsi="宋体" w:cs="宋体"/>
                <w:b/>
                <w:bCs/>
                <w:lang w:eastAsia="zh-CN"/>
              </w:rPr>
              <w:t>（</w:t>
            </w:r>
            <w:r>
              <w:rPr>
                <w:rFonts w:hint="eastAsia" w:ascii="宋体" w:hAnsi="宋体" w:cs="宋体"/>
                <w:b/>
                <w:bCs/>
                <w:lang w:val="en-US" w:eastAsia="zh-CN"/>
              </w:rPr>
              <w:t>3分</w:t>
            </w:r>
            <w:r>
              <w:rPr>
                <w:rFonts w:hint="eastAsia" w:ascii="宋体" w:hAnsi="宋体" w:cs="宋体"/>
                <w:b/>
                <w:bCs/>
                <w:lang w:eastAsia="zh-CN"/>
              </w:rPr>
              <w:t>）</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针对本项目的产品安装方案，科学、可行、针对性强</w:t>
            </w:r>
            <w:r>
              <w:rPr>
                <w:rFonts w:hint="eastAsia" w:ascii="宋体" w:hAnsi="宋体" w:eastAsia="宋体" w:cs="宋体"/>
                <w:lang w:val="en-US" w:eastAsia="zh-CN"/>
              </w:rPr>
              <w:t>2</w:t>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针对本项目的产品安装方案，合理、可行、细节待完善</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针对本项目的产品安装方案，欠合理，可行性较差，基本满足项目需要0.1-</w:t>
            </w:r>
            <w:r>
              <w:rPr>
                <w:rFonts w:hint="eastAsia" w:ascii="宋体" w:hAnsi="宋体" w:eastAsia="宋体" w:cs="宋体"/>
                <w:lang w:val="en-US" w:eastAsia="zh-CN"/>
              </w:rPr>
              <w:t>1</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未提供不得分。</w:t>
            </w:r>
          </w:p>
          <w:p>
            <w:pPr>
              <w:widowControl/>
              <w:ind w:firstLine="422" w:firstLineChars="200"/>
              <w:jc w:val="left"/>
              <w:rPr>
                <w:rFonts w:hint="eastAsia" w:ascii="宋体" w:hAnsi="宋体" w:eastAsia="宋体" w:cs="宋体"/>
                <w:b/>
                <w:bCs/>
              </w:rPr>
            </w:pPr>
            <w:r>
              <w:rPr>
                <w:rFonts w:hint="eastAsia" w:ascii="宋体" w:hAnsi="宋体" w:eastAsia="宋体" w:cs="宋体"/>
                <w:b/>
                <w:bCs/>
              </w:rPr>
              <w:t>5、售后服务应对方案及承诺：</w:t>
            </w:r>
            <w:r>
              <w:rPr>
                <w:rFonts w:hint="eastAsia" w:ascii="宋体" w:hAnsi="宋体" w:cs="宋体"/>
                <w:b/>
                <w:bCs/>
                <w:lang w:eastAsia="zh-CN"/>
              </w:rPr>
              <w:t>（</w:t>
            </w:r>
            <w:r>
              <w:rPr>
                <w:rFonts w:hint="eastAsia" w:ascii="宋体" w:hAnsi="宋体" w:cs="宋体"/>
                <w:b/>
                <w:bCs/>
                <w:lang w:val="en-US" w:eastAsia="zh-CN"/>
              </w:rPr>
              <w:t>3分</w:t>
            </w:r>
            <w:r>
              <w:rPr>
                <w:rFonts w:hint="eastAsia" w:ascii="宋体" w:hAnsi="宋体" w:cs="宋体"/>
                <w:b/>
                <w:bCs/>
                <w:lang w:eastAsia="zh-CN"/>
              </w:rPr>
              <w:t>）</w:t>
            </w:r>
          </w:p>
          <w:p>
            <w:pPr>
              <w:widowControl/>
              <w:ind w:firstLine="420" w:firstLineChars="200"/>
              <w:jc w:val="left"/>
              <w:rPr>
                <w:rFonts w:hint="eastAsia" w:ascii="宋体" w:hAnsi="宋体" w:eastAsia="宋体" w:cs="宋体"/>
                <w:lang w:eastAsia="zh-CN"/>
              </w:rPr>
            </w:pPr>
            <w:r>
              <w:rPr>
                <w:rFonts w:hint="eastAsia" w:ascii="宋体" w:hAnsi="宋体" w:eastAsia="宋体" w:cs="宋体"/>
                <w:lang w:eastAsia="zh-CN"/>
              </w:rPr>
              <w:t>针对本项目的售后服务方案（包含服务体系、质保期内售后服务内容、备品备件清单报价、质保期外服务承诺等）：</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针对本项目的产品售后承诺方案，科学、可行、针对性强</w:t>
            </w:r>
            <w:r>
              <w:rPr>
                <w:rFonts w:hint="eastAsia" w:ascii="宋体" w:hAnsi="宋体" w:eastAsia="宋体" w:cs="宋体"/>
                <w:lang w:val="en-US" w:eastAsia="zh-CN"/>
              </w:rPr>
              <w:t>2</w:t>
            </w: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针对本项目的产品售后承诺方案，合理、可行、细节待完善</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分；</w:t>
            </w:r>
          </w:p>
          <w:p>
            <w:pPr>
              <w:widowControl/>
              <w:ind w:firstLine="420" w:firstLineChars="200"/>
              <w:jc w:val="left"/>
              <w:rPr>
                <w:rFonts w:hint="eastAsia" w:ascii="宋体" w:hAnsi="宋体" w:eastAsia="宋体" w:cs="宋体"/>
              </w:rPr>
            </w:pPr>
            <w:r>
              <w:rPr>
                <w:rFonts w:hint="eastAsia" w:ascii="宋体" w:hAnsi="宋体" w:eastAsia="宋体" w:cs="宋体"/>
              </w:rPr>
              <w:t>针对本项目的产品售后承诺方案，欠合理，可行性较差，基本满足项目需要0.1-</w:t>
            </w:r>
            <w:r>
              <w:rPr>
                <w:rFonts w:hint="eastAsia" w:ascii="宋体" w:hAnsi="宋体" w:eastAsia="宋体" w:cs="宋体"/>
                <w:lang w:val="en-US" w:eastAsia="zh-CN"/>
              </w:rPr>
              <w:t>1</w:t>
            </w:r>
            <w:r>
              <w:rPr>
                <w:rFonts w:hint="eastAsia" w:ascii="宋体" w:hAnsi="宋体" w:eastAsia="宋体" w:cs="宋体"/>
              </w:rPr>
              <w:t>分。</w:t>
            </w:r>
          </w:p>
          <w:p>
            <w:pPr>
              <w:widowControl/>
              <w:ind w:firstLine="420" w:firstLineChars="200"/>
              <w:jc w:val="left"/>
              <w:rPr>
                <w:rFonts w:hint="eastAsia"/>
              </w:rPr>
            </w:pPr>
            <w:r>
              <w:rPr>
                <w:rFonts w:hint="eastAsia" w:ascii="宋体" w:hAnsi="宋体" w:eastAsia="宋体" w:cs="宋体"/>
              </w:rPr>
              <w:t>未提供不得分。</w:t>
            </w:r>
          </w:p>
        </w:tc>
        <w:tc>
          <w:tcPr>
            <w:tcW w:w="708" w:type="dxa"/>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1472" w:type="dxa"/>
            <w:noWrap w:val="0"/>
            <w:vAlign w:val="center"/>
          </w:tcPr>
          <w:p>
            <w:pPr>
              <w:widowControl/>
              <w:spacing w:line="400" w:lineRule="exact"/>
              <w:jc w:val="center"/>
              <w:rPr>
                <w:rFonts w:hint="eastAsia" w:ascii="宋体" w:hAnsi="宋体" w:cs="宋体"/>
                <w:color w:val="000000"/>
                <w:szCs w:val="21"/>
              </w:rPr>
            </w:pPr>
            <w:r>
              <w:rPr>
                <w:rFonts w:hint="eastAsia" w:ascii="宋体" w:hAnsi="宋体" w:cs="宋体"/>
                <w:color w:val="000000"/>
                <w:szCs w:val="21"/>
              </w:rPr>
              <w:t>样品</w:t>
            </w:r>
          </w:p>
        </w:tc>
        <w:tc>
          <w:tcPr>
            <w:tcW w:w="6892" w:type="dxa"/>
            <w:noWrap w:val="0"/>
            <w:vAlign w:val="center"/>
          </w:tcPr>
          <w:p>
            <w:pPr>
              <w:widowControl/>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根据投标供应商所提供的</w:t>
            </w:r>
            <w:r>
              <w:rPr>
                <w:rFonts w:hint="eastAsia" w:ascii="宋体" w:hAnsi="宋体" w:eastAsia="宋体" w:cs="宋体"/>
                <w:highlight w:val="none"/>
              </w:rPr>
              <w:t>样品</w:t>
            </w:r>
            <w:r>
              <w:rPr>
                <w:rFonts w:hint="eastAsia"/>
                <w:color w:val="000000"/>
                <w:sz w:val="21"/>
                <w:szCs w:val="21"/>
                <w:highlight w:val="none"/>
              </w:rPr>
              <w:t>与投标文件技术指标的一致性进行综合考量</w:t>
            </w:r>
            <w:r>
              <w:rPr>
                <w:rFonts w:hint="eastAsia" w:ascii="宋体" w:hAnsi="宋体" w:eastAsia="宋体" w:cs="宋体"/>
                <w:highlight w:val="none"/>
              </w:rPr>
              <w:t>（技术要求：详见</w:t>
            </w:r>
            <w:r>
              <w:rPr>
                <w:rFonts w:hint="eastAsia" w:ascii="宋体" w:hAnsi="宋体" w:eastAsia="宋体" w:cs="宋体"/>
                <w:highlight w:val="none"/>
                <w:lang w:val="en-US" w:eastAsia="zh-CN"/>
              </w:rPr>
              <w:t>采购</w:t>
            </w:r>
            <w:r>
              <w:rPr>
                <w:rFonts w:hint="eastAsia" w:ascii="宋体" w:hAnsi="宋体" w:eastAsia="宋体" w:cs="宋体"/>
                <w:highlight w:val="none"/>
              </w:rPr>
              <w:t>文件中 “样品技术要求”）</w:t>
            </w:r>
            <w:r>
              <w:rPr>
                <w:rFonts w:hint="eastAsia" w:ascii="宋体" w:hAnsi="宋体" w:eastAsia="宋体" w:cs="宋体"/>
                <w:highlight w:val="none"/>
                <w:lang w:eastAsia="zh-CN"/>
              </w:rPr>
              <w:t>：</w:t>
            </w:r>
          </w:p>
          <w:p>
            <w:pPr>
              <w:widowControl/>
              <w:ind w:firstLine="420" w:firstLineChars="200"/>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所提供样品主要尺寸、外观、结构完全满足采购</w:t>
            </w:r>
            <w:r>
              <w:rPr>
                <w:rFonts w:hint="eastAsia" w:ascii="宋体" w:hAnsi="宋体" w:eastAsia="宋体" w:cs="宋体"/>
                <w:lang w:val="en-US" w:eastAsia="zh-CN"/>
              </w:rPr>
              <w:t>文件</w:t>
            </w:r>
            <w:r>
              <w:rPr>
                <w:rFonts w:hint="eastAsia" w:ascii="宋体" w:hAnsi="宋体" w:eastAsia="宋体" w:cs="宋体"/>
              </w:rPr>
              <w:t>要求；</w:t>
            </w:r>
          </w:p>
          <w:p>
            <w:pPr>
              <w:widowControl/>
              <w:ind w:firstLine="420" w:firstLineChars="200"/>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样品所选用的板材、钢脚、五金、金属部件、塑制件质量完全满足采购</w:t>
            </w:r>
            <w:r>
              <w:rPr>
                <w:rFonts w:hint="eastAsia" w:ascii="宋体" w:hAnsi="宋体" w:eastAsia="宋体" w:cs="宋体"/>
                <w:lang w:val="en-US" w:eastAsia="zh-CN"/>
              </w:rPr>
              <w:t>文件</w:t>
            </w:r>
            <w:r>
              <w:rPr>
                <w:rFonts w:hint="eastAsia" w:ascii="宋体" w:hAnsi="宋体" w:eastAsia="宋体" w:cs="宋体"/>
              </w:rPr>
              <w:t>要求；</w:t>
            </w:r>
          </w:p>
          <w:p>
            <w:pPr>
              <w:widowControl/>
              <w:ind w:firstLine="420" w:firstLineChars="200"/>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样品的制作工艺精良；</w:t>
            </w:r>
          </w:p>
          <w:p>
            <w:pPr>
              <w:widowControl/>
              <w:ind w:firstLine="420" w:firstLineChars="200"/>
              <w:jc w:val="lef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样品的功能要求均能达到采购</w:t>
            </w:r>
            <w:r>
              <w:rPr>
                <w:rFonts w:hint="eastAsia" w:ascii="宋体" w:hAnsi="宋体" w:eastAsia="宋体" w:cs="宋体"/>
                <w:lang w:val="en-US" w:eastAsia="zh-CN"/>
              </w:rPr>
              <w:t>文件</w:t>
            </w:r>
            <w:r>
              <w:rPr>
                <w:rFonts w:hint="eastAsia" w:ascii="宋体" w:hAnsi="宋体" w:eastAsia="宋体" w:cs="宋体"/>
              </w:rPr>
              <w:t>要求；</w:t>
            </w:r>
          </w:p>
          <w:p>
            <w:pPr>
              <w:widowControl/>
              <w:ind w:firstLine="420" w:firstLineChars="200"/>
              <w:jc w:val="left"/>
              <w:rPr>
                <w:rFonts w:hint="eastAsia" w:ascii="宋体" w:hAnsi="宋体" w:eastAsia="宋体" w:cs="宋体"/>
              </w:rPr>
            </w:pPr>
            <w:r>
              <w:rPr>
                <w:rFonts w:hint="eastAsia" w:ascii="宋体" w:hAnsi="宋体" w:eastAsia="宋体" w:cs="宋体"/>
              </w:rPr>
              <w:t xml:space="preserve">以上内容最高得 </w:t>
            </w:r>
            <w:r>
              <w:rPr>
                <w:rFonts w:hint="eastAsia" w:ascii="宋体" w:hAnsi="宋体" w:cs="宋体"/>
                <w:lang w:val="en-US" w:eastAsia="zh-CN"/>
              </w:rPr>
              <w:t>8</w:t>
            </w:r>
            <w:r>
              <w:rPr>
                <w:rFonts w:hint="eastAsia" w:ascii="宋体" w:hAnsi="宋体" w:eastAsia="宋体" w:cs="宋体"/>
              </w:rPr>
              <w:t>分，每存在一处偏差或不满足</w:t>
            </w:r>
            <w:r>
              <w:rPr>
                <w:rFonts w:hint="eastAsia" w:ascii="宋体" w:hAnsi="宋体" w:eastAsia="宋体" w:cs="宋体"/>
                <w:lang w:val="en-US" w:eastAsia="zh-CN"/>
              </w:rPr>
              <w:t>采购</w:t>
            </w:r>
            <w:r>
              <w:rPr>
                <w:rFonts w:hint="eastAsia" w:ascii="宋体" w:hAnsi="宋体" w:eastAsia="宋体" w:cs="宋体"/>
              </w:rPr>
              <w:t>人要求的</w:t>
            </w:r>
            <w:r>
              <w:rPr>
                <w:rFonts w:hint="eastAsia" w:ascii="宋体" w:hAnsi="宋体" w:eastAsia="宋体" w:cs="宋体"/>
                <w:lang w:val="en-US" w:eastAsia="zh-CN"/>
              </w:rPr>
              <w:t>每项</w:t>
            </w:r>
            <w:r>
              <w:rPr>
                <w:rFonts w:hint="eastAsia" w:ascii="宋体" w:hAnsi="宋体" w:eastAsia="宋体" w:cs="宋体"/>
              </w:rPr>
              <w:t>扣</w:t>
            </w:r>
            <w:r>
              <w:rPr>
                <w:rFonts w:hint="eastAsia" w:ascii="宋体" w:hAnsi="宋体" w:cs="宋体"/>
                <w:lang w:val="en-US" w:eastAsia="zh-CN"/>
              </w:rPr>
              <w:t>2</w:t>
            </w:r>
            <w:r>
              <w:rPr>
                <w:rFonts w:hint="eastAsia" w:ascii="宋体" w:hAnsi="宋体" w:eastAsia="宋体" w:cs="宋体"/>
              </w:rPr>
              <w:t>分，扣完为止。</w:t>
            </w:r>
          </w:p>
          <w:p>
            <w:pPr>
              <w:widowControl/>
              <w:ind w:firstLine="422" w:firstLineChars="200"/>
              <w:jc w:val="left"/>
              <w:rPr>
                <w:rFonts w:hint="eastAsia" w:eastAsia="宋体"/>
                <w:lang w:eastAsia="zh-CN"/>
              </w:rPr>
            </w:pPr>
            <w:r>
              <w:rPr>
                <w:rFonts w:hint="eastAsia" w:ascii="Times New Roman" w:hAnsi="Times New Roman" w:eastAsia="宋体" w:cs="Times New Roman"/>
                <w:b/>
                <w:bCs/>
              </w:rPr>
              <w:t>注：</w:t>
            </w:r>
            <w:r>
              <w:rPr>
                <w:rFonts w:hint="eastAsia" w:ascii="Times New Roman" w:hAnsi="Times New Roman" w:eastAsia="宋体" w:cs="Times New Roman"/>
                <w:b/>
                <w:bCs/>
                <w:lang w:val="en-US" w:eastAsia="zh-CN"/>
              </w:rPr>
              <w:t>未</w:t>
            </w:r>
            <w:r>
              <w:rPr>
                <w:rFonts w:hint="eastAsia" w:ascii="Times New Roman" w:hAnsi="Times New Roman" w:eastAsia="宋体" w:cs="Times New Roman"/>
                <w:b/>
                <w:bCs/>
              </w:rPr>
              <w:t>提供样品本项不得分</w:t>
            </w:r>
            <w:r>
              <w:rPr>
                <w:rFonts w:hint="eastAsia" w:ascii="Times New Roman" w:hAnsi="Times New Roman" w:eastAsia="宋体" w:cs="Times New Roman"/>
                <w:b/>
                <w:bCs/>
                <w:lang w:eastAsia="zh-CN"/>
              </w:rPr>
              <w:t>。</w:t>
            </w:r>
          </w:p>
        </w:tc>
        <w:tc>
          <w:tcPr>
            <w:tcW w:w="708" w:type="dxa"/>
            <w:noWrap w:val="0"/>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noWrap w:val="0"/>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1472" w:type="dxa"/>
            <w:noWrap w:val="0"/>
            <w:vAlign w:val="center"/>
          </w:tcPr>
          <w:p>
            <w:pPr>
              <w:spacing w:line="30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免费质保期</w:t>
            </w:r>
          </w:p>
        </w:tc>
        <w:tc>
          <w:tcPr>
            <w:tcW w:w="6892" w:type="dxa"/>
            <w:noWrap w:val="0"/>
            <w:vAlign w:val="center"/>
          </w:tcPr>
          <w:p>
            <w:pPr>
              <w:widowControl/>
              <w:ind w:firstLine="420" w:firstLineChars="200"/>
              <w:jc w:val="left"/>
              <w:rPr>
                <w:rFonts w:hint="eastAsia" w:ascii="宋体" w:hAnsi="宋体" w:eastAsia="宋体" w:cs="宋体"/>
                <w:color w:val="000000"/>
                <w:szCs w:val="21"/>
              </w:rPr>
            </w:pPr>
            <w:r>
              <w:rPr>
                <w:rFonts w:hint="eastAsia" w:ascii="宋体" w:hAnsi="宋体" w:eastAsia="宋体" w:cs="宋体"/>
                <w:lang w:eastAsia="zh-CN"/>
              </w:rPr>
              <w:t>1、本项目免费质保期至少3年，在此基础上每增加1年得1分，最高加2分。（提供承诺书加盖投标人公章，格式自拟）</w:t>
            </w:r>
          </w:p>
        </w:tc>
        <w:tc>
          <w:tcPr>
            <w:tcW w:w="708" w:type="dxa"/>
            <w:noWrap w:val="0"/>
            <w:vAlign w:val="center"/>
          </w:tcPr>
          <w:p>
            <w:pPr>
              <w:jc w:val="center"/>
              <w:rPr>
                <w:rFonts w:hint="eastAsia" w:ascii="宋体" w:hAnsi="宋体" w:eastAsia="宋体" w:cs="宋体"/>
                <w:color w:val="000000"/>
                <w:szCs w:val="21"/>
                <w:lang w:eastAsia="zh-CN"/>
              </w:rPr>
            </w:pPr>
            <w:r>
              <w:rPr>
                <w:rFonts w:hint="eastAsia" w:ascii="宋体" w:hAnsi="宋体" w:eastAsia="宋体" w:cs="宋体"/>
                <w:bCs/>
                <w:color w:val="000000"/>
                <w:szCs w:val="21"/>
                <w:lang w:val="en-US" w:eastAsia="zh-CN"/>
              </w:rPr>
              <w:t>2</w:t>
            </w:r>
          </w:p>
        </w:tc>
      </w:tr>
    </w:tbl>
    <w:p>
      <w:pPr>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w:t>
      </w:r>
    </w:p>
    <w:p>
      <w:pPr>
        <w:spacing w:line="440" w:lineRule="exact"/>
        <w:jc w:val="center"/>
        <w:rPr>
          <w:rFonts w:ascii="宋体" w:hAnsi="宋体" w:cs="宋体"/>
          <w:b/>
          <w:color w:val="000000" w:themeColor="text1"/>
          <w:szCs w:val="21"/>
          <w14:textFill>
            <w14:solidFill>
              <w14:schemeClr w14:val="tx1"/>
            </w14:solidFill>
          </w14:textFill>
        </w:rPr>
      </w:pPr>
      <w:bookmarkStart w:id="222" w:name="_Toc115881330"/>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p>
      <w:pPr>
        <w:spacing w:line="460" w:lineRule="exact"/>
        <w:jc w:val="center"/>
        <w:outlineLvl w:val="0"/>
        <w:rPr>
          <w:rFonts w:ascii="宋体" w:hAnsi="宋体" w:cs="宋体"/>
          <w:b/>
          <w:color w:val="000000" w:themeColor="text1"/>
          <w:sz w:val="28"/>
          <w:szCs w:val="21"/>
          <w14:textFill>
            <w14:solidFill>
              <w14:schemeClr w14:val="tx1"/>
            </w14:solidFill>
          </w14:textFill>
        </w:rPr>
      </w:pPr>
      <w:bookmarkStart w:id="223" w:name="_Toc18617"/>
      <w:r>
        <w:rPr>
          <w:rFonts w:hint="eastAsia" w:ascii="宋体" w:hAnsi="宋体" w:cs="宋体"/>
          <w:b/>
          <w:color w:val="000000" w:themeColor="text1"/>
          <w:sz w:val="28"/>
          <w:szCs w:val="21"/>
          <w14:textFill>
            <w14:solidFill>
              <w14:schemeClr w14:val="tx1"/>
            </w14:solidFill>
          </w14:textFill>
        </w:rPr>
        <w:t>第五章 投标文件格式</w:t>
      </w:r>
      <w:bookmarkEnd w:id="221"/>
      <w:bookmarkEnd w:id="222"/>
      <w:bookmarkEnd w:id="223"/>
    </w:p>
    <w:p>
      <w:pPr>
        <w:pStyle w:val="11"/>
        <w:rPr>
          <w:rFonts w:ascii="宋体" w:hAnsi="宋体" w:eastAsia="宋体" w:cs="宋体"/>
          <w:color w:val="000000" w:themeColor="text1"/>
          <w:sz w:val="21"/>
          <w:szCs w:val="21"/>
          <w14:textFill>
            <w14:solidFill>
              <w14:schemeClr w14:val="tx1"/>
            </w14:solidFill>
          </w14:textFill>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投 标 文 件</w:t>
      </w: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1180" w:lineRule="exact"/>
        <w:jc w:val="center"/>
        <w:rPr>
          <w:rFonts w:ascii="宋体" w:hAnsi="宋体" w:cs="宋体"/>
          <w:color w:val="000000" w:themeColor="text1"/>
          <w:szCs w:val="21"/>
          <w14:textFill>
            <w14:solidFill>
              <w14:schemeClr w14:val="tx1"/>
            </w14:solidFill>
          </w14:textFill>
        </w:rPr>
      </w:pP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项目编号：</w:t>
      </w:r>
    </w:p>
    <w:p>
      <w:pPr>
        <w:spacing w:line="1180" w:lineRule="exact"/>
        <w:ind w:firstLine="632" w:firstLineChars="300"/>
        <w:rPr>
          <w:rFonts w:ascii="宋体" w:hAnsi="宋体" w:cs="宋体"/>
          <w:b/>
          <w:color w:val="000000" w:themeColor="text1"/>
          <w:szCs w:val="21"/>
          <w14:textFill>
            <w14:solidFill>
              <w14:schemeClr w14:val="tx1"/>
            </w14:solidFill>
          </w14:textFill>
        </w:rPr>
      </w:pP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投标人名称 ：</w:t>
      </w:r>
    </w:p>
    <w:p>
      <w:pPr>
        <w:spacing w:line="1180" w:lineRule="exact"/>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pStyle w:val="11"/>
        <w:rPr>
          <w:rFonts w:ascii="宋体" w:hAnsi="宋体" w:eastAsia="宋体" w:cs="宋体"/>
          <w:b/>
          <w:color w:val="000000" w:themeColor="text1"/>
          <w:sz w:val="21"/>
          <w:szCs w:val="21"/>
          <w:u w:val="single"/>
          <w14:textFill>
            <w14:solidFill>
              <w14:schemeClr w14:val="tx1"/>
            </w14:solidFill>
          </w14:textFill>
        </w:rPr>
      </w:pPr>
    </w:p>
    <w:p>
      <w:pPr>
        <w:pStyle w:val="36"/>
        <w:outlineLvl w:val="9"/>
        <w:rPr>
          <w:rFonts w:ascii="宋体" w:eastAsia="宋体" w:cs="宋体"/>
          <w:b/>
          <w:color w:val="000000" w:themeColor="text1"/>
          <w:sz w:val="21"/>
          <w:szCs w:val="21"/>
          <w:u w:val="single"/>
          <w14:textFill>
            <w14:solidFill>
              <w14:schemeClr w14:val="tx1"/>
            </w14:solidFill>
          </w14:textFill>
        </w:rPr>
      </w:pPr>
    </w:p>
    <w:p>
      <w:pPr>
        <w:pStyle w:val="38"/>
        <w:rPr>
          <w:b/>
          <w:color w:val="000000" w:themeColor="text1"/>
          <w:u w:val="single"/>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pStyle w:val="23"/>
        <w:ind w:left="3360"/>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pStyle w:val="23"/>
        <w:ind w:left="3360"/>
        <w:rPr>
          <w:rFonts w:ascii="宋体" w:hAnsi="宋体" w:cs="宋体"/>
          <w:color w:val="000000" w:themeColor="text1"/>
          <w:szCs w:val="21"/>
          <w14:textFill>
            <w14:solidFill>
              <w14:schemeClr w14:val="tx1"/>
            </w14:solidFill>
          </w14:textFill>
        </w:rPr>
      </w:pPr>
    </w:p>
    <w:p>
      <w:pPr>
        <w:spacing w:line="504" w:lineRule="auto"/>
        <w:jc w:val="center"/>
        <w:rPr>
          <w:rFonts w:ascii="宋体" w:hAnsi="宋体" w:cs="宋体"/>
          <w:b/>
          <w:color w:val="000000" w:themeColor="text1"/>
          <w:szCs w:val="21"/>
          <w14:textFill>
            <w14:solidFill>
              <w14:schemeClr w14:val="tx1"/>
            </w14:solidFill>
          </w14:textFill>
        </w:rPr>
      </w:pPr>
      <w:bookmarkStart w:id="224" w:name="_Toc108881190"/>
    </w:p>
    <w:p>
      <w:pPr>
        <w:rPr>
          <w:rFonts w:ascii="宋体" w:hAnsi="宋体" w:cs="宋体"/>
          <w:b/>
          <w:color w:val="000000" w:themeColor="text1"/>
          <w:szCs w:val="21"/>
          <w14:textFill>
            <w14:solidFill>
              <w14:schemeClr w14:val="tx1"/>
            </w14:solidFill>
          </w14:textFill>
        </w:rPr>
      </w:pPr>
      <w:bookmarkStart w:id="225" w:name="_Toc115881331"/>
      <w:r>
        <w:rPr>
          <w:rFonts w:hint="eastAsia" w:ascii="宋体" w:hAnsi="宋体" w:cs="宋体"/>
          <w:b/>
          <w:color w:val="000000" w:themeColor="text1"/>
          <w:szCs w:val="21"/>
          <w14:textFill>
            <w14:solidFill>
              <w14:schemeClr w14:val="tx1"/>
            </w14:solidFill>
          </w14:textFill>
        </w:rPr>
        <w:br w:type="page"/>
      </w:r>
    </w:p>
    <w:p>
      <w:pPr>
        <w:spacing w:line="780" w:lineRule="exact"/>
        <w:jc w:val="center"/>
        <w:rPr>
          <w:rFonts w:ascii="宋体" w:hAnsi="宋体" w:cs="宋体"/>
          <w:b/>
          <w:color w:val="000000"/>
          <w:sz w:val="28"/>
          <w:szCs w:val="28"/>
        </w:rPr>
      </w:pPr>
      <w:r>
        <w:rPr>
          <w:rFonts w:hint="eastAsia" w:ascii="宋体" w:hAnsi="宋体" w:cs="宋体"/>
          <w:b/>
          <w:color w:val="000000"/>
          <w:sz w:val="28"/>
          <w:szCs w:val="28"/>
        </w:rPr>
        <w:t>投标文件目录</w:t>
      </w:r>
      <w:bookmarkEnd w:id="224"/>
      <w:bookmarkEnd w:id="225"/>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70" w:type="dxa"/>
            <w:vAlign w:val="center"/>
          </w:tcPr>
          <w:p>
            <w:pPr>
              <w:spacing w:line="503"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w:t>
            </w:r>
          </w:p>
        </w:tc>
        <w:tc>
          <w:tcPr>
            <w:tcW w:w="1406" w:type="dxa"/>
            <w:vAlign w:val="center"/>
          </w:tcPr>
          <w:p>
            <w:pPr>
              <w:spacing w:line="503"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一、开标一览表（报价表）（格式）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二、投标人的资格证明文件</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三、法定代表人授权委托书（格式）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四、投标书（格式）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五、盐城市政府采购事前信用承诺书（格式）</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六、投标分项报价表</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七、商务要求响应情况表</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八、技术要求响应情况表</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九、投标文件的其它内容</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b/>
                <w:i/>
                <w:color w:val="000000" w:themeColor="text1"/>
                <w:szCs w:val="21"/>
                <w:u w:val="single"/>
                <w14:textFill>
                  <w14:solidFill>
                    <w14:schemeClr w14:val="tx1"/>
                  </w14:solidFill>
                </w14:textFill>
              </w:rPr>
            </w:pP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color w:val="000000" w:themeColor="text1"/>
                <w:szCs w:val="21"/>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1406" w:type="dxa"/>
            <w:vAlign w:val="center"/>
          </w:tcPr>
          <w:p>
            <w:pPr>
              <w:spacing w:line="503"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特别说明</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1、本目录（含页码）是专家评审的重要依据，请投标人准确（完整）填写。如投标人未能准确（完整）填写的，所引起的后果由投标人自负。</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2、投标人可以根据自身需要编辑详细的投标文件目录。投标人的投标文件目录应当遵循格式规范、便于查找获得的原则（以便评审人员评审）。</w:t>
            </w:r>
          </w:p>
        </w:tc>
      </w:tr>
    </w:tbl>
    <w:p>
      <w:pPr>
        <w:pStyle w:val="11"/>
        <w:spacing w:line="360" w:lineRule="auto"/>
        <w:rPr>
          <w:rFonts w:ascii="宋体" w:hAnsi="宋体" w:eastAsia="宋体" w:cs="宋体"/>
          <w:color w:val="000000" w:themeColor="text1"/>
          <w:sz w:val="2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pStyle w:val="11"/>
        <w:rPr>
          <w:rFonts w:ascii="宋体" w:hAnsi="宋体" w:eastAsia="宋体" w:cs="宋体"/>
          <w:color w:val="000000" w:themeColor="text1"/>
          <w:sz w:val="21"/>
          <w:szCs w:val="21"/>
          <w14:textFill>
            <w14:solidFill>
              <w14:schemeClr w14:val="tx1"/>
            </w14:solidFill>
          </w14:textFill>
        </w:rPr>
      </w:pPr>
    </w:p>
    <w:p>
      <w:pPr>
        <w:spacing w:line="696" w:lineRule="auto"/>
        <w:rPr>
          <w:rFonts w:ascii="宋体" w:hAnsi="宋体" w:cs="宋体"/>
          <w:b/>
          <w:color w:val="000000" w:themeColor="text1"/>
          <w:szCs w:val="21"/>
          <w14:textFill>
            <w14:solidFill>
              <w14:schemeClr w14:val="tx1"/>
            </w14:solidFill>
          </w14:textFill>
        </w:rPr>
      </w:pPr>
      <w:bookmarkStart w:id="226" w:name="_Toc115881332"/>
    </w:p>
    <w:p>
      <w:pPr>
        <w:spacing w:line="696" w:lineRule="auto"/>
        <w:jc w:val="center"/>
        <w:rPr>
          <w:rFonts w:ascii="宋体" w:hAnsi="宋体" w:cs="宋体"/>
          <w:b/>
          <w:color w:val="000000" w:themeColor="text1"/>
          <w:szCs w:val="21"/>
          <w14:textFill>
            <w14:solidFill>
              <w14:schemeClr w14:val="tx1"/>
            </w14:solidFill>
          </w14:textFill>
        </w:rPr>
      </w:pPr>
    </w:p>
    <w:p>
      <w:pPr>
        <w:spacing w:line="696" w:lineRule="auto"/>
        <w:jc w:val="center"/>
        <w:outlineLvl w:val="2"/>
        <w:rPr>
          <w:rFonts w:ascii="宋体" w:hAnsi="宋体" w:cs="宋体"/>
          <w:b/>
          <w:color w:val="000000"/>
          <w:sz w:val="28"/>
          <w:szCs w:val="28"/>
        </w:rPr>
      </w:pPr>
      <w:r>
        <w:rPr>
          <w:rFonts w:hint="eastAsia" w:ascii="宋体" w:hAnsi="宋体" w:cs="宋体"/>
          <w:b/>
          <w:color w:val="000000"/>
          <w:sz w:val="28"/>
          <w:szCs w:val="28"/>
        </w:rPr>
        <w:t>评分索引表</w:t>
      </w:r>
      <w:bookmarkEnd w:id="226"/>
    </w:p>
    <w:tbl>
      <w:tblPr>
        <w:tblStyle w:val="30"/>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vAlign w:val="center"/>
          </w:tcPr>
          <w:p>
            <w:pPr>
              <w:widowControl/>
              <w:shd w:val="clear" w:color="auto" w:fill="FFFFFF"/>
              <w:spacing w:line="265" w:lineRule="atLeast"/>
              <w:ind w:left="420"/>
              <w:contextualSpacing/>
              <w:jc w:val="center"/>
              <w:rPr>
                <w:rFonts w:ascii="宋体" w:hAnsi="宋体" w:cs="宋体"/>
                <w:b/>
                <w:bCs/>
                <w:color w:val="000000" w:themeColor="text1"/>
                <w:kern w:val="0"/>
                <w:szCs w:val="21"/>
                <w:lang w:bidi="en-US"/>
                <w14:textFill>
                  <w14:solidFill>
                    <w14:schemeClr w14:val="tx1"/>
                  </w14:solidFill>
                </w14:textFill>
              </w:rPr>
            </w:pPr>
            <w:r>
              <w:rPr>
                <w:rFonts w:hint="eastAsia" w:ascii="宋体" w:hAnsi="宋体" w:cs="宋体"/>
                <w:b/>
                <w:color w:val="000000" w:themeColor="text1"/>
                <w:kern w:val="0"/>
                <w:szCs w:val="21"/>
                <w:lang w:eastAsia="en-US" w:bidi="en-US"/>
                <w14:textFill>
                  <w14:solidFill>
                    <w14:schemeClr w14:val="tx1"/>
                  </w14:solidFill>
                </w14:textFill>
              </w:rPr>
              <w:t>评分项目</w:t>
            </w:r>
          </w:p>
        </w:tc>
        <w:tc>
          <w:tcPr>
            <w:tcW w:w="357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lang w:bidi="en-US"/>
                <w14:textFill>
                  <w14:solidFill>
                    <w14:schemeClr w14:val="tx1"/>
                  </w14:solidFill>
                </w14:textFill>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rPr>
                <w:rFonts w:ascii="宋体" w:hAnsi="宋体" w:cs="宋体"/>
                <w:b/>
                <w:color w:val="000000" w:themeColor="text1"/>
                <w:kern w:val="0"/>
                <w:szCs w:val="21"/>
                <w:lang w:bidi="en-US"/>
                <w14:textFill>
                  <w14:solidFill>
                    <w14:schemeClr w14:val="tx1"/>
                  </w14:solidFill>
                </w14:textFill>
              </w:rPr>
            </w:pPr>
          </w:p>
        </w:tc>
        <w:tc>
          <w:tcPr>
            <w:tcW w:w="3570" w:type="dxa"/>
          </w:tcPr>
          <w:p>
            <w:pPr>
              <w:rPr>
                <w:rFonts w:ascii="宋体" w:hAnsi="宋体" w:cs="宋体"/>
                <w:b/>
                <w:color w:val="000000" w:themeColor="text1"/>
                <w:kern w:val="0"/>
                <w:szCs w:val="21"/>
                <w:lang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firstLine="420" w:firstLineChars="20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Borders>
              <w:bottom w:val="single" w:color="auto" w:sz="4" w:space="0"/>
            </w:tcBorders>
          </w:tcPr>
          <w:p>
            <w:pPr>
              <w:widowControl/>
              <w:shd w:val="clear" w:color="auto" w:fill="FFFFFF"/>
              <w:spacing w:line="265" w:lineRule="atLeast"/>
              <w:ind w:firstLine="420" w:firstLineChars="200"/>
              <w:contextualSpacing/>
              <w:jc w:val="left"/>
              <w:rPr>
                <w:rFonts w:ascii="宋体" w:hAnsi="宋体" w:cs="宋体"/>
                <w:color w:val="000000" w:themeColor="text1"/>
                <w:kern w:val="0"/>
                <w:szCs w:val="21"/>
                <w:lang w:bidi="en-US"/>
                <w14:textFill>
                  <w14:solidFill>
                    <w14:schemeClr w14:val="tx1"/>
                  </w14:solidFill>
                </w14:textFill>
              </w:rPr>
            </w:pPr>
          </w:p>
        </w:tc>
        <w:tc>
          <w:tcPr>
            <w:tcW w:w="3570" w:type="dxa"/>
            <w:tcBorders>
              <w:bottom w:val="single" w:color="auto" w:sz="4" w:space="0"/>
            </w:tcBorders>
          </w:tcPr>
          <w:p>
            <w:pPr>
              <w:rPr>
                <w:rFonts w:ascii="宋体" w:hAnsi="宋体" w:cs="宋体"/>
                <w:color w:val="000000" w:themeColor="text1"/>
                <w:szCs w:val="21"/>
                <w14:textFill>
                  <w14:solidFill>
                    <w14:schemeClr w14:val="tx1"/>
                  </w14:solidFill>
                </w14:textFill>
              </w:rPr>
            </w:pPr>
          </w:p>
        </w:tc>
      </w:tr>
    </w:tbl>
    <w:p>
      <w:pPr>
        <w:pStyle w:val="11"/>
        <w:rPr>
          <w:rFonts w:ascii="宋体" w:hAnsi="宋体" w:eastAsia="宋体" w:cs="宋体"/>
          <w:color w:val="000000" w:themeColor="text1"/>
          <w:sz w:val="21"/>
          <w:szCs w:val="21"/>
          <w14:textFill>
            <w14:solidFill>
              <w14:schemeClr w14:val="tx1"/>
            </w14:solidFill>
          </w14:textFill>
        </w:rPr>
      </w:pPr>
    </w:p>
    <w:p>
      <w:pPr>
        <w:pStyle w:val="11"/>
        <w:ind w:firstLine="422" w:firstLineChars="200"/>
        <w:rPr>
          <w:rFonts w:ascii="宋体" w:hAnsi="宋体" w:eastAsia="宋体" w:cs="宋体"/>
          <w:b/>
          <w:color w:val="000000" w:themeColor="text1"/>
          <w:sz w:val="21"/>
          <w:szCs w:val="21"/>
          <w:lang w:bidi="en-US"/>
          <w14:textFill>
            <w14:solidFill>
              <w14:schemeClr w14:val="tx1"/>
            </w14:solidFill>
          </w14:textFill>
        </w:rPr>
      </w:pPr>
      <w:r>
        <w:rPr>
          <w:rFonts w:hint="eastAsia" w:ascii="宋体" w:hAnsi="宋体" w:eastAsia="宋体" w:cs="宋体"/>
          <w:b/>
          <w:color w:val="000000" w:themeColor="text1"/>
          <w:sz w:val="21"/>
          <w:szCs w:val="21"/>
          <w:lang w:bidi="en-US"/>
          <w14:textFill>
            <w14:solidFill>
              <w14:schemeClr w14:val="tx1"/>
            </w14:solidFill>
          </w14:textFill>
        </w:rPr>
        <w:t>特别说明：为提高评审效率及准确性，请供应商务必准确（完整）填写（编制），否则所引起的后果由投标人自负。</w:t>
      </w:r>
    </w:p>
    <w:p>
      <w:pPr>
        <w:spacing w:line="696" w:lineRule="auto"/>
        <w:rPr>
          <w:rFonts w:ascii="宋体" w:hAnsi="宋体" w:cs="宋体"/>
          <w:b/>
          <w:bCs/>
          <w:color w:val="000000" w:themeColor="text1"/>
          <w:szCs w:val="21"/>
          <w14:textFill>
            <w14:solidFill>
              <w14:schemeClr w14:val="tx1"/>
            </w14:solidFill>
          </w14:textFill>
        </w:rPr>
      </w:pPr>
      <w:bookmarkStart w:id="227" w:name="_Toc108881191"/>
    </w:p>
    <w:p>
      <w:pPr>
        <w:spacing w:line="696" w:lineRule="auto"/>
        <w:rPr>
          <w:rFonts w:ascii="宋体" w:hAnsi="宋体" w:cs="宋体"/>
          <w:b/>
          <w:bCs/>
          <w:color w:val="000000" w:themeColor="text1"/>
          <w:szCs w:val="21"/>
          <w14:textFill>
            <w14:solidFill>
              <w14:schemeClr w14:val="tx1"/>
            </w14:solidFill>
          </w14:textFill>
        </w:rPr>
      </w:pPr>
      <w:bookmarkStart w:id="228" w:name="_Toc115881333"/>
    </w:p>
    <w:p>
      <w:pPr>
        <w:spacing w:line="696" w:lineRule="auto"/>
        <w:jc w:val="center"/>
        <w:outlineLvl w:val="1"/>
        <w:rPr>
          <w:rFonts w:ascii="宋体" w:hAnsi="宋体" w:cs="宋体"/>
          <w:b/>
          <w:bCs/>
          <w:color w:val="000000" w:themeColor="text1"/>
          <w:szCs w:val="21"/>
          <w14:textFill>
            <w14:solidFill>
              <w14:schemeClr w14:val="tx1"/>
            </w14:solidFill>
          </w14:textFill>
        </w:rPr>
      </w:pPr>
      <w:bookmarkStart w:id="229" w:name="_Toc5164"/>
      <w:r>
        <w:rPr>
          <w:rFonts w:hint="eastAsia" w:ascii="宋体" w:hAnsi="宋体" w:cs="宋体"/>
          <w:b/>
          <w:bCs/>
          <w:color w:val="000000" w:themeColor="text1"/>
          <w:szCs w:val="21"/>
          <w14:textFill>
            <w14:solidFill>
              <w14:schemeClr w14:val="tx1"/>
            </w14:solidFill>
          </w14:textFill>
        </w:rPr>
        <w:t>一、开标一览表(报价表)（格式）</w:t>
      </w:r>
      <w:bookmarkEnd w:id="227"/>
      <w:bookmarkEnd w:id="228"/>
      <w:bookmarkEnd w:id="229"/>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5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5876" w:type="dxa"/>
            <w:tcBorders>
              <w:top w:val="single" w:color="auto" w:sz="4" w:space="0"/>
              <w:left w:val="single" w:color="auto" w:sz="4" w:space="0"/>
              <w:bottom w:val="single" w:color="auto" w:sz="4" w:space="0"/>
              <w:right w:val="single" w:color="auto" w:sz="4" w:space="0"/>
            </w:tcBorders>
            <w:vAlign w:val="center"/>
          </w:tcPr>
          <w:p>
            <w:pPr>
              <w:spacing w:line="69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5876" w:type="dxa"/>
            <w:tcBorders>
              <w:top w:val="single" w:color="auto" w:sz="4" w:space="0"/>
              <w:left w:val="single" w:color="auto" w:sz="4" w:space="0"/>
              <w:bottom w:val="single" w:color="auto" w:sz="4" w:space="0"/>
              <w:right w:val="single" w:color="auto" w:sz="4" w:space="0"/>
            </w:tcBorders>
            <w:vAlign w:val="center"/>
          </w:tcPr>
          <w:p>
            <w:pPr>
              <w:spacing w:line="69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970" w:type="dxa"/>
            <w:tcBorders>
              <w:top w:val="single" w:color="auto" w:sz="4" w:space="0"/>
              <w:left w:val="single" w:color="auto" w:sz="4" w:space="0"/>
              <w:right w:val="single" w:color="auto" w:sz="4" w:space="0"/>
            </w:tcBorders>
            <w:vAlign w:val="center"/>
          </w:tcPr>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投标价格</w:t>
            </w:r>
          </w:p>
          <w:p>
            <w:pPr>
              <w:spacing w:line="69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（投标总报价）</w:t>
            </w:r>
          </w:p>
        </w:tc>
        <w:tc>
          <w:tcPr>
            <w:tcW w:w="5876" w:type="dxa"/>
            <w:tcBorders>
              <w:top w:val="single" w:color="auto" w:sz="4" w:space="0"/>
              <w:left w:val="single" w:color="auto" w:sz="4" w:space="0"/>
              <w:right w:val="single" w:color="auto" w:sz="4" w:space="0"/>
            </w:tcBorders>
            <w:vAlign w:val="center"/>
          </w:tcPr>
          <w:p>
            <w:pPr>
              <w:spacing w:line="696"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大写：                     </w:t>
            </w:r>
          </w:p>
          <w:p>
            <w:pPr>
              <w:spacing w:line="696"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产品质量标准</w:t>
            </w:r>
          </w:p>
        </w:tc>
        <w:tc>
          <w:tcPr>
            <w:tcW w:w="5876" w:type="dxa"/>
            <w:tcBorders>
              <w:top w:val="single" w:color="auto" w:sz="4" w:space="0"/>
              <w:left w:val="single" w:color="auto" w:sz="4" w:space="0"/>
              <w:right w:val="single" w:color="auto" w:sz="4" w:space="0"/>
            </w:tcBorders>
            <w:vAlign w:val="center"/>
          </w:tcPr>
          <w:p>
            <w:pPr>
              <w:spacing w:line="44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合格（全新原厂原件）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免费质保期</w:t>
            </w:r>
          </w:p>
        </w:tc>
        <w:tc>
          <w:tcPr>
            <w:tcW w:w="5876" w:type="dxa"/>
            <w:tcBorders>
              <w:top w:val="single" w:color="auto" w:sz="4" w:space="0"/>
              <w:left w:val="single" w:color="auto" w:sz="4" w:space="0"/>
              <w:right w:val="single" w:color="auto" w:sz="4" w:space="0"/>
            </w:tcBorders>
            <w:vAlign w:val="center"/>
          </w:tcPr>
          <w:p>
            <w:pPr>
              <w:spacing w:line="44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年质保（原厂原件）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970"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交付或者实施的时间</w:t>
            </w:r>
          </w:p>
        </w:tc>
        <w:tc>
          <w:tcPr>
            <w:tcW w:w="5876" w:type="dxa"/>
            <w:tcBorders>
              <w:top w:val="single" w:color="auto" w:sz="4" w:space="0"/>
              <w:left w:val="single" w:color="auto" w:sz="4" w:space="0"/>
              <w:right w:val="single" w:color="auto" w:sz="4" w:space="0"/>
            </w:tcBorders>
            <w:vAlign w:val="center"/>
          </w:tcPr>
          <w:p>
            <w:pPr>
              <w:spacing w:line="44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天</w:t>
            </w:r>
            <w:r>
              <w:rPr>
                <w:rFonts w:hint="eastAsia" w:ascii="宋体" w:hAnsi="宋体" w:cs="宋体"/>
                <w:color w:val="000000" w:themeColor="text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846" w:type="dxa"/>
            <w:gridSpan w:val="2"/>
            <w:tcBorders>
              <w:top w:val="single" w:color="auto" w:sz="4" w:space="0"/>
              <w:left w:val="single" w:color="auto" w:sz="4" w:space="0"/>
              <w:bottom w:val="single" w:color="auto" w:sz="4" w:space="0"/>
              <w:right w:val="single" w:color="auto" w:sz="4" w:space="0"/>
            </w:tcBorders>
            <w:vAlign w:val="center"/>
          </w:tcPr>
          <w:p>
            <w:pPr>
              <w:pStyle w:val="16"/>
              <w:tabs>
                <w:tab w:val="left" w:pos="5580"/>
              </w:tabs>
              <w:spacing w:line="696" w:lineRule="auto"/>
              <w:jc w:val="left"/>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投标人名称（单位公章）：</w:t>
            </w:r>
          </w:p>
          <w:p>
            <w:pPr>
              <w:pStyle w:val="16"/>
              <w:tabs>
                <w:tab w:val="left" w:pos="5580"/>
              </w:tabs>
              <w:spacing w:line="696" w:lineRule="auto"/>
              <w:jc w:val="left"/>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法定代表人或其委托代理人(签字):</w:t>
            </w:r>
            <w:r>
              <w:rPr>
                <w:rFonts w:hint="eastAsia" w:hAnsi="宋体" w:cs="宋体"/>
                <w:b/>
                <w:color w:val="000000" w:themeColor="text1"/>
                <w:sz w:val="21"/>
                <w:szCs w:val="21"/>
                <w:u w:val="single"/>
                <w14:textFill>
                  <w14:solidFill>
                    <w14:schemeClr w14:val="tx1"/>
                  </w14:solidFill>
                </w14:textFill>
              </w:rPr>
              <w:tab/>
            </w:r>
          </w:p>
          <w:p>
            <w:pPr>
              <w:pStyle w:val="16"/>
              <w:tabs>
                <w:tab w:val="left" w:pos="5580"/>
              </w:tabs>
              <w:spacing w:line="696" w:lineRule="auto"/>
              <w:jc w:val="left"/>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联系电话：</w:t>
            </w:r>
          </w:p>
          <w:p>
            <w:pPr>
              <w:pStyle w:val="16"/>
              <w:tabs>
                <w:tab w:val="left" w:pos="5580"/>
              </w:tabs>
              <w:spacing w:line="696" w:lineRule="auto"/>
              <w:jc w:val="left"/>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14:textFill>
                  <w14:solidFill>
                    <w14:schemeClr w14:val="tx1"/>
                  </w14:solidFill>
                </w14:textFill>
              </w:rPr>
              <w:t>联系地址：</w:t>
            </w:r>
          </w:p>
          <w:p>
            <w:pPr>
              <w:spacing w:line="696"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日    期：</w:t>
            </w:r>
            <w:r>
              <w:rPr>
                <w:rFonts w:hint="eastAsia" w:ascii="宋体" w:hAnsi="宋体" w:cs="宋体"/>
                <w:b/>
                <w:color w:val="000000" w:themeColor="text1"/>
                <w:szCs w:val="21"/>
                <w:u w:val="singl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8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1.如果开标一览表（报价表）内容与投标分项报价表内容不一致的，以开标一览表（报价表）内容为准；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2.非单一产品采购的，填写核心产品的品牌或制造商（企业商号或者注册商标）。</w:t>
            </w:r>
          </w:p>
        </w:tc>
      </w:tr>
    </w:tbl>
    <w:p>
      <w:pPr>
        <w:spacing w:line="696" w:lineRule="auto"/>
        <w:jc w:val="center"/>
        <w:rPr>
          <w:rFonts w:ascii="宋体" w:hAnsi="宋体" w:cs="宋体"/>
          <w:b/>
          <w:bCs/>
          <w:color w:val="000000" w:themeColor="text1"/>
          <w:szCs w:val="21"/>
          <w14:textFill>
            <w14:solidFill>
              <w14:schemeClr w14:val="tx1"/>
            </w14:solidFill>
          </w14:textFill>
        </w:rPr>
      </w:pPr>
      <w:bookmarkStart w:id="230" w:name="_Toc115881334"/>
      <w:bookmarkStart w:id="231" w:name="_Toc108881192"/>
    </w:p>
    <w:p>
      <w:pPr>
        <w:spacing w:line="696" w:lineRule="auto"/>
        <w:jc w:val="center"/>
        <w:rPr>
          <w:rFonts w:ascii="宋体" w:hAnsi="宋体" w:cs="宋体"/>
          <w:b/>
          <w:bCs/>
          <w:color w:val="000000" w:themeColor="text1"/>
          <w:szCs w:val="21"/>
          <w14:textFill>
            <w14:solidFill>
              <w14:schemeClr w14:val="tx1"/>
            </w14:solidFill>
          </w14:textFill>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二、投标人的资格证明文件</w:t>
      </w:r>
      <w:bookmarkEnd w:id="230"/>
      <w:bookmarkEnd w:id="231"/>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229"/>
        <w:gridCol w:w="799"/>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2.1资格证明文件</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所在</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页码</w:t>
            </w: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满足《中华人民共和国政府采购法》第二十二条规定</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（1.1）具有独立承担民事责任的能力</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提供有效的法人或者其他组织的营业执照等证明文件，自然人的身份证明</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（1.2）具有良好的商业信誉和健全的财务会计制度</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提供财务状况报告证明材料（例：审计报告、银行对账单、银行咨信证明等）；</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1.如是审计报告，须为本单位上年度（如投标截止时间为1季度，可以提供前一年度）经会计师事务所出具的审计报告（须有会计师事务所的盖章）；</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2.如是银行对账单，须为近3个月来任意1个月的银行对账单（须银行盖章）；</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银行咨信证明等相关证明如有有效期的，须保证其证明在有效期内。</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（1.3）有依法缴纳税收和社会保障资金的良好记录</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提供近3个月来任意1个月的依法缴纳税收和社会保障资金的相关材料</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（1.4）具有履行合同所必需的设备和专业技术能力（原件）</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提供具备履行合同所必需的设备和专业技术能力的证明材料（如无特殊说明，须按本表后附的格式及要求填写书面声明函）</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（1.5）参加政府采购活动前三年内，在经营活动中没有重大违法记录（原件）</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提供参加政府采购活动前3年内在经营活动中没有重大违法记录的书面声明（须按本表后附的格式及要求填写书面声明函）</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（1.6）法律、行政法规规定的其他条件（原件）</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提供具备法律、行政法规规定的其他条件的证明材料（如无特殊说明，须按本表后附的格式及要求填写书面承诺函）</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落实政府采购政策需满足的资格要求（按照采购公告的要求提供）</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本项目的特定资格要求（按照采购公告的要求提供）</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szCs w:val="21"/>
                <w14:textFill>
                  <w14:solidFill>
                    <w14:schemeClr w14:val="tx1"/>
                  </w14:solidFill>
                </w14:textFill>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7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vAlign w:val="center"/>
          </w:tcPr>
          <w:p>
            <w:pPr>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特别提醒：</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1.如无特殊说明，提供复印件即可（1.4、1.5、1.6必须在正本中提供原件），复印件上请加盖本单位章。如</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资格证明文件提供为原件的，视为一次性证明材料（例：社保证明原件），恕不退回；</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2.如果是联合体投标，联合体各方均需提供满足本表1项要求的资格证明文件以及满足采购文件要求的其他资格证明文件（2、3项）；</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为方便供应商投标，采购人可以要求供应商提供书面</w:t>
            </w:r>
            <w:r>
              <w:rPr>
                <w:rFonts w:hint="eastAsia" w:ascii="宋体" w:hAnsi="宋体" w:cs="宋体"/>
                <w:color w:val="000000" w:themeColor="text1"/>
                <w:szCs w:val="21"/>
                <w14:textFill>
                  <w14:solidFill>
                    <w14:schemeClr w14:val="tx1"/>
                  </w14:solidFill>
                </w14:textFill>
              </w:rPr>
              <w:t>承诺（声明）</w:t>
            </w:r>
            <w:r>
              <w:rPr>
                <w:rFonts w:hint="eastAsia" w:ascii="宋体" w:hAnsi="宋体" w:cs="宋体"/>
                <w:bCs/>
                <w:color w:val="000000" w:themeColor="text1"/>
                <w:szCs w:val="21"/>
                <w14:textFill>
                  <w14:solidFill>
                    <w14:schemeClr w14:val="tx1"/>
                  </w14:solidFill>
                </w14:textFill>
              </w:rPr>
              <w:t>函代替相关</w:t>
            </w:r>
            <w:r>
              <w:rPr>
                <w:rFonts w:hint="eastAsia" w:ascii="宋体" w:hAnsi="宋体" w:cs="宋体"/>
                <w:color w:val="000000" w:themeColor="text1"/>
                <w:szCs w:val="21"/>
                <w14:textFill>
                  <w14:solidFill>
                    <w14:schemeClr w14:val="tx1"/>
                  </w14:solidFill>
                </w14:textFill>
              </w:rPr>
              <w:t>资格证明文件</w:t>
            </w:r>
            <w:r>
              <w:rPr>
                <w:rFonts w:hint="eastAsia" w:ascii="宋体" w:hAnsi="宋体" w:cs="宋体"/>
                <w:bCs/>
                <w:color w:val="000000" w:themeColor="text1"/>
                <w:szCs w:val="21"/>
                <w14:textFill>
                  <w14:solidFill>
                    <w14:schemeClr w14:val="tx1"/>
                  </w14:solidFill>
                </w14:textFill>
              </w:rPr>
              <w:t>（具体以采购文件的要求为准），但不代表供应商可以不符合其相关要求。供应商对</w:t>
            </w:r>
            <w:r>
              <w:rPr>
                <w:rFonts w:hint="eastAsia" w:ascii="宋体" w:hAnsi="宋体" w:cs="宋体"/>
                <w:color w:val="000000" w:themeColor="text1"/>
                <w:szCs w:val="21"/>
                <w14:textFill>
                  <w14:solidFill>
                    <w14:schemeClr w14:val="tx1"/>
                  </w14:solidFill>
                </w14:textFill>
              </w:rPr>
              <w:t>承诺或声明</w:t>
            </w:r>
            <w:r>
              <w:rPr>
                <w:rFonts w:hint="eastAsia" w:ascii="宋体" w:hAnsi="宋体" w:cs="宋体"/>
                <w:bCs/>
                <w:color w:val="000000" w:themeColor="text1"/>
                <w:szCs w:val="21"/>
                <w14:textFill>
                  <w14:solidFill>
                    <w14:schemeClr w14:val="tx1"/>
                  </w14:solidFill>
                </w14:textFill>
              </w:rPr>
              <w:t>的真实性负责。</w:t>
            </w:r>
          </w:p>
        </w:tc>
      </w:tr>
    </w:tbl>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1、满足《中华人民共和国政府采购法》第二十二条规定</w:t>
      </w:r>
    </w:p>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（1.1）具有独立承担民事责任的能力</w:t>
      </w: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提供有效的法人或者其他组织的营业执照等证明文件，自然人的身份证明</w:t>
      </w:r>
    </w:p>
    <w:p>
      <w:pPr>
        <w:spacing w:line="360" w:lineRule="auto"/>
        <w:rPr>
          <w:rFonts w:ascii="宋体" w:hAnsi="宋体" w:cs="宋体"/>
          <w:b/>
          <w:color w:val="000000" w:themeColor="text1"/>
          <w:szCs w:val="21"/>
          <w14:textFill>
            <w14:solidFill>
              <w14:schemeClr w14:val="tx1"/>
            </w14:solidFill>
          </w14:textFill>
        </w:rPr>
      </w:pPr>
    </w:p>
    <w:p>
      <w:pPr>
        <w:spacing w:line="38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（1.2）具有良好的商业信誉和健全的财务会计制度</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提供财务状况报告证明材料（例：审计报告、银行对账单、银行咨信证明等）；</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1.如是审计报告，须为本单位上年度（如投标截止时间为1季度，可以提供前一年度）经会计师事务所出具的审计报告（须有会计师事务所的盖章）；</w:t>
      </w:r>
    </w:p>
    <w:p>
      <w:pPr>
        <w:spacing w:line="3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2.如是银行对账单，须为近3个月来任意1个月的银行对账单（须银行盖章）；</w:t>
      </w:r>
    </w:p>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银行咨信证明等相关证明如有有效期的，须保证其证明在有效期内。</w:t>
      </w:r>
    </w:p>
    <w:p>
      <w:pPr>
        <w:spacing w:line="380" w:lineRule="exact"/>
        <w:outlineLvl w:val="1"/>
        <w:rPr>
          <w:rFonts w:ascii="宋体" w:hAnsi="宋体" w:cs="宋体"/>
          <w:b/>
          <w:color w:val="000000" w:themeColor="text1"/>
          <w:szCs w:val="21"/>
          <w14:textFill>
            <w14:solidFill>
              <w14:schemeClr w14:val="tx1"/>
            </w14:solidFill>
          </w14:textFill>
        </w:rPr>
      </w:pPr>
      <w:bookmarkStart w:id="232" w:name="_Toc13060"/>
      <w:r>
        <w:rPr>
          <w:rFonts w:hint="eastAsia" w:ascii="宋体" w:hAnsi="宋体" w:cs="宋体"/>
          <w:b/>
          <w:color w:val="000000" w:themeColor="text1"/>
          <w:szCs w:val="21"/>
          <w14:textFill>
            <w14:solidFill>
              <w14:schemeClr w14:val="tx1"/>
            </w14:solidFill>
          </w14:textFill>
        </w:rPr>
        <w:t>（1.3）有依法缴纳税收和社会保障资金的良好记录</w:t>
      </w:r>
      <w:bookmarkEnd w:id="232"/>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提供近3个月来任意1个月的依法缴纳税收和社会保障资金的相关材料</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1.4具有履行合同所必需的设备和专业技术能力的书面声明函（格式）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我方郑重声明：</w:t>
            </w:r>
          </w:p>
          <w:p>
            <w:pPr>
              <w:spacing w:line="360" w:lineRule="auto"/>
              <w:ind w:firstLine="492"/>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我方具备履行本项采购合同所必需的设备和专业技术能力，为履行本项采购合同我公司具备如下主要设备和主要专业技术能力：主要设备有：</w:t>
            </w:r>
            <w:r>
              <w:rPr>
                <w:rFonts w:hint="eastAsia" w:ascii="宋体" w:hAnsi="宋体" w:cs="宋体"/>
                <w:bCs/>
                <w:color w:val="000000" w:themeColor="text1"/>
                <w:szCs w:val="21"/>
                <w:u w:val="single"/>
                <w14:textFill>
                  <w14:solidFill>
                    <w14:schemeClr w14:val="tx1"/>
                  </w14:solidFill>
                </w14:textFill>
              </w:rPr>
              <w:t xml:space="preserve">               （一个即可）</w:t>
            </w:r>
            <w:r>
              <w:rPr>
                <w:rFonts w:hint="eastAsia" w:ascii="宋体" w:hAnsi="宋体" w:cs="宋体"/>
                <w:bCs/>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主要专业技术能力有：</w:t>
            </w:r>
            <w:r>
              <w:rPr>
                <w:rFonts w:hint="eastAsia" w:ascii="宋体" w:hAnsi="宋体" w:cs="宋体"/>
                <w:bCs/>
                <w:color w:val="000000" w:themeColor="text1"/>
                <w:szCs w:val="21"/>
                <w:u w:val="single"/>
                <w14:textFill>
                  <w14:solidFill>
                    <w14:schemeClr w14:val="tx1"/>
                  </w14:solidFill>
                </w14:textFill>
              </w:rPr>
              <w:t xml:space="preserve">          （一项即可）</w:t>
            </w:r>
            <w:r>
              <w:rPr>
                <w:rFonts w:hint="eastAsia" w:ascii="宋体" w:hAnsi="宋体" w:cs="宋体"/>
                <w:bCs/>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供应商名称（公章）：</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bCs/>
                <w:color w:val="000000" w:themeColor="text1"/>
                <w:szCs w:val="21"/>
                <w14:textFill>
                  <w14:solidFill>
                    <w14:schemeClr w14:val="tx1"/>
                  </w14:solidFill>
                </w14:textFill>
              </w:rPr>
              <w:t>签字：</w:t>
            </w:r>
          </w:p>
          <w:p>
            <w:pPr>
              <w:spacing w:line="360" w:lineRule="auto"/>
              <w:ind w:firstLine="492"/>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说明：1.供应商须按本表格式制作，并在正本中提供原件，否按无效处理。</w:t>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如果是联合体投标，联合体各方均需提供上述证明。</w:t>
            </w:r>
          </w:p>
        </w:tc>
      </w:tr>
    </w:tbl>
    <w:p>
      <w:pPr>
        <w:spacing w:line="360" w:lineRule="auto"/>
        <w:jc w:val="left"/>
        <w:rPr>
          <w:rFonts w:ascii="宋体" w:hAnsi="宋体" w:cs="宋体"/>
          <w:b/>
          <w:color w:val="000000" w:themeColor="text1"/>
          <w:szCs w:val="21"/>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1.5参加政府采购活动前三年内在经营活动中没有重大违法记录的书面声明函（格式）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我方郑重声明：</w:t>
            </w:r>
          </w:p>
          <w:p>
            <w:pPr>
              <w:spacing w:line="360" w:lineRule="auto"/>
              <w:ind w:firstLine="492"/>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我方参加本次政府采购活动前3年内，我方在经营活动中没有因违法经营受到刑事处罚或者责令停产停业、吊销许可证或者执照、较大数额罚款等行政处罚。</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供应商名称（公章）：</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bCs/>
                <w:color w:val="000000" w:themeColor="text1"/>
                <w:szCs w:val="21"/>
                <w14:textFill>
                  <w14:solidFill>
                    <w14:schemeClr w14:val="tx1"/>
                  </w14:solidFill>
                </w14:textFill>
              </w:rPr>
              <w:t>签字：</w:t>
            </w:r>
          </w:p>
          <w:p>
            <w:pPr>
              <w:spacing w:line="360" w:lineRule="auto"/>
              <w:ind w:firstLine="492"/>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说明：1.供应商须按本表格式制作，并在正本中提供原件，否按无效处理。</w:t>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如果是联合体投标，联合体各方均需提供上述证明。</w:t>
            </w:r>
          </w:p>
        </w:tc>
      </w:tr>
    </w:tbl>
    <w:p>
      <w:pPr>
        <w:spacing w:line="360" w:lineRule="auto"/>
        <w:jc w:val="left"/>
        <w:rPr>
          <w:rFonts w:ascii="宋体" w:hAnsi="宋体" w:cs="宋体"/>
          <w:b/>
          <w:color w:val="000000" w:themeColor="text1"/>
          <w:szCs w:val="21"/>
          <w14:textFill>
            <w14:solidFill>
              <w14:schemeClr w14:val="tx1"/>
            </w14:solidFill>
          </w14:textFill>
        </w:rPr>
      </w:pPr>
    </w:p>
    <w:p>
      <w:pPr>
        <w:pStyle w:val="11"/>
        <w:rPr>
          <w:rFonts w:ascii="宋体" w:hAnsi="宋体" w:eastAsia="宋体" w:cs="宋体"/>
          <w:color w:val="000000" w:themeColor="text1"/>
          <w:sz w:val="21"/>
          <w:szCs w:val="21"/>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1.6具备法律、行政法规规定的其他条件的书面承诺函（格式）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Pr>
          <w:p>
            <w:pPr>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我方郑重声明：</w:t>
            </w:r>
          </w:p>
          <w:p>
            <w:pPr>
              <w:spacing w:line="360" w:lineRule="auto"/>
              <w:ind w:firstLine="492"/>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我方（联合体）具有合法从事本次采购内容的经营资格（含</w:t>
            </w:r>
            <w:r>
              <w:rPr>
                <w:rFonts w:hint="eastAsia" w:ascii="宋体" w:hAnsi="宋体" w:cs="宋体"/>
                <w:color w:val="000000" w:themeColor="text1"/>
                <w:kern w:val="0"/>
                <w:szCs w:val="21"/>
                <w14:textFill>
                  <w14:solidFill>
                    <w14:schemeClr w14:val="tx1"/>
                  </w14:solidFill>
                </w14:textFill>
              </w:rPr>
              <w:t>准入性资质</w:t>
            </w:r>
            <w:r>
              <w:rPr>
                <w:rFonts w:hint="eastAsia" w:ascii="宋体" w:hAnsi="宋体" w:cs="宋体"/>
                <w:bCs/>
                <w:color w:val="000000" w:themeColor="text1"/>
                <w:szCs w:val="21"/>
                <w14:textFill>
                  <w14:solidFill>
                    <w14:schemeClr w14:val="tx1"/>
                  </w14:solidFill>
                </w14:textFill>
              </w:rPr>
              <w:t>等行政许可）以及</w:t>
            </w:r>
            <w:r>
              <w:rPr>
                <w:rFonts w:hint="eastAsia" w:ascii="宋体" w:hAnsi="宋体" w:cs="宋体"/>
                <w:color w:val="000000" w:themeColor="text1"/>
                <w:szCs w:val="21"/>
                <w14:textFill>
                  <w14:solidFill>
                    <w14:schemeClr w14:val="tx1"/>
                  </w14:solidFill>
                </w14:textFill>
              </w:rPr>
              <w:t>具备法律、行政法规规定的其他条件</w:t>
            </w:r>
            <w:r>
              <w:rPr>
                <w:rFonts w:hint="eastAsia" w:ascii="宋体" w:hAnsi="宋体" w:cs="宋体"/>
                <w:bCs/>
                <w:color w:val="000000" w:themeColor="text1"/>
                <w:szCs w:val="21"/>
                <w14:textFill>
                  <w14:solidFill>
                    <w14:schemeClr w14:val="tx1"/>
                  </w14:solidFill>
                </w14:textFill>
              </w:rPr>
              <w:t>。</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供应商名称（公章）：</w:t>
            </w:r>
          </w:p>
          <w:p>
            <w:pPr>
              <w:spacing w:line="360" w:lineRule="auto"/>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w:t>
            </w:r>
            <w:r>
              <w:rPr>
                <w:rFonts w:hint="eastAsia" w:ascii="宋体" w:hAnsi="宋体" w:cs="宋体"/>
                <w:bCs/>
                <w:color w:val="000000" w:themeColor="text1"/>
                <w:szCs w:val="21"/>
                <w14:textFill>
                  <w14:solidFill>
                    <w14:schemeClr w14:val="tx1"/>
                  </w14:solidFill>
                </w14:textFill>
              </w:rPr>
              <w:t>签字：</w:t>
            </w:r>
          </w:p>
          <w:p>
            <w:pPr>
              <w:spacing w:line="360" w:lineRule="auto"/>
              <w:ind w:firstLine="492"/>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4"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说明：1.供应商须按本表格式制作，并在正本中提供原件，否按无效处理。</w:t>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如果是联合体投标，联合体各方均需提供上述证明。</w:t>
            </w:r>
          </w:p>
        </w:tc>
      </w:tr>
    </w:tbl>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2、落实政府采购政策需满足的资格要求（按照采购公告的要求提供）</w:t>
      </w:r>
    </w:p>
    <w:p>
      <w:pPr>
        <w:spacing w:line="360" w:lineRule="auto"/>
        <w:jc w:val="left"/>
        <w:rPr>
          <w:rFonts w:ascii="宋体" w:hAnsi="宋体" w:cs="宋体"/>
          <w:b/>
          <w:color w:val="000000" w:themeColor="text1"/>
          <w:szCs w:val="21"/>
          <w14:textFill>
            <w14:solidFill>
              <w14:schemeClr w14:val="tx1"/>
            </w14:solidFill>
          </w14:textFill>
        </w:rPr>
      </w:pPr>
    </w:p>
    <w:p>
      <w:p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3、本项目的特定资格要求（按照采购公告的要求提供）</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73"/>
        <w:gridCol w:w="3709"/>
        <w:gridCol w:w="173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0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2.1供应商自行承诺表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3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采购文件的商务条款</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供应商承诺</w:t>
            </w:r>
          </w:p>
        </w:tc>
        <w:tc>
          <w:tcPr>
            <w:tcW w:w="1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供应商的关联性</w:t>
            </w:r>
          </w:p>
        </w:tc>
        <w:tc>
          <w:tcPr>
            <w:tcW w:w="3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满足/不满足</w:t>
            </w:r>
          </w:p>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（或列出所有关联性单位）</w:t>
            </w:r>
          </w:p>
        </w:tc>
        <w:tc>
          <w:tcPr>
            <w:tcW w:w="11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失信被执行人、重大税收违法案件当事人名单，以及重大违法纪录</w:t>
            </w:r>
          </w:p>
        </w:tc>
        <w:tc>
          <w:tcPr>
            <w:tcW w:w="3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不得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满足/不满足</w:t>
            </w:r>
          </w:p>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（请在本表后付其截图）</w:t>
            </w:r>
          </w:p>
        </w:tc>
        <w:tc>
          <w:tcPr>
            <w:tcW w:w="11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保证金</w:t>
            </w:r>
          </w:p>
        </w:tc>
        <w:tc>
          <w:tcPr>
            <w:tcW w:w="3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根据江苏省财政厅的规定，为降低投标人投标成本，取消政府采购投标保证金。</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无须填写</w:t>
            </w:r>
          </w:p>
        </w:tc>
        <w:tc>
          <w:tcPr>
            <w:tcW w:w="11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26"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法定代表人或其委托代理人（签字）：                       </w:t>
            </w:r>
            <w:r>
              <w:rPr>
                <w:rFonts w:hint="eastAsia" w:ascii="宋体" w:hAnsi="宋体" w:cs="宋体"/>
                <w:b/>
                <w:color w:val="000000" w:themeColor="text1"/>
                <w:szCs w:val="21"/>
                <w:u w:val="single"/>
                <w14:textFill>
                  <w14:solidFill>
                    <w14:schemeClr w14:val="tx1"/>
                  </w14:solidFill>
                </w14:textFill>
              </w:rPr>
              <w:tab/>
            </w:r>
          </w:p>
          <w:p>
            <w:pP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供应商(盖单位章)：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26"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1.用“满足/不满足/”响应来表明该要求是否被满足；</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2.供应商对本表承诺的真实性负责；</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有关联关系单位的（与供应商单位负责人为同一人或存在直接控股、管理关系的其他单位），如供应商知道未参加同一合同项下的政府采购活动的，填“满足”。如供应商不知道，须列出所有有关联关系的单位（可另页表达）。</w:t>
            </w:r>
          </w:p>
        </w:tc>
      </w:tr>
    </w:tbl>
    <w:p>
      <w:pPr>
        <w:pStyle w:val="16"/>
        <w:tabs>
          <w:tab w:val="left" w:pos="5580"/>
        </w:tabs>
        <w:spacing w:line="600" w:lineRule="exact"/>
        <w:rPr>
          <w:rFonts w:hAnsi="宋体" w:cs="宋体"/>
          <w:b/>
          <w:color w:val="000000" w:themeColor="text1"/>
          <w:sz w:val="21"/>
          <w:szCs w:val="21"/>
          <w14:textFill>
            <w14:solidFill>
              <w14:schemeClr w14:val="tx1"/>
            </w14:solidFill>
          </w14:textFill>
        </w:rPr>
      </w:pPr>
    </w:p>
    <w:p>
      <w:pPr>
        <w:spacing w:line="696" w:lineRule="auto"/>
        <w:jc w:val="center"/>
        <w:outlineLvl w:val="1"/>
        <w:rPr>
          <w:rFonts w:ascii="宋体" w:hAnsi="宋体" w:cs="宋体"/>
          <w:b/>
          <w:color w:val="000000"/>
          <w:kern w:val="0"/>
          <w:sz w:val="28"/>
          <w:szCs w:val="28"/>
        </w:rPr>
      </w:pPr>
      <w:bookmarkStart w:id="233" w:name="_Toc108881193"/>
      <w:bookmarkStart w:id="234" w:name="_Toc20248"/>
      <w:bookmarkStart w:id="235" w:name="_Toc115881335"/>
      <w:r>
        <w:rPr>
          <w:rFonts w:hint="eastAsia" w:ascii="宋体" w:hAnsi="宋体" w:cs="宋体"/>
          <w:b/>
          <w:color w:val="000000"/>
          <w:kern w:val="0"/>
          <w:sz w:val="28"/>
          <w:szCs w:val="28"/>
        </w:rPr>
        <w:t>三、法定代表人授权委托书(格式）</w:t>
      </w:r>
      <w:bookmarkEnd w:id="233"/>
      <w:bookmarkEnd w:id="234"/>
      <w:bookmarkEnd w:id="235"/>
    </w:p>
    <w:p>
      <w:pPr>
        <w:pStyle w:val="5"/>
        <w:spacing w:line="600" w:lineRule="exact"/>
        <w:ind w:firstLine="422"/>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（自然人投标的无需提供）</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本授权书声明：注册于</w:t>
      </w:r>
      <w:r>
        <w:rPr>
          <w:rFonts w:hint="eastAsia" w:ascii="宋体" w:hAnsi="宋体" w:cs="宋体"/>
          <w:b/>
          <w:i/>
          <w:color w:val="000000" w:themeColor="text1"/>
          <w:szCs w:val="21"/>
          <w:u w:val="single"/>
          <w14:textFill>
            <w14:solidFill>
              <w14:schemeClr w14:val="tx1"/>
            </w14:solidFill>
          </w14:textFill>
        </w:rPr>
        <w:t xml:space="preserve">           （地区的名称。例：江苏盐城）</w:t>
      </w:r>
      <w:r>
        <w:rPr>
          <w:rFonts w:hint="eastAsia" w:ascii="宋体" w:hAnsi="宋体" w:cs="宋体"/>
          <w:color w:val="000000" w:themeColor="text1"/>
          <w:szCs w:val="21"/>
          <w14:textFill>
            <w14:solidFill>
              <w14:schemeClr w14:val="tx1"/>
            </w14:solidFill>
          </w14:textFill>
        </w:rPr>
        <w:t>的</w:t>
      </w:r>
      <w:r>
        <w:rPr>
          <w:rFonts w:hint="eastAsia" w:ascii="宋体" w:hAnsi="宋体" w:cs="宋体"/>
          <w:b/>
          <w:i/>
          <w:color w:val="000000" w:themeColor="text1"/>
          <w:szCs w:val="21"/>
          <w:u w:val="single"/>
          <w14:textFill>
            <w14:solidFill>
              <w14:schemeClr w14:val="tx1"/>
            </w14:solidFill>
          </w14:textFill>
        </w:rPr>
        <w:t xml:space="preserve">           （投标人）</w:t>
      </w:r>
      <w:r>
        <w:rPr>
          <w:rFonts w:hint="eastAsia" w:ascii="宋体" w:hAnsi="宋体" w:cs="宋体"/>
          <w:color w:val="000000" w:themeColor="text1"/>
          <w:szCs w:val="21"/>
          <w14:textFill>
            <w14:solidFill>
              <w14:schemeClr w14:val="tx1"/>
            </w14:solidFill>
          </w14:textFill>
        </w:rPr>
        <w:t>的在下面签字的</w:t>
      </w:r>
      <w:r>
        <w:rPr>
          <w:rFonts w:hint="eastAsia" w:ascii="宋体" w:hAnsi="宋体" w:cs="宋体"/>
          <w:b/>
          <w:i/>
          <w:color w:val="000000" w:themeColor="text1"/>
          <w:szCs w:val="21"/>
          <w:u w:val="single"/>
          <w14:textFill>
            <w14:solidFill>
              <w14:schemeClr w14:val="tx1"/>
            </w14:solidFill>
          </w14:textFill>
        </w:rPr>
        <w:t xml:space="preserve">         （法人代表姓名、职务）</w:t>
      </w:r>
      <w:r>
        <w:rPr>
          <w:rFonts w:hint="eastAsia" w:ascii="宋体" w:hAnsi="宋体" w:cs="宋体"/>
          <w:color w:val="000000" w:themeColor="text1"/>
          <w:szCs w:val="21"/>
          <w14:textFill>
            <w14:solidFill>
              <w14:schemeClr w14:val="tx1"/>
            </w14:solidFill>
          </w14:textFill>
        </w:rPr>
        <w:t>代表我单位授权</w:t>
      </w:r>
      <w:r>
        <w:rPr>
          <w:rFonts w:hint="eastAsia" w:ascii="宋体" w:hAnsi="宋体" w:cs="宋体"/>
          <w:b/>
          <w:i/>
          <w:color w:val="000000" w:themeColor="text1"/>
          <w:szCs w:val="21"/>
          <w:u w:val="single"/>
          <w14:textFill>
            <w14:solidFill>
              <w14:schemeClr w14:val="tx1"/>
            </w14:solidFill>
          </w14:textFill>
        </w:rPr>
        <w:t xml:space="preserve">                   （单位名称）</w:t>
      </w:r>
      <w:r>
        <w:rPr>
          <w:rFonts w:hint="eastAsia" w:ascii="宋体" w:hAnsi="宋体" w:cs="宋体"/>
          <w:color w:val="000000" w:themeColor="text1"/>
          <w:szCs w:val="21"/>
          <w14:textFill>
            <w14:solidFill>
              <w14:schemeClr w14:val="tx1"/>
            </w14:solidFill>
          </w14:textFill>
        </w:rPr>
        <w:t>的在下面签字的</w:t>
      </w:r>
      <w:r>
        <w:rPr>
          <w:rFonts w:hint="eastAsia" w:ascii="宋体" w:hAnsi="宋体" w:cs="宋体"/>
          <w:b/>
          <w:i/>
          <w:color w:val="000000" w:themeColor="text1"/>
          <w:szCs w:val="21"/>
          <w:u w:val="single"/>
          <w14:textFill>
            <w14:solidFill>
              <w14:schemeClr w14:val="tx1"/>
            </w14:solidFill>
          </w14:textFill>
        </w:rPr>
        <w:t xml:space="preserve">                （被授权人的姓名、职务）</w:t>
      </w:r>
      <w:r>
        <w:rPr>
          <w:rFonts w:hint="eastAsia" w:ascii="宋体" w:hAnsi="宋体" w:cs="宋体"/>
          <w:color w:val="000000" w:themeColor="text1"/>
          <w:szCs w:val="21"/>
          <w14:textFill>
            <w14:solidFill>
              <w14:schemeClr w14:val="tx1"/>
            </w14:solidFill>
          </w14:textFill>
        </w:rPr>
        <w:t>为我单位的合法代理人（授权代表），就</w:t>
      </w:r>
      <w:r>
        <w:rPr>
          <w:rFonts w:hint="eastAsia" w:ascii="宋体" w:hAnsi="宋体" w:cs="宋体"/>
          <w:b/>
          <w:i/>
          <w:color w:val="000000" w:themeColor="text1"/>
          <w:szCs w:val="21"/>
          <w:u w:val="single"/>
          <w14:textFill>
            <w14:solidFill>
              <w14:schemeClr w14:val="tx1"/>
            </w14:solidFill>
          </w14:textFill>
        </w:rPr>
        <w:t xml:space="preserve">             （项目名称）</w:t>
      </w:r>
      <w:r>
        <w:rPr>
          <w:rFonts w:hint="eastAsia" w:ascii="宋体" w:hAnsi="宋体" w:cs="宋体"/>
          <w:color w:val="000000" w:themeColor="text1"/>
          <w:szCs w:val="21"/>
          <w14:textFill>
            <w14:solidFill>
              <w14:schemeClr w14:val="tx1"/>
            </w14:solidFill>
          </w14:textFill>
        </w:rPr>
        <w:t>的投标（响应），以我单位名义处理一切与之有关的事务。</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本授权书于</w:t>
      </w:r>
      <w:r>
        <w:rPr>
          <w:rFonts w:hint="eastAsia" w:ascii="宋体" w:hAnsi="宋体" w:cs="宋体"/>
          <w:color w:val="000000" w:themeColor="text1"/>
          <w:szCs w:val="21"/>
          <w:u w:val="single"/>
          <w14:textFill>
            <w14:solidFill>
              <w14:schemeClr w14:val="tx1"/>
            </w14:solidFill>
          </w14:textFill>
        </w:rPr>
        <w:t xml:space="preserve">           年     月     </w:t>
      </w:r>
      <w:r>
        <w:rPr>
          <w:rFonts w:hint="eastAsia" w:ascii="宋体" w:hAnsi="宋体" w:cs="宋体"/>
          <w:color w:val="000000" w:themeColor="text1"/>
          <w:szCs w:val="21"/>
          <w14:textFill>
            <w14:solidFill>
              <w14:schemeClr w14:val="tx1"/>
            </w14:solidFill>
          </w14:textFill>
        </w:rPr>
        <w:t>日签字生效,特此声明。</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投标人（盖单位章）：</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法定代表人（签字或签章）：</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委托代理人（签字或签章）：</w:t>
      </w:r>
    </w:p>
    <w:p>
      <w:pPr>
        <w:spacing w:line="6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p>
    <w:p>
      <w:pPr>
        <w:spacing w:line="600" w:lineRule="exact"/>
        <w:ind w:firstLine="420" w:firstLineChars="200"/>
        <w:jc w:val="center"/>
        <w:rPr>
          <w:rFonts w:ascii="宋体" w:hAnsi="宋体" w:cs="宋体"/>
          <w:color w:val="000000" w:themeColor="text1"/>
          <w:szCs w:val="21"/>
          <w14:textFill>
            <w14:solidFill>
              <w14:schemeClr w14:val="tx1"/>
            </w14:solidFill>
          </w14:textFill>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法定代表人有效身份证明</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委托代理人（被授权人）有效身份证明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（身份证复印件粘贴处）</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（可电子粘贴）</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（身份证复印件粘贴处）</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（可电子粘贴）</w:t>
            </w:r>
          </w:p>
          <w:p>
            <w:pPr>
              <w:jc w:val="center"/>
              <w:rPr>
                <w:rFonts w:ascii="宋体" w:hAnsi="宋体" w:cs="宋体"/>
                <w:i/>
                <w:color w:val="000000" w:themeColor="text1"/>
                <w:szCs w:val="21"/>
                <w14:textFill>
                  <w14:solidFill>
                    <w14:schemeClr w14:val="tx1"/>
                  </w14:solidFill>
                </w14:textFill>
              </w:rPr>
            </w:pPr>
          </w:p>
          <w:p>
            <w:pPr>
              <w:jc w:val="center"/>
              <w:rPr>
                <w:rFonts w:ascii="宋体" w:hAnsi="宋体" w:cs="宋体"/>
                <w:i/>
                <w:color w:val="000000" w:themeColor="text1"/>
                <w:szCs w:val="21"/>
                <w14:textFill>
                  <w14:solidFill>
                    <w14:schemeClr w14:val="tx1"/>
                  </w14:solidFill>
                </w14:textFill>
              </w:rPr>
            </w:pPr>
            <w:r>
              <w:rPr>
                <w:rFonts w:hint="eastAsia" w:ascii="宋体" w:hAnsi="宋体" w:cs="宋体"/>
                <w:i/>
                <w:color w:val="000000" w:themeColor="text1"/>
                <w:szCs w:val="21"/>
                <w14:textFill>
                  <w14:solidFill>
                    <w14:schemeClr w14:val="tx1"/>
                  </w14:solidFill>
                </w14:textFill>
              </w:rPr>
              <w:t>（证明材料可另页，不限于本框内）</w:t>
            </w:r>
          </w:p>
        </w:tc>
      </w:tr>
    </w:tbl>
    <w:p>
      <w:pPr>
        <w:pStyle w:val="5"/>
        <w:spacing w:line="600" w:lineRule="exact"/>
        <w:ind w:firstLine="422"/>
        <w:jc w:val="center"/>
        <w:rPr>
          <w:rFonts w:ascii="宋体" w:hAnsi="宋体" w:cs="宋体"/>
          <w:b/>
          <w:i/>
          <w:color w:val="000000" w:themeColor="text1"/>
          <w:sz w:val="21"/>
          <w:szCs w:val="21"/>
          <w:u w:val="single"/>
          <w14:textFill>
            <w14:solidFill>
              <w14:schemeClr w14:val="tx1"/>
            </w14:solidFill>
          </w14:textFill>
        </w:rPr>
      </w:pPr>
      <w:r>
        <w:rPr>
          <w:rFonts w:hint="eastAsia" w:ascii="宋体" w:hAnsi="宋体" w:cs="宋体"/>
          <w:b/>
          <w:color w:val="000000" w:themeColor="text1"/>
          <w:sz w:val="21"/>
          <w:szCs w:val="21"/>
          <w:u w:val="single"/>
          <w14:textFill>
            <w14:solidFill>
              <w14:schemeClr w14:val="tx1"/>
            </w14:solidFill>
          </w14:textFill>
        </w:rPr>
        <w:t>（备注：如投标人组成联合体参加投标，则联合体各方均须加盖公章）</w:t>
      </w:r>
    </w:p>
    <w:p>
      <w:pPr>
        <w:pStyle w:val="22"/>
        <w:rPr>
          <w:rFonts w:ascii="宋体" w:hAnsi="宋体" w:cs="宋体"/>
          <w:color w:val="000000" w:themeColor="text1"/>
          <w:sz w:val="21"/>
          <w:szCs w:val="21"/>
          <w14:textFill>
            <w14:solidFill>
              <w14:schemeClr w14:val="tx1"/>
            </w14:solidFill>
          </w14:textFill>
        </w:rPr>
      </w:pPr>
    </w:p>
    <w:p>
      <w:pPr>
        <w:pStyle w:val="22"/>
        <w:rPr>
          <w:rFonts w:ascii="宋体" w:hAnsi="宋体" w:cs="宋体"/>
          <w:color w:val="000000" w:themeColor="text1"/>
          <w:sz w:val="21"/>
          <w:szCs w:val="21"/>
          <w14:textFill>
            <w14:solidFill>
              <w14:schemeClr w14:val="tx1"/>
            </w14:solidFill>
          </w14:textFill>
        </w:rPr>
      </w:pPr>
    </w:p>
    <w:p>
      <w:pPr>
        <w:pStyle w:val="22"/>
        <w:rPr>
          <w:rFonts w:ascii="宋体" w:hAnsi="宋体" w:cs="宋体"/>
          <w:color w:val="000000" w:themeColor="text1"/>
          <w:sz w:val="21"/>
          <w:szCs w:val="21"/>
          <w14:textFill>
            <w14:solidFill>
              <w14:schemeClr w14:val="tx1"/>
            </w14:solidFill>
          </w14:textFill>
        </w:rPr>
      </w:pPr>
    </w:p>
    <w:p>
      <w:pPr>
        <w:pStyle w:val="22"/>
        <w:rPr>
          <w:rFonts w:ascii="宋体" w:hAnsi="宋体" w:cs="宋体"/>
          <w:color w:val="000000" w:themeColor="text1"/>
          <w:sz w:val="21"/>
          <w:szCs w:val="21"/>
          <w14:textFill>
            <w14:solidFill>
              <w14:schemeClr w14:val="tx1"/>
            </w14:solidFill>
          </w14:textFill>
        </w:rPr>
      </w:pPr>
      <w:bookmarkStart w:id="236" w:name="_Toc115881336"/>
      <w:bookmarkStart w:id="237" w:name="_Toc108881194"/>
    </w:p>
    <w:p>
      <w:pPr>
        <w:spacing w:line="696" w:lineRule="auto"/>
        <w:jc w:val="center"/>
        <w:outlineLvl w:val="1"/>
        <w:rPr>
          <w:rFonts w:ascii="宋体" w:hAnsi="宋体" w:cs="宋体"/>
          <w:b/>
          <w:color w:val="000000"/>
          <w:kern w:val="0"/>
          <w:sz w:val="28"/>
          <w:szCs w:val="28"/>
        </w:rPr>
      </w:pPr>
      <w:bookmarkStart w:id="238" w:name="_Toc23670"/>
      <w:r>
        <w:rPr>
          <w:rFonts w:hint="eastAsia" w:ascii="宋体" w:hAnsi="宋体" w:cs="宋体"/>
          <w:b/>
          <w:color w:val="000000"/>
          <w:kern w:val="0"/>
          <w:sz w:val="28"/>
          <w:szCs w:val="28"/>
        </w:rPr>
        <w:t>四、投标书（格式）</w:t>
      </w:r>
      <w:bookmarkEnd w:id="236"/>
      <w:bookmarkEnd w:id="237"/>
      <w:bookmarkEnd w:id="238"/>
    </w:p>
    <w:p>
      <w:pPr>
        <w:pStyle w:val="22"/>
        <w:rPr>
          <w:rFonts w:ascii="宋体" w:hAnsi="宋体" w:cs="宋体"/>
          <w:color w:val="000000" w:themeColor="text1"/>
          <w:sz w:val="21"/>
          <w:szCs w:val="21"/>
          <w14:textFill>
            <w14:solidFill>
              <w14:schemeClr w14:val="tx1"/>
            </w14:solidFill>
          </w14:textFill>
        </w:rPr>
      </w:pPr>
    </w:p>
    <w:p>
      <w:pPr>
        <w:spacing w:line="36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致：    </w:t>
      </w:r>
      <w:r>
        <w:rPr>
          <w:rFonts w:hint="eastAsia" w:ascii="宋体" w:hAnsi="宋体" w:cs="宋体"/>
          <w:b/>
          <w:i/>
          <w:color w:val="000000" w:themeColor="text1"/>
          <w:szCs w:val="21"/>
          <w:u w:val="single"/>
          <w14:textFill>
            <w14:solidFill>
              <w14:schemeClr w14:val="tx1"/>
            </w14:solidFill>
          </w14:textFill>
        </w:rPr>
        <w:t>(</w:t>
      </w:r>
      <w:r>
        <w:rPr>
          <w:rFonts w:hint="eastAsia" w:ascii="宋体" w:hAnsi="宋体" w:cs="宋体"/>
          <w:b/>
          <w:i/>
          <w:color w:val="000000" w:themeColor="text1"/>
          <w:kern w:val="0"/>
          <w:szCs w:val="21"/>
          <w:u w:val="single"/>
          <w14:textFill>
            <w14:solidFill>
              <w14:schemeClr w14:val="tx1"/>
            </w14:solidFill>
          </w14:textFill>
        </w:rPr>
        <w:t>采购人或携手阳光公司的名称</w:t>
      </w:r>
      <w:r>
        <w:rPr>
          <w:rFonts w:hint="eastAsia" w:ascii="宋体" w:hAnsi="宋体" w:cs="宋体"/>
          <w:b/>
          <w:i/>
          <w:color w:val="000000" w:themeColor="text1"/>
          <w:szCs w:val="21"/>
          <w:u w:val="single"/>
          <w14:textFill>
            <w14:solidFill>
              <w14:schemeClr w14:val="tx1"/>
            </w14:solidFill>
          </w14:textFill>
        </w:rPr>
        <w:t>)</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根据贵方</w:t>
      </w:r>
      <w:r>
        <w:rPr>
          <w:rFonts w:hint="eastAsia" w:hAnsi="宋体" w:cs="宋体"/>
          <w:b/>
          <w:i/>
          <w:color w:val="000000" w:themeColor="text1"/>
          <w:sz w:val="21"/>
          <w:szCs w:val="21"/>
          <w:u w:val="single"/>
          <w14:textFill>
            <w14:solidFill>
              <w14:schemeClr w14:val="tx1"/>
            </w14:solidFill>
          </w14:textFill>
        </w:rPr>
        <w:t xml:space="preserve"> (项目名称)</w:t>
      </w:r>
      <w:r>
        <w:rPr>
          <w:rFonts w:hint="eastAsia" w:hAnsi="宋体" w:cs="宋体"/>
          <w:color w:val="000000" w:themeColor="text1"/>
          <w:sz w:val="21"/>
          <w:szCs w:val="21"/>
          <w14:textFill>
            <w14:solidFill>
              <w14:schemeClr w14:val="tx1"/>
            </w14:solidFill>
          </w14:textFill>
        </w:rPr>
        <w:t>项目的投标邀请</w:t>
      </w:r>
      <w:r>
        <w:rPr>
          <w:rFonts w:hint="eastAsia" w:hAnsi="宋体" w:cs="宋体"/>
          <w:b/>
          <w:i/>
          <w:color w:val="000000" w:themeColor="text1"/>
          <w:sz w:val="21"/>
          <w:szCs w:val="21"/>
          <w:u w:val="single"/>
          <w14:textFill>
            <w14:solidFill>
              <w14:schemeClr w14:val="tx1"/>
            </w14:solidFill>
          </w14:textFill>
        </w:rPr>
        <w:t>(采购编号)</w:t>
      </w:r>
      <w:r>
        <w:rPr>
          <w:rFonts w:hint="eastAsia" w:hAnsi="宋体" w:cs="宋体"/>
          <w:color w:val="000000" w:themeColor="text1"/>
          <w:sz w:val="21"/>
          <w:szCs w:val="21"/>
          <w14:textFill>
            <w14:solidFill>
              <w14:schemeClr w14:val="tx1"/>
            </w14:solidFill>
          </w14:textFill>
        </w:rPr>
        <w:t>,签字代表</w:t>
      </w:r>
      <w:r>
        <w:rPr>
          <w:rFonts w:hint="eastAsia" w:hAnsi="宋体" w:cs="宋体"/>
          <w:b/>
          <w:i/>
          <w:color w:val="000000" w:themeColor="text1"/>
          <w:sz w:val="21"/>
          <w:szCs w:val="21"/>
          <w:u w:val="single"/>
          <w14:textFill>
            <w14:solidFill>
              <w14:schemeClr w14:val="tx1"/>
            </w14:solidFill>
          </w14:textFill>
        </w:rPr>
        <w:t>(姓名、职务)</w:t>
      </w:r>
      <w:r>
        <w:rPr>
          <w:rFonts w:hint="eastAsia" w:hAnsi="宋体" w:cs="宋体"/>
          <w:color w:val="000000" w:themeColor="text1"/>
          <w:sz w:val="21"/>
          <w:szCs w:val="21"/>
          <w14:textFill>
            <w14:solidFill>
              <w14:schemeClr w14:val="tx1"/>
            </w14:solidFill>
          </w14:textFill>
        </w:rPr>
        <w:t>经正式授权并代表投标人</w:t>
      </w:r>
      <w:r>
        <w:rPr>
          <w:rFonts w:hint="eastAsia" w:hAnsi="宋体" w:cs="宋体"/>
          <w:b/>
          <w:i/>
          <w:color w:val="000000" w:themeColor="text1"/>
          <w:sz w:val="21"/>
          <w:szCs w:val="21"/>
          <w:u w:val="single"/>
          <w14:textFill>
            <w14:solidFill>
              <w14:schemeClr w14:val="tx1"/>
            </w14:solidFill>
          </w14:textFill>
        </w:rPr>
        <w:t>（投标人名称）</w:t>
      </w:r>
      <w:r>
        <w:rPr>
          <w:rFonts w:hint="eastAsia" w:hAnsi="宋体" w:cs="宋体"/>
          <w:color w:val="000000" w:themeColor="text1"/>
          <w:sz w:val="21"/>
          <w:szCs w:val="21"/>
          <w14:textFill>
            <w14:solidFill>
              <w14:schemeClr w14:val="tx1"/>
            </w14:solidFill>
          </w14:textFill>
        </w:rPr>
        <w:t>提交下述文件正本</w:t>
      </w:r>
      <w:r>
        <w:rPr>
          <w:rFonts w:hint="eastAsia" w:hAnsi="宋体" w:cs="宋体"/>
          <w:b/>
          <w:color w:val="000000" w:themeColor="text1"/>
          <w:sz w:val="21"/>
          <w:szCs w:val="21"/>
          <w:u w:val="single"/>
          <w14:textFill>
            <w14:solidFill>
              <w14:schemeClr w14:val="tx1"/>
            </w14:solidFill>
          </w14:textFill>
        </w:rPr>
        <w:t>1</w:t>
      </w:r>
      <w:r>
        <w:rPr>
          <w:rFonts w:hint="eastAsia" w:hAnsi="宋体" w:cs="宋体"/>
          <w:color w:val="000000" w:themeColor="text1"/>
          <w:sz w:val="21"/>
          <w:szCs w:val="21"/>
          <w14:textFill>
            <w14:solidFill>
              <w14:schemeClr w14:val="tx1"/>
            </w14:solidFill>
          </w14:textFill>
        </w:rPr>
        <w:t>份、副本4</w:t>
      </w:r>
      <w:r>
        <w:rPr>
          <w:rFonts w:hint="eastAsia" w:hAnsi="宋体" w:cs="宋体"/>
          <w:b/>
          <w:color w:val="000000" w:themeColor="text1"/>
          <w:sz w:val="21"/>
          <w:szCs w:val="21"/>
          <w14:textFill>
            <w14:solidFill>
              <w14:schemeClr w14:val="tx1"/>
            </w14:solidFill>
          </w14:textFill>
        </w:rPr>
        <w:t>份</w:t>
      </w:r>
      <w:r>
        <w:rPr>
          <w:rFonts w:hint="eastAsia" w:hAnsi="宋体" w:cs="宋体"/>
          <w:color w:val="000000" w:themeColor="text1"/>
          <w:sz w:val="21"/>
          <w:szCs w:val="21"/>
          <w14:textFill>
            <w14:solidFill>
              <w14:schemeClr w14:val="tx1"/>
            </w14:solidFill>
          </w14:textFill>
        </w:rPr>
        <w:t>。</w:t>
      </w:r>
    </w:p>
    <w:p>
      <w:pPr>
        <w:pStyle w:val="16"/>
        <w:tabs>
          <w:tab w:val="left" w:pos="5580"/>
        </w:tabs>
        <w:spacing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据此，签字代表宣布同意如下：</w:t>
      </w:r>
    </w:p>
    <w:p>
      <w:pPr>
        <w:pStyle w:val="16"/>
        <w:tabs>
          <w:tab w:val="left" w:pos="5580"/>
        </w:tabs>
        <w:spacing w:line="360" w:lineRule="auto"/>
        <w:ind w:firstLine="420" w:firstLineChars="200"/>
        <w:rPr>
          <w:rFonts w:hAnsi="宋体" w:cs="宋体"/>
          <w:color w:val="000000" w:themeColor="text1"/>
          <w:spacing w:val="15"/>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（1）附投标价格表中规定的应提供产品（货物、服务、工程）的投标总价详见开标一览表。</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（2）本投标有效期为自投标截止之日起</w:t>
      </w:r>
      <w:r>
        <w:rPr>
          <w:rFonts w:hint="eastAsia" w:hAnsi="宋体" w:cs="宋体"/>
          <w:color w:val="000000" w:themeColor="text1"/>
          <w:sz w:val="21"/>
          <w:szCs w:val="21"/>
          <w:u w:val="single"/>
          <w14:textFill>
            <w14:solidFill>
              <w14:schemeClr w14:val="tx1"/>
            </w14:solidFill>
          </w14:textFill>
        </w:rPr>
        <w:t>60</w:t>
      </w:r>
      <w:r>
        <w:rPr>
          <w:rFonts w:hint="eastAsia" w:hAnsi="宋体" w:cs="宋体"/>
          <w:color w:val="000000" w:themeColor="text1"/>
          <w:sz w:val="21"/>
          <w:szCs w:val="21"/>
          <w14:textFill>
            <w14:solidFill>
              <w14:schemeClr w14:val="tx1"/>
            </w14:solidFill>
          </w14:textFill>
        </w:rPr>
        <w:t>个日历日。</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（3）已详细审查全部招标文件，包括所有补充通知（如果有的话），完全理解并同意放弃对这方面有不明、误解和质疑的权力。</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（4）在规定的开标时间后，遵守招标文件中有关保证金的规定。</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（5）我方不是为本项目提供整体设计、规范编制或者项目管理、监理、检测等服务的供应商，我方不是采购代理机构的附属机构。</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（6）在领取中标通知书的同时按招标文件规定的形式，向盐城市携手阳光集中采购代理有限公司一次性支付中标服务费。</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（7）按照贵方可能要求，提供与其投标有关的一切数据或资料，完全理解贵方不一定接受最低价的投标或收到的任何投标。</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（8）按照招标文件的规定履行合同责任和义务。</w:t>
      </w:r>
    </w:p>
    <w:p>
      <w:pPr>
        <w:pStyle w:val="16"/>
        <w:tabs>
          <w:tab w:val="left" w:pos="5580"/>
        </w:tabs>
        <w:spacing w:line="360" w:lineRule="auto"/>
        <w:ind w:firstLine="422" w:firstLineChars="200"/>
        <w:rPr>
          <w:rFonts w:hAnsi="宋体" w:cs="宋体"/>
          <w:b/>
          <w:color w:val="000000" w:themeColor="text1"/>
          <w:sz w:val="21"/>
          <w:szCs w:val="21"/>
          <w:u w:val="single"/>
          <w14:textFill>
            <w14:solidFill>
              <w14:schemeClr w14:val="tx1"/>
            </w14:solidFill>
          </w14:textFill>
        </w:rPr>
      </w:pPr>
      <w:r>
        <w:rPr>
          <w:rFonts w:hint="eastAsia" w:hAnsi="宋体" w:cs="宋体"/>
          <w:b/>
          <w:color w:val="000000" w:themeColor="text1"/>
          <w:sz w:val="21"/>
          <w:szCs w:val="21"/>
          <w:u w:val="single"/>
          <w14:textFill>
            <w14:solidFill>
              <w14:schemeClr w14:val="tx1"/>
            </w14:solidFill>
          </w14:textFill>
        </w:rPr>
        <w:t>（9）评审期间，如采购人或携手阳光相关工作人员无法与我方委托代理人联系（联系</w:t>
      </w:r>
      <w:r>
        <w:rPr>
          <w:rFonts w:hint="eastAsia" w:hAnsi="宋体" w:cs="宋体"/>
          <w:b/>
          <w:i/>
          <w:color w:val="000000" w:themeColor="text1"/>
          <w:sz w:val="21"/>
          <w:szCs w:val="21"/>
          <w:u w:val="single"/>
          <w14:textFill>
            <w14:solidFill>
              <w14:schemeClr w14:val="tx1"/>
            </w14:solidFill>
          </w14:textFill>
        </w:rPr>
        <w:t xml:space="preserve">手机号： </w:t>
      </w:r>
      <w:r>
        <w:rPr>
          <w:rFonts w:hint="eastAsia" w:hAnsi="宋体" w:cs="宋体"/>
          <w:b/>
          <w:color w:val="000000" w:themeColor="text1"/>
          <w:sz w:val="21"/>
          <w:szCs w:val="21"/>
          <w:u w:val="single"/>
          <w14:textFill>
            <w14:solidFill>
              <w14:schemeClr w14:val="tx1"/>
            </w14:solidFill>
          </w14:textFill>
        </w:rPr>
        <w:t xml:space="preserve">                    ）或我方委托代理人接到通知后15分钟内未及时向评审人员进行澄清等（含未按要求提供相关证明材料等）情形的，评审人员有权视为我方放弃澄清等相关所有权益（以贵方或评审人员理解为准）。</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与本投标有关的一切正式往来信函请寄：</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地  址：</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投标人（须盖单位章）：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法定代表人或其委托代理人(须签字或盖章)：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电子函件或传真：</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p>
    <w:p>
      <w:pPr>
        <w:spacing w:line="696" w:lineRule="auto"/>
        <w:jc w:val="center"/>
        <w:rPr>
          <w:rFonts w:ascii="宋体" w:hAnsi="宋体" w:cs="宋体"/>
          <w:b/>
          <w:bCs/>
          <w:color w:val="000000" w:themeColor="text1"/>
          <w:szCs w:val="21"/>
          <w14:textFill>
            <w14:solidFill>
              <w14:schemeClr w14:val="tx1"/>
            </w14:solidFill>
          </w14:textFill>
        </w:rPr>
      </w:pPr>
      <w:bookmarkStart w:id="239" w:name="_Toc108881195"/>
    </w:p>
    <w:p>
      <w:pPr>
        <w:spacing w:line="696" w:lineRule="auto"/>
        <w:jc w:val="center"/>
        <w:outlineLvl w:val="1"/>
        <w:rPr>
          <w:rFonts w:ascii="宋体" w:hAnsi="宋体" w:cs="宋体"/>
          <w:b/>
          <w:color w:val="000000"/>
          <w:kern w:val="0"/>
          <w:sz w:val="28"/>
          <w:szCs w:val="28"/>
        </w:rPr>
      </w:pPr>
      <w:bookmarkStart w:id="240" w:name="_Toc115881337"/>
      <w:bookmarkStart w:id="241" w:name="_Toc27961"/>
      <w:r>
        <w:rPr>
          <w:rFonts w:hint="eastAsia" w:ascii="宋体" w:hAnsi="宋体" w:cs="宋体"/>
          <w:b/>
          <w:color w:val="000000"/>
          <w:kern w:val="0"/>
          <w:sz w:val="28"/>
          <w:szCs w:val="28"/>
        </w:rPr>
        <w:t>五、盐城市政府采购事前信用承诺书（格式）</w:t>
      </w:r>
      <w:bookmarkEnd w:id="239"/>
      <w:bookmarkEnd w:id="240"/>
      <w:bookmarkEnd w:id="241"/>
    </w:p>
    <w:p>
      <w:pPr>
        <w:spacing w:line="540" w:lineRule="atLeast"/>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为营造我市公开、公平、公正、诚实守信的政府采购交易环境，树立诚信守法的投标人形象，本人代表本单位作出以下承诺：</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（四）严格遵守即时信息公示规定，及时维护和更新盐城市政府采购网中与本单位相关的信息；</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（六）自觉接受政府、行业组织、社会公众、新闻舆论的监督；</w:t>
      </w:r>
    </w:p>
    <w:p>
      <w:pPr>
        <w:widowControl/>
        <w:spacing w:line="54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（八）本人已认真阅读了上述承诺，并向本单位员工作了宣传教育。</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投标人（须盖单位章）：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法定代表人 (须签字或盖章)：</w:t>
      </w:r>
    </w:p>
    <w:p>
      <w:pPr>
        <w:pStyle w:val="16"/>
        <w:tabs>
          <w:tab w:val="left" w:pos="5580"/>
        </w:tabs>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日  期：</w:t>
      </w:r>
    </w:p>
    <w:p>
      <w:pPr>
        <w:pStyle w:val="22"/>
        <w:rPr>
          <w:rFonts w:ascii="宋体" w:hAnsi="宋体" w:cs="宋体"/>
          <w:color w:val="000000" w:themeColor="text1"/>
          <w:sz w:val="21"/>
          <w:szCs w:val="21"/>
          <w14:textFill>
            <w14:solidFill>
              <w14:schemeClr w14:val="tx1"/>
            </w14:solidFill>
          </w14:textFill>
        </w:rPr>
      </w:pPr>
      <w:bookmarkStart w:id="242" w:name="_Toc115881338"/>
      <w:bookmarkStart w:id="243" w:name="_Toc108881196"/>
    </w:p>
    <w:p>
      <w:pPr>
        <w:spacing w:line="696" w:lineRule="auto"/>
        <w:jc w:val="center"/>
        <w:outlineLvl w:val="1"/>
        <w:rPr>
          <w:rFonts w:ascii="宋体" w:hAnsi="宋体" w:cs="宋体"/>
          <w:b/>
          <w:color w:val="000000"/>
          <w:kern w:val="0"/>
          <w:sz w:val="28"/>
          <w:szCs w:val="28"/>
        </w:rPr>
      </w:pPr>
      <w:bookmarkStart w:id="244" w:name="_Toc14155"/>
      <w:r>
        <w:rPr>
          <w:rFonts w:hint="eastAsia" w:ascii="宋体" w:hAnsi="宋体" w:cs="宋体"/>
          <w:b/>
          <w:color w:val="000000"/>
          <w:kern w:val="0"/>
          <w:sz w:val="28"/>
          <w:szCs w:val="28"/>
        </w:rPr>
        <w:t>六、投标分项报价表（格式）</w:t>
      </w:r>
      <w:bookmarkEnd w:id="242"/>
      <w:bookmarkEnd w:id="243"/>
      <w:bookmarkEnd w:id="244"/>
    </w:p>
    <w:tbl>
      <w:tblPr>
        <w:tblStyle w:val="30"/>
        <w:tblpPr w:leftFromText="180" w:rightFromText="180" w:vertAnchor="text" w:horzAnchor="margin" w:tblpY="29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5"/>
        <w:gridCol w:w="1560"/>
        <w:gridCol w:w="2268"/>
        <w:gridCol w:w="822"/>
        <w:gridCol w:w="832"/>
        <w:gridCol w:w="98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765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65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681"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695"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分项名称</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（品目）</w:t>
            </w:r>
          </w:p>
        </w:tc>
        <w:tc>
          <w:tcPr>
            <w:tcW w:w="1560"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货物的品牌</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或制造商名称</w:t>
            </w:r>
          </w:p>
        </w:tc>
        <w:tc>
          <w:tcPr>
            <w:tcW w:w="2268"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型号和规格</w:t>
            </w:r>
          </w:p>
        </w:tc>
        <w:tc>
          <w:tcPr>
            <w:tcW w:w="82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产地</w:t>
            </w:r>
          </w:p>
        </w:tc>
        <w:tc>
          <w:tcPr>
            <w:tcW w:w="83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98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1191" w:type="dxa"/>
            <w:tcBorders>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名称</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i/>
                <w:color w:val="000000" w:themeColor="text1"/>
                <w:szCs w:val="21"/>
                <w:u w:val="singl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技术性能在《技术要求响应情况表》中响应</w:t>
            </w: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（★主要的产品信息必填）</w:t>
            </w: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i/>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i/>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备品备件</w:t>
            </w: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专用工具</w:t>
            </w:r>
          </w:p>
        </w:tc>
        <w:tc>
          <w:tcPr>
            <w:tcW w:w="1560"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top w:val="single" w:color="auto" w:sz="4" w:space="0"/>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安装、调试、检验</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培训</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技术服务</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货物运至最终目的地的运输费和保险费用</w:t>
            </w: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p>
        </w:tc>
        <w:tc>
          <w:tcPr>
            <w:tcW w:w="1560" w:type="dxa"/>
            <w:tcBorders>
              <w:left w:val="single" w:color="auto" w:sz="4" w:space="0"/>
              <w:right w:val="single" w:color="auto" w:sz="4" w:space="0"/>
            </w:tcBorders>
            <w:vAlign w:val="center"/>
          </w:tcPr>
          <w:p>
            <w:pPr>
              <w:spacing w:line="360" w:lineRule="auto"/>
              <w:rPr>
                <w:rFonts w:ascii="宋体" w:hAnsi="宋体" w:cs="宋体"/>
                <w:b/>
                <w:color w:val="000000" w:themeColor="text1"/>
                <w:szCs w:val="21"/>
                <w:u w:val="single"/>
                <w14:textFill>
                  <w14:solidFill>
                    <w14:schemeClr w14:val="tx1"/>
                  </w14:solidFill>
                </w14:textFill>
              </w:rPr>
            </w:pPr>
          </w:p>
        </w:tc>
        <w:tc>
          <w:tcPr>
            <w:tcW w:w="2268" w:type="dxa"/>
            <w:tcBorders>
              <w:left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8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8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91" w:type="dxa"/>
            <w:tcBorders>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总价（人民币）：</w:t>
            </w:r>
            <w:r>
              <w:rPr>
                <w:rFonts w:hint="eastAsia" w:ascii="宋体" w:hAnsi="宋体" w:cs="宋体"/>
                <w:b/>
                <w:color w:val="000000" w:themeColor="text1"/>
                <w:szCs w:val="21"/>
                <w:u w:val="single"/>
                <w14:textFill>
                  <w14:solidFill>
                    <w14:schemeClr w14:val="tx1"/>
                  </w14:solidFill>
                </w14:textFill>
              </w:rPr>
              <w:t xml:space="preserve">                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投标人(盖单位章)</w:t>
            </w: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1.如果本表与开标一览表（报价表）内容不一致的，以开标一览表（报价表）内容为准；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2.投标人应如实填写货物名称、型号和规格、货物运至最终目的地的运输费和保险费用等。</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3.上述各项的详细分项报价，可以另页描述。如果投标人认为需要，可以每种品目填写一份该表。</w:t>
            </w:r>
          </w:p>
        </w:tc>
      </w:tr>
    </w:tbl>
    <w:p>
      <w:pPr>
        <w:pStyle w:val="16"/>
        <w:tabs>
          <w:tab w:val="left" w:pos="5580"/>
        </w:tabs>
        <w:spacing w:line="360" w:lineRule="auto"/>
        <w:rPr>
          <w:rFonts w:hAnsi="宋体" w:cs="宋体"/>
          <w:color w:val="000000" w:themeColor="text1"/>
          <w:sz w:val="21"/>
          <w:szCs w:val="21"/>
          <w14:textFill>
            <w14:solidFill>
              <w14:schemeClr w14:val="tx1"/>
            </w14:solidFill>
          </w14:textFill>
        </w:rPr>
      </w:pPr>
    </w:p>
    <w:p>
      <w:pPr>
        <w:pStyle w:val="16"/>
        <w:tabs>
          <w:tab w:val="left" w:pos="5580"/>
        </w:tabs>
        <w:spacing w:line="360" w:lineRule="auto"/>
        <w:rPr>
          <w:rFonts w:hAnsi="宋体" w:cs="宋体"/>
          <w:color w:val="000000" w:themeColor="text1"/>
          <w:sz w:val="21"/>
          <w:szCs w:val="21"/>
          <w14:textFill>
            <w14:solidFill>
              <w14:schemeClr w14:val="tx1"/>
            </w14:solidFill>
          </w14:textFill>
        </w:rPr>
      </w:pPr>
    </w:p>
    <w:tbl>
      <w:tblPr>
        <w:tblStyle w:val="30"/>
        <w:tblpPr w:leftFromText="180" w:rightFromText="180" w:vertAnchor="text" w:horzAnchor="margin" w:tblpY="9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45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名称（品目）</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产品质量标准</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合格（符合国家强制标准），全新原厂原件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免费质量保证期</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提供       年免费原厂质保（均须为原厂原件</w:t>
            </w:r>
            <w:r>
              <w:rPr>
                <w:rFonts w:hint="eastAsia" w:ascii="宋体" w:hAnsi="宋体" w:cs="宋体"/>
                <w:color w:val="000000" w:themeColor="text1"/>
                <w:szCs w:val="21"/>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交付或者实施的时间</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天（日历天）内供货（送达）、安装调试完毕并达到采购人的验收标准。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交付或者实施的地点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江苏盐城（具体地点服从采购人的另行通知）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是否接受招标文件的</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采购资金的支付方式、时间、条件（付款条件）</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（“接受”或“不接受”）</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是否接受招标文件的</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包装和运输要求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（“接受”或“不接受”）</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保险</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本次报价包括了与项目有关的保险费用。</w:t>
            </w:r>
          </w:p>
          <w:p>
            <w:pPr>
              <w:rPr>
                <w:rFonts w:ascii="宋体" w:hAnsi="宋体" w:cs="宋体"/>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其它承诺：</w:t>
            </w:r>
            <w:r>
              <w:rPr>
                <w:rFonts w:hint="eastAsia" w:ascii="宋体" w:hAnsi="宋体" w:cs="宋体"/>
                <w:i/>
                <w:iCs/>
                <w:color w:val="000000" w:themeColor="text1"/>
                <w:szCs w:val="2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7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具体的售后服务等其它要求</w:t>
            </w:r>
            <w:r>
              <w:rPr>
                <w:rFonts w:hint="eastAsia" w:ascii="宋体" w:hAnsi="宋体" w:cs="宋体"/>
                <w:b/>
                <w:i/>
                <w:color w:val="000000" w:themeColor="text1"/>
                <w:szCs w:val="21"/>
                <w:u w:val="single"/>
                <w14:textFill>
                  <w14:solidFill>
                    <w14:schemeClr w14:val="tx1"/>
                  </w14:solidFill>
                </w14:textFill>
              </w:rPr>
              <w:t>（可根据招标文件要求自行添加）</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i/>
                <w:iCs/>
                <w:color w:val="000000" w:themeColor="text1"/>
                <w:szCs w:val="21"/>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i/>
                <w:color w:val="000000" w:themeColor="text1"/>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u w:val="singl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b/>
                <w:i/>
                <w:color w:val="000000" w:themeColor="text1"/>
                <w:kern w:val="0"/>
                <w:szCs w:val="21"/>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法定代表人或其委托代理人（签字）：                  </w:t>
            </w:r>
          </w:p>
          <w:p>
            <w:pPr>
              <w:spacing w:line="456"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1.投标人需按招标文件中的商务要求进行应答（详细描述如何满足该需求）。</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2.如本表表格填写不便的，可以另页详述（应答），但必须给出确切的位置索引（标注内容的所在页码）。</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3.投标人可根据其投标内容进一步细化上述表格，并可增添其它表格或说明以便进一步明确投标内容。</w:t>
            </w:r>
          </w:p>
        </w:tc>
      </w:tr>
    </w:tbl>
    <w:p>
      <w:pPr>
        <w:spacing w:line="696" w:lineRule="auto"/>
        <w:jc w:val="center"/>
        <w:outlineLvl w:val="1"/>
        <w:rPr>
          <w:rFonts w:ascii="宋体" w:hAnsi="宋体" w:cs="宋体"/>
          <w:b/>
          <w:color w:val="000000"/>
          <w:kern w:val="0"/>
          <w:sz w:val="28"/>
          <w:szCs w:val="28"/>
        </w:rPr>
        <w:sectPr>
          <w:headerReference r:id="rId4" w:type="default"/>
          <w:footerReference r:id="rId5" w:type="default"/>
          <w:pgSz w:w="11906" w:h="16838"/>
          <w:pgMar w:top="1077" w:right="1077" w:bottom="1191" w:left="1304" w:header="680" w:footer="992" w:gutter="0"/>
          <w:cols w:space="720" w:num="1"/>
          <w:docGrid w:type="lines" w:linePitch="312" w:charSpace="0"/>
        </w:sectPr>
      </w:pPr>
      <w:bookmarkStart w:id="245" w:name="_Toc12089"/>
      <w:bookmarkStart w:id="246" w:name="_Toc115881339"/>
      <w:bookmarkStart w:id="247" w:name="_Toc108881197"/>
      <w:r>
        <w:rPr>
          <w:rFonts w:hint="eastAsia" w:ascii="宋体" w:hAnsi="宋体" w:cs="宋体"/>
          <w:b/>
          <w:color w:val="000000"/>
          <w:kern w:val="0"/>
          <w:sz w:val="28"/>
          <w:szCs w:val="28"/>
        </w:rPr>
        <w:t>七、商务要求响应情况表</w:t>
      </w:r>
      <w:bookmarkEnd w:id="245"/>
      <w:bookmarkEnd w:id="246"/>
      <w:bookmarkEnd w:id="247"/>
    </w:p>
    <w:tbl>
      <w:tblPr>
        <w:tblStyle w:val="30"/>
        <w:tblpPr w:leftFromText="180" w:rightFromText="180" w:vertAnchor="text" w:horzAnchor="margin" w:tblpY="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454"/>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名称（品目）</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招标文件要求</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例：“显示屏”</w:t>
            </w:r>
          </w:p>
          <w:p>
            <w:pPr>
              <w:pStyle w:val="16"/>
              <w:spacing w:line="360" w:lineRule="auto"/>
              <w:jc w:val="center"/>
              <w:rPr>
                <w:rFonts w:hAnsi="宋体" w:cs="宋体"/>
                <w:i/>
                <w:color w:val="000000" w:themeColor="text1"/>
                <w:sz w:val="21"/>
                <w:szCs w:val="21"/>
                <w:u w:val="single"/>
                <w14:textFill>
                  <w14:solidFill>
                    <w14:schemeClr w14:val="tx1"/>
                  </w14:solidFill>
                </w14:textFill>
              </w:rPr>
            </w:pPr>
            <w:r>
              <w:rPr>
                <w:rFonts w:hint="eastAsia" w:hAnsi="宋体" w:cs="宋体"/>
                <w:i/>
                <w:color w:val="000000" w:themeColor="text1"/>
                <w:sz w:val="21"/>
                <w:szCs w:val="21"/>
                <w:u w:val="single"/>
                <w14:textFill>
                  <w14:solidFill>
                    <w14:schemeClr w14:val="tx1"/>
                  </w14:solidFill>
                </w14:textFill>
              </w:rPr>
              <w:t>（注：仅示例如何填写，与投标内容无关）</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例：“LED显示屏，</w:t>
            </w:r>
            <w:r>
              <w:rPr>
                <w:rFonts w:hint="eastAsia" w:ascii="宋体" w:hAnsi="宋体" w:cs="宋体"/>
                <w:i/>
                <w:color w:val="000000" w:themeColor="text1"/>
                <w:szCs w:val="21"/>
                <w:u w:val="single"/>
                <w:shd w:val="clear" w:color="auto" w:fill="FFFFFF"/>
                <w14:textFill>
                  <w14:solidFill>
                    <w14:schemeClr w14:val="tx1"/>
                  </w14:solidFill>
                </w14:textFill>
              </w:rPr>
              <w:t>p2.5，模组尺寸160*160</w:t>
            </w:r>
            <w:r>
              <w:rPr>
                <w:rFonts w:hint="eastAsia" w:ascii="宋体" w:hAnsi="宋体" w:cs="宋体"/>
                <w:i/>
                <w:color w:val="000000" w:themeColor="text1"/>
                <w:szCs w:val="21"/>
                <w:u w:val="single"/>
                <w14:textFill>
                  <w14:solidFill>
                    <w14:schemeClr w14:val="tx1"/>
                  </w14:solidFill>
                </w14:textFill>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例1：“LED显示屏，</w:t>
            </w:r>
            <w:r>
              <w:rPr>
                <w:rFonts w:hint="eastAsia" w:ascii="宋体" w:hAnsi="宋体" w:cs="宋体"/>
                <w:i/>
                <w:color w:val="000000" w:themeColor="text1"/>
                <w:szCs w:val="21"/>
                <w:u w:val="single"/>
                <w:shd w:val="clear" w:color="auto" w:fill="FFFFFF"/>
                <w14:textFill>
                  <w14:solidFill>
                    <w14:schemeClr w14:val="tx1"/>
                  </w14:solidFill>
                </w14:textFill>
              </w:rPr>
              <w:t>p2.5，模组尺寸160*160</w:t>
            </w:r>
            <w:r>
              <w:rPr>
                <w:rFonts w:hint="eastAsia" w:ascii="宋体" w:hAnsi="宋体" w:cs="宋体"/>
                <w:i/>
                <w:color w:val="000000" w:themeColor="text1"/>
                <w:szCs w:val="21"/>
                <w:u w:val="single"/>
                <w14:textFill>
                  <w14:solidFill>
                    <w14:schemeClr w14:val="tx1"/>
                  </w14:solidFill>
                </w14:textFill>
              </w:rPr>
              <w:t>……；</w:t>
            </w:r>
          </w:p>
          <w:p>
            <w:pPr>
              <w:spacing w:line="360" w:lineRule="auto"/>
              <w:jc w:val="left"/>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例2：“详见投标文件第55页”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满足/不满足/</w:t>
            </w:r>
          </w:p>
          <w:p>
            <w:pPr>
              <w:spacing w:line="360" w:lineRule="auto"/>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可另页详述（应答），</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hAnsi="宋体" w:cs="宋体"/>
                <w:color w:val="000000" w:themeColor="text1"/>
                <w:sz w:val="21"/>
                <w:szCs w:val="21"/>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000000" w:themeColor="text1"/>
                <w:szCs w:val="21"/>
                <w:u w:val="single"/>
                <w14:textFill>
                  <w14:solidFill>
                    <w14:schemeClr w14:val="tx1"/>
                  </w14:solidFill>
                </w14:textFill>
              </w:rPr>
            </w:pPr>
            <w:r>
              <w:rPr>
                <w:rFonts w:hint="eastAsia" w:ascii="宋体" w:hAnsi="宋体" w:cs="宋体"/>
                <w:i/>
                <w:color w:val="000000" w:themeColor="text1"/>
                <w:szCs w:val="21"/>
                <w:u w:val="single"/>
                <w14:textFill>
                  <w14:solidFill>
                    <w14:schemeClr w14:val="tx1"/>
                  </w14:solidFill>
                </w14:textFill>
              </w:rPr>
              <w:t>行数不够，可按本表格式自行添加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我公司确认，除以上“偏离说明”栏中列明的偏差外，我公司无条件接受招标文件规定的所有技术要求（技术规格）等。</w:t>
            </w:r>
          </w:p>
          <w:p>
            <w:pPr>
              <w:spacing w:line="360" w:lineRule="auto"/>
              <w:jc w:val="left"/>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法定代表人或其委托代理人（签字）：                  </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1.投标人需按招标文件对技术要求（技术规格）进行应答（详细描述如何满足该需求）</w:t>
            </w:r>
            <w:r>
              <w:rPr>
                <w:rFonts w:hint="eastAsia" w:ascii="宋体" w:hAnsi="宋体" w:cs="宋体"/>
                <w:b/>
                <w:color w:val="000000" w:themeColor="text1"/>
                <w:szCs w:val="21"/>
                <w14:textFill>
                  <w14:solidFill>
                    <w14:schemeClr w14:val="tx1"/>
                  </w14:solidFill>
                </w14:textFill>
              </w:rPr>
              <w:t>不得直接复制粘贴采购要求，否则将视同为未实质性响应</w:t>
            </w:r>
            <w:r>
              <w:rPr>
                <w:rFonts w:hint="eastAsia" w:ascii="宋体" w:hAnsi="宋体" w:cs="宋体"/>
                <w:color w:val="000000" w:themeColor="text1"/>
                <w:szCs w:val="21"/>
                <w14:textFill>
                  <w14:solidFill>
                    <w14:schemeClr w14:val="tx1"/>
                  </w14:solidFill>
                </w14:textFill>
              </w:rPr>
              <w:t>。如本表表格填写不便的，可以另页详述（应答），但必须给出确切的位置索引（标注具体内容的所在页码）。</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用“满足/不满足/部分满足”响应来表明该需求是否被满足，不得使用“明白”、“理解”等词语。如与采购需求之间有偏差时必须用“部分满足”响应来表明该需求未被完全满足的情况，并用确切的描述解释如何规避该偏差。如不能实现采购需求时必须用“不满足”来响应。</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3.投标人可根据其投标内容进一步细化上述表格，并可增添其它表格或说明以便进一步明确投标内容。</w:t>
            </w:r>
          </w:p>
        </w:tc>
      </w:tr>
    </w:tbl>
    <w:p>
      <w:pPr>
        <w:spacing w:line="696" w:lineRule="auto"/>
        <w:jc w:val="center"/>
        <w:outlineLvl w:val="1"/>
        <w:rPr>
          <w:rFonts w:ascii="宋体" w:hAnsi="宋体" w:cs="宋体"/>
          <w:b/>
          <w:color w:val="000000"/>
          <w:kern w:val="0"/>
          <w:sz w:val="28"/>
          <w:szCs w:val="28"/>
        </w:rPr>
        <w:sectPr>
          <w:pgSz w:w="11906" w:h="16838"/>
          <w:pgMar w:top="1440" w:right="1080" w:bottom="1440" w:left="1080" w:header="851" w:footer="992" w:gutter="0"/>
          <w:cols w:space="720" w:num="1"/>
          <w:docGrid w:type="lines" w:linePitch="312" w:charSpace="0"/>
        </w:sectPr>
      </w:pPr>
      <w:bookmarkStart w:id="248" w:name="_Toc115881340"/>
      <w:bookmarkStart w:id="249" w:name="_Toc108881198"/>
      <w:bookmarkStart w:id="250" w:name="_Toc9072"/>
      <w:r>
        <w:rPr>
          <w:rFonts w:hint="eastAsia" w:ascii="宋体" w:hAnsi="宋体" w:cs="宋体"/>
          <w:b/>
          <w:color w:val="000000"/>
          <w:kern w:val="0"/>
          <w:sz w:val="28"/>
          <w:szCs w:val="28"/>
        </w:rPr>
        <w:t>八、技术要求响应情况表</w:t>
      </w:r>
      <w:bookmarkEnd w:id="248"/>
      <w:bookmarkEnd w:id="249"/>
      <w:bookmarkEnd w:id="250"/>
    </w:p>
    <w:p>
      <w:pPr>
        <w:spacing w:line="696" w:lineRule="auto"/>
        <w:jc w:val="center"/>
        <w:outlineLvl w:val="1"/>
        <w:rPr>
          <w:rFonts w:ascii="宋体" w:hAnsi="宋体" w:cs="宋体"/>
          <w:b/>
          <w:color w:val="000000" w:themeColor="text1"/>
          <w:sz w:val="28"/>
          <w:szCs w:val="28"/>
          <w14:textFill>
            <w14:solidFill>
              <w14:schemeClr w14:val="tx1"/>
            </w14:solidFill>
          </w14:textFill>
        </w:rPr>
      </w:pPr>
      <w:bookmarkStart w:id="251" w:name="_Toc145929028"/>
      <w:bookmarkStart w:id="252" w:name="_Toc22392"/>
      <w:r>
        <w:rPr>
          <w:rFonts w:hint="eastAsia" w:ascii="宋体" w:hAnsi="宋体" w:cs="宋体"/>
          <w:b/>
          <w:color w:val="000000" w:themeColor="text1"/>
          <w:sz w:val="28"/>
          <w:szCs w:val="28"/>
          <w14:textFill>
            <w14:solidFill>
              <w14:schemeClr w14:val="tx1"/>
            </w14:solidFill>
          </w14:textFill>
        </w:rPr>
        <w:t>九、投标文件的其它内容</w:t>
      </w:r>
      <w:bookmarkEnd w:id="251"/>
      <w:bookmarkEnd w:id="252"/>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证明投标标的的合格性和符合招标文件规定的技术文件等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（包括但不限于:招标文件要求及投标人认为应当提供相关文件等）</w:t>
      </w:r>
    </w:p>
    <w:p>
      <w:pPr>
        <w:spacing w:line="360" w:lineRule="auto"/>
        <w:jc w:val="center"/>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color w:val="000000"/>
          <w:spacing w:val="6"/>
          <w:szCs w:val="21"/>
        </w:rPr>
        <w:t>1.</w:t>
      </w:r>
      <w:r>
        <w:rPr>
          <w:rFonts w:hint="eastAsia" w:asciiTheme="minorEastAsia" w:hAnsiTheme="minorEastAsia" w:eastAsiaTheme="minorEastAsia" w:cstheme="minorEastAsia"/>
          <w:b/>
          <w:spacing w:val="6"/>
          <w:szCs w:val="21"/>
        </w:rPr>
        <w:t>《中小企业声明函》</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kern w:val="0"/>
          <w:szCs w:val="21"/>
          <w:u w:val="single"/>
        </w:rPr>
        <w:t>（单位名称）</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i/>
          <w:kern w:val="0"/>
          <w:szCs w:val="21"/>
          <w:u w:val="single"/>
        </w:rPr>
        <w:t>（项目名称）</w:t>
      </w:r>
      <w:r>
        <w:rPr>
          <w:rFonts w:hint="eastAsia" w:asciiTheme="minorEastAsia" w:hAnsiTheme="minorEastAsia" w:eastAsiaTheme="minorEastAsia" w:cstheme="minorEastAsia"/>
          <w:kern w:val="0"/>
          <w:szCs w:val="21"/>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15" w:firstLineChars="1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 </w:t>
      </w:r>
      <w:r>
        <w:rPr>
          <w:rFonts w:hint="eastAsia" w:asciiTheme="minorEastAsia" w:hAnsiTheme="minorEastAsia" w:eastAsiaTheme="minorEastAsia" w:cstheme="minorEastAsia"/>
          <w:i/>
          <w:kern w:val="0"/>
          <w:szCs w:val="21"/>
          <w:u w:val="single"/>
        </w:rPr>
        <w:t xml:space="preserve">（标的名称） </w:t>
      </w:r>
      <w:r>
        <w:rPr>
          <w:rFonts w:hint="eastAsia" w:asciiTheme="minorEastAsia" w:hAnsiTheme="minorEastAsia" w:eastAsiaTheme="minorEastAsia" w:cstheme="minorEastAsia"/>
          <w:kern w:val="0"/>
          <w:szCs w:val="21"/>
        </w:rPr>
        <w:t>，属于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，从业人员人，营业收入为万元，资产总额为万元①，属于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i/>
          <w:kern w:val="0"/>
          <w:szCs w:val="21"/>
          <w:u w:val="single"/>
        </w:rPr>
        <w:t>（标的名称）</w:t>
      </w:r>
      <w:r>
        <w:rPr>
          <w:rFonts w:hint="eastAsia" w:asciiTheme="minorEastAsia" w:hAnsiTheme="minorEastAsia" w:eastAsiaTheme="minorEastAsia" w:cstheme="minorEastAsia"/>
          <w:kern w:val="0"/>
          <w:szCs w:val="21"/>
        </w:rPr>
        <w:t xml:space="preserve"> ，属于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，从业人员人，营业收入为万元，资产总额为万元①，属于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本企业对上述声明内容的真实性负责。如有虚假，将依法承担相应责任。</w:t>
      </w:r>
    </w:p>
    <w:p>
      <w:pPr>
        <w:autoSpaceDE w:val="0"/>
        <w:autoSpaceDN w:val="0"/>
        <w:adjustRightInd w:val="0"/>
        <w:spacing w:line="360" w:lineRule="auto"/>
        <w:ind w:firstLine="4329" w:firstLineChars="19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6"/>
          <w:szCs w:val="21"/>
        </w:rPr>
        <w:t>企业名称（盖章）：</w:t>
      </w:r>
    </w:p>
    <w:p>
      <w:pPr>
        <w:autoSpaceDE w:val="0"/>
        <w:autoSpaceDN w:val="0"/>
        <w:adjustRightInd w:val="0"/>
        <w:spacing w:line="360" w:lineRule="auto"/>
        <w:ind w:firstLine="4305" w:firstLineChars="20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日期：年月日</w:t>
      </w:r>
    </w:p>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①从业人员、营业收入、资产总额填报上一年度数据，无上一年度数据的新成立企业可不填报</w:t>
      </w:r>
    </w:p>
    <w:p>
      <w:pPr>
        <w:pStyle w:val="11"/>
        <w:spacing w:line="360" w:lineRule="auto"/>
        <w:rPr>
          <w:rFonts w:asciiTheme="minorEastAsia" w:hAnsiTheme="minorEastAsia" w:eastAsiaTheme="minorEastAsia" w:cstheme="minorEastAsia"/>
          <w:sz w:val="21"/>
          <w:szCs w:val="21"/>
        </w:rPr>
      </w:pPr>
    </w:p>
    <w:p>
      <w:pPr>
        <w:keepNext/>
        <w:keepLine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2.《残疾人福利性单位声明函》</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cstheme="minorEastAsia"/>
          <w:szCs w:val="21"/>
        </w:rPr>
        <w:t>〔2017〕 141</w:t>
      </w:r>
      <w:r>
        <w:rPr>
          <w:rFonts w:hint="eastAsia" w:asciiTheme="minorEastAsia" w:hAnsiTheme="minorEastAsia" w:eastAsiaTheme="minorEastAsia" w:cstheme="minorEastAsia"/>
          <w:spacing w:val="6"/>
          <w:szCs w:val="21"/>
        </w:rPr>
        <w:t>号）的规定，本单位为符合条件的残疾人福利性单位。本单位参加</w:t>
      </w:r>
      <w:r>
        <w:rPr>
          <w:rFonts w:hint="eastAsia" w:asciiTheme="minorEastAsia" w:hAnsiTheme="minorEastAsia" w:eastAsiaTheme="minorEastAsia" w:cstheme="minorEastAsia"/>
          <w:szCs w:val="21"/>
        </w:rPr>
        <w:t>项目编号为的单位的项目采购活动</w:t>
      </w:r>
      <w:r>
        <w:rPr>
          <w:rFonts w:hint="eastAsia" w:asciiTheme="minorEastAsia" w:hAnsiTheme="minorEastAsia" w:eastAsiaTheme="minorEastAsia" w:cstheme="minorEastAsia"/>
          <w:spacing w:val="6"/>
          <w:szCs w:val="21"/>
        </w:rPr>
        <w:t>提供本单位制造的货物（由本单位承担工程、提供服务），或提供其他残疾人福利性单位制造的货物。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snapToGrid w:val="0"/>
        <w:spacing w:line="360" w:lineRule="auto"/>
        <w:ind w:firstLine="4200" w:firstLineChars="20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单位（公章）：</w:t>
      </w:r>
    </w:p>
    <w:p>
      <w:pPr>
        <w:snapToGrid w:val="0"/>
        <w:spacing w:line="360" w:lineRule="auto"/>
        <w:ind w:firstLine="4200" w:firstLineChars="20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日期：年月日</w:t>
      </w:r>
    </w:p>
    <w:p>
      <w:pPr>
        <w:spacing w:line="312" w:lineRule="auto"/>
        <w:rPr>
          <w:rFonts w:asciiTheme="minorEastAsia" w:hAnsiTheme="minorEastAsia" w:eastAsiaTheme="minorEastAsia" w:cstheme="minorEastAsia"/>
          <w:b/>
          <w:bCs/>
          <w:szCs w:val="21"/>
          <w:u w:val="single"/>
        </w:rPr>
      </w:pPr>
    </w:p>
    <w:p>
      <w:pPr>
        <w:spacing w:line="312" w:lineRule="auto"/>
        <w:jc w:val="center"/>
        <w:rPr>
          <w:rFonts w:ascii="宋体" w:hAnsi="宋体" w:cs="宋体"/>
          <w:color w:val="000000"/>
          <w:szCs w:val="21"/>
        </w:rPr>
      </w:pPr>
      <w:r>
        <w:rPr>
          <w:rFonts w:hint="eastAsia" w:asciiTheme="minorEastAsia" w:hAnsiTheme="minorEastAsia" w:eastAsiaTheme="minorEastAsia" w:cstheme="minorEastAsia"/>
          <w:b/>
          <w:bCs/>
          <w:szCs w:val="21"/>
          <w:u w:val="single"/>
        </w:rPr>
        <w:t>感谢您对携手阳光公司的支持，欢迎您向我们提出宝贵建议。</w:t>
      </w: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12" w:usb3="00000000" w:csb0="00040001"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30</w:t>
    </w:r>
    <w:r>
      <w:rPr>
        <w:rFonts w:ascii="宋体" w:hAnsi="宋体"/>
        <w:b/>
        <w:color w:val="000000"/>
        <w:szCs w:val="21"/>
      </w:rPr>
      <w:fldChar w:fldCharType="end"/>
    </w:r>
    <w:r>
      <w:rPr>
        <w:rFonts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hint="eastAsia"/>
        <w:b/>
        <w:color w:val="000000"/>
        <w:szCs w:val="21"/>
      </w:rPr>
      <w:t>（</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45</w:t>
    </w:r>
    <w:r>
      <w:rPr>
        <w:rFonts w:ascii="宋体" w:hAnsi="宋体"/>
        <w:b/>
        <w:color w:val="000000"/>
        <w:szCs w:val="21"/>
      </w:rPr>
      <w:fldChar w:fldCharType="end"/>
    </w:r>
    <w:r>
      <w:rPr>
        <w:rFonts w:ascii="宋体" w:hAnsi="宋体"/>
        <w:b/>
        <w:color w:val="000000"/>
        <w:szCs w:val="21"/>
      </w:rPr>
      <w:t>页</w:t>
    </w:r>
    <w:r>
      <w:rPr>
        <w:rFonts w:hint="eastAsia" w:ascii="宋体" w:hAnsi="宋体"/>
        <w:b/>
        <w:color w:val="00000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pict>
        <v:shape id="PowerPlusWaterMarkObject33037" o:spid="_x0000_s2049" o:spt="136" type="#_x0000_t136" style="position:absolute;left:0pt;height:32.2pt;width:641.2pt;mso-position-horizontal:center;mso-position-horizontal-relative:margin;mso-position-vertical:center;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盐城市携手阳光集中采购代理有限公司版权所有、严禁摘抄" style="font-family:微软雅黑;font-size:36pt;v-text-align:center;"/>
        </v:shape>
      </w:pict>
    </w:r>
    <w:r>
      <w:rPr>
        <w:rFonts w:hint="eastAsia"/>
        <w:b/>
        <w:szCs w:val="21"/>
      </w:rPr>
      <w:t>术业有专攻、政采有阳光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b/>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167005</wp:posOffset>
              </wp:positionV>
              <wp:extent cx="6323330" cy="0"/>
              <wp:effectExtent l="0" t="7620" r="0" b="8255"/>
              <wp:wrapNone/>
              <wp:docPr id="4" name="自选图形 6149"/>
              <wp:cNvGraphicFramePr/>
              <a:graphic xmlns:a="http://schemas.openxmlformats.org/drawingml/2006/main">
                <a:graphicData uri="http://schemas.microsoft.com/office/word/2010/wordprocessingShape">
                  <wps:wsp>
                    <wps:cNvCnPr/>
                    <wps:spPr bwMode="auto">
                      <a:xfrm>
                        <a:off x="0" y="0"/>
                        <a:ext cx="6323330" cy="0"/>
                      </a:xfrm>
                      <a:prstGeom prst="straightConnector1">
                        <a:avLst/>
                      </a:prstGeom>
                      <a:noFill/>
                      <a:ln w="15875">
                        <a:solidFill>
                          <a:srgbClr val="739CC3"/>
                        </a:solidFill>
                        <a:round/>
                      </a:ln>
                      <a:effectLst/>
                    </wps:spPr>
                    <wps:bodyPr/>
                  </wps:wsp>
                </a:graphicData>
              </a:graphic>
            </wp:anchor>
          </w:drawing>
        </mc:Choice>
        <mc:Fallback>
          <w:pict>
            <v:shape id="自选图形 6149" o:spid="_x0000_s1026" o:spt="32" type="#_x0000_t32" style="position:absolute;left:0pt;margin-left:0.6pt;margin-top:13.15pt;height:0pt;width:497.9pt;z-index:251676672;mso-width-relative:page;mso-height-relative:page;" filled="f" stroked="t" coordsize="21600,21600" o:gfxdata="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1/QNvUAAAABwEAAA8AAAAA&#10;AAAAAQAgAAAAIgAAAGRycy9kb3ducmV2LnhtbFBLAQIUABQAAAAIAIdO4kBNEOcP3wEAAJUDAAAO&#10;AAAAAAAAAAEAIAAAACMBAABkcnMvZTJvRG9jLnhtbFBLBQYAAAAABgAGAFkBAAB0BQAAAAA=&#10;">
              <v:fill on="f" focussize="0,0"/>
              <v:stroke weight="1.25pt" color="#739CC3" joinstyle="round"/>
              <v:imagedata o:title=""/>
              <o:lock v:ext="edit" aspectratio="f"/>
            </v:shape>
          </w:pict>
        </mc:Fallback>
      </mc:AlternateContent>
    </w:r>
    <w:r>
      <w:rPr>
        <w:b/>
      </w:rPr>
      <w:pict>
        <v:shape id="_x0000_s2052" o:spid="_x0000_s2052" o:spt="136" type="#_x0000_t136" style="position:absolute;left:0pt;height:24.6pt;width:641.5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t" xscale="f" string="盐城市携手阳光集中采购代理有限公司版权所有、严禁摘抄" style="font-family:宋体;font-size:8pt;v-text-align:center;"/>
        </v:shape>
      </w:pict>
    </w:r>
    <w:r>
      <w:rPr>
        <w:rFonts w:hint="eastAsia"/>
        <w:b/>
        <w:szCs w:val="21"/>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5C445"/>
    <w:multiLevelType w:val="singleLevel"/>
    <w:tmpl w:val="3A05C44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DJjY2Y2MjJiNjdlZGQwMjk2NDAxZjNhMTdiYWMifQ=="/>
  </w:docVars>
  <w:rsids>
    <w:rsidRoot w:val="362A1B67"/>
    <w:rsid w:val="000016F8"/>
    <w:rsid w:val="00001C8E"/>
    <w:rsid w:val="0001736C"/>
    <w:rsid w:val="00023AE2"/>
    <w:rsid w:val="000275B9"/>
    <w:rsid w:val="000316B8"/>
    <w:rsid w:val="00034000"/>
    <w:rsid w:val="00036B07"/>
    <w:rsid w:val="00041E63"/>
    <w:rsid w:val="00046A2D"/>
    <w:rsid w:val="00071B8E"/>
    <w:rsid w:val="00081B72"/>
    <w:rsid w:val="00082625"/>
    <w:rsid w:val="000851B2"/>
    <w:rsid w:val="00085646"/>
    <w:rsid w:val="00091652"/>
    <w:rsid w:val="000A2297"/>
    <w:rsid w:val="000B4817"/>
    <w:rsid w:val="000D0124"/>
    <w:rsid w:val="000D31A9"/>
    <w:rsid w:val="000D51E0"/>
    <w:rsid w:val="000D783F"/>
    <w:rsid w:val="000F1064"/>
    <w:rsid w:val="000F19FC"/>
    <w:rsid w:val="0010624D"/>
    <w:rsid w:val="00116683"/>
    <w:rsid w:val="00116AA0"/>
    <w:rsid w:val="00120A92"/>
    <w:rsid w:val="001467EC"/>
    <w:rsid w:val="00154AAC"/>
    <w:rsid w:val="001756B4"/>
    <w:rsid w:val="001814E7"/>
    <w:rsid w:val="00184034"/>
    <w:rsid w:val="001A69B1"/>
    <w:rsid w:val="001C0BC5"/>
    <w:rsid w:val="001C0E56"/>
    <w:rsid w:val="001E500B"/>
    <w:rsid w:val="001F31CE"/>
    <w:rsid w:val="001F64AD"/>
    <w:rsid w:val="001F720C"/>
    <w:rsid w:val="0020334F"/>
    <w:rsid w:val="0020613E"/>
    <w:rsid w:val="0021212F"/>
    <w:rsid w:val="00214204"/>
    <w:rsid w:val="00224128"/>
    <w:rsid w:val="002269D4"/>
    <w:rsid w:val="00234A27"/>
    <w:rsid w:val="0024527F"/>
    <w:rsid w:val="00246233"/>
    <w:rsid w:val="00247964"/>
    <w:rsid w:val="00247B18"/>
    <w:rsid w:val="00263DE9"/>
    <w:rsid w:val="00274234"/>
    <w:rsid w:val="002852DA"/>
    <w:rsid w:val="00285E01"/>
    <w:rsid w:val="002951E1"/>
    <w:rsid w:val="002A05CA"/>
    <w:rsid w:val="002A377A"/>
    <w:rsid w:val="002A3AD8"/>
    <w:rsid w:val="002A3F4A"/>
    <w:rsid w:val="002B41DE"/>
    <w:rsid w:val="002C2589"/>
    <w:rsid w:val="002D3B43"/>
    <w:rsid w:val="002E39CB"/>
    <w:rsid w:val="002E66A7"/>
    <w:rsid w:val="002F4571"/>
    <w:rsid w:val="003002D2"/>
    <w:rsid w:val="00305FBD"/>
    <w:rsid w:val="00311CCD"/>
    <w:rsid w:val="00312AE1"/>
    <w:rsid w:val="00327376"/>
    <w:rsid w:val="00330542"/>
    <w:rsid w:val="00341ED6"/>
    <w:rsid w:val="0034696A"/>
    <w:rsid w:val="003535F8"/>
    <w:rsid w:val="00354161"/>
    <w:rsid w:val="003550AC"/>
    <w:rsid w:val="003563FD"/>
    <w:rsid w:val="00396429"/>
    <w:rsid w:val="00396DEE"/>
    <w:rsid w:val="00397FF1"/>
    <w:rsid w:val="003A2FD2"/>
    <w:rsid w:val="003A51C4"/>
    <w:rsid w:val="003B022D"/>
    <w:rsid w:val="003B44A6"/>
    <w:rsid w:val="003D5939"/>
    <w:rsid w:val="003D670D"/>
    <w:rsid w:val="003D7E60"/>
    <w:rsid w:val="003E36A4"/>
    <w:rsid w:val="003F2C20"/>
    <w:rsid w:val="0040150C"/>
    <w:rsid w:val="0040274E"/>
    <w:rsid w:val="004110F2"/>
    <w:rsid w:val="00423C6D"/>
    <w:rsid w:val="004266DA"/>
    <w:rsid w:val="00427431"/>
    <w:rsid w:val="004313ED"/>
    <w:rsid w:val="00434E6A"/>
    <w:rsid w:val="00435474"/>
    <w:rsid w:val="00436FD0"/>
    <w:rsid w:val="00440672"/>
    <w:rsid w:val="00446904"/>
    <w:rsid w:val="004479E5"/>
    <w:rsid w:val="0045397C"/>
    <w:rsid w:val="00456395"/>
    <w:rsid w:val="00460AB1"/>
    <w:rsid w:val="004616BE"/>
    <w:rsid w:val="00465099"/>
    <w:rsid w:val="004679CD"/>
    <w:rsid w:val="00473F8D"/>
    <w:rsid w:val="00493900"/>
    <w:rsid w:val="004A0808"/>
    <w:rsid w:val="004B60F9"/>
    <w:rsid w:val="004B6EBB"/>
    <w:rsid w:val="004C5A40"/>
    <w:rsid w:val="004C7B41"/>
    <w:rsid w:val="004D5F29"/>
    <w:rsid w:val="004E616D"/>
    <w:rsid w:val="004F3F79"/>
    <w:rsid w:val="004F69A5"/>
    <w:rsid w:val="0051278D"/>
    <w:rsid w:val="00520401"/>
    <w:rsid w:val="00530752"/>
    <w:rsid w:val="00541A85"/>
    <w:rsid w:val="0054217F"/>
    <w:rsid w:val="00542988"/>
    <w:rsid w:val="005433AB"/>
    <w:rsid w:val="00545461"/>
    <w:rsid w:val="00546EDC"/>
    <w:rsid w:val="00555137"/>
    <w:rsid w:val="0055637C"/>
    <w:rsid w:val="00565C8E"/>
    <w:rsid w:val="00567379"/>
    <w:rsid w:val="00574BA8"/>
    <w:rsid w:val="00586ACD"/>
    <w:rsid w:val="005A77F1"/>
    <w:rsid w:val="005B0EC8"/>
    <w:rsid w:val="005C779F"/>
    <w:rsid w:val="005E7397"/>
    <w:rsid w:val="005F09CF"/>
    <w:rsid w:val="005F25FC"/>
    <w:rsid w:val="0061633E"/>
    <w:rsid w:val="00616591"/>
    <w:rsid w:val="006208A0"/>
    <w:rsid w:val="006259B3"/>
    <w:rsid w:val="00634251"/>
    <w:rsid w:val="006432CA"/>
    <w:rsid w:val="006475C4"/>
    <w:rsid w:val="00647D65"/>
    <w:rsid w:val="006540DA"/>
    <w:rsid w:val="00654AFE"/>
    <w:rsid w:val="006718B2"/>
    <w:rsid w:val="00675CC3"/>
    <w:rsid w:val="006768C1"/>
    <w:rsid w:val="00694131"/>
    <w:rsid w:val="006A1B37"/>
    <w:rsid w:val="006A73E4"/>
    <w:rsid w:val="006A7A8F"/>
    <w:rsid w:val="006C3745"/>
    <w:rsid w:val="006C72BC"/>
    <w:rsid w:val="006D58EC"/>
    <w:rsid w:val="006D6351"/>
    <w:rsid w:val="006E10CB"/>
    <w:rsid w:val="006E56E0"/>
    <w:rsid w:val="006F0A27"/>
    <w:rsid w:val="00701372"/>
    <w:rsid w:val="00705FF9"/>
    <w:rsid w:val="00712758"/>
    <w:rsid w:val="0072221F"/>
    <w:rsid w:val="00735312"/>
    <w:rsid w:val="0074763D"/>
    <w:rsid w:val="00752306"/>
    <w:rsid w:val="00754D1B"/>
    <w:rsid w:val="0076073D"/>
    <w:rsid w:val="00761733"/>
    <w:rsid w:val="007720C1"/>
    <w:rsid w:val="0077332A"/>
    <w:rsid w:val="00775CD2"/>
    <w:rsid w:val="00776058"/>
    <w:rsid w:val="007770DD"/>
    <w:rsid w:val="00780493"/>
    <w:rsid w:val="0078070D"/>
    <w:rsid w:val="00784788"/>
    <w:rsid w:val="00790537"/>
    <w:rsid w:val="00790E94"/>
    <w:rsid w:val="007959C2"/>
    <w:rsid w:val="007A07A7"/>
    <w:rsid w:val="007A2FE6"/>
    <w:rsid w:val="007D116B"/>
    <w:rsid w:val="007D3802"/>
    <w:rsid w:val="007D75C3"/>
    <w:rsid w:val="007E4B02"/>
    <w:rsid w:val="007E5501"/>
    <w:rsid w:val="007E790B"/>
    <w:rsid w:val="007F7916"/>
    <w:rsid w:val="008011CB"/>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9730E"/>
    <w:rsid w:val="008A1149"/>
    <w:rsid w:val="008C08A6"/>
    <w:rsid w:val="008D5CB7"/>
    <w:rsid w:val="008E0FC7"/>
    <w:rsid w:val="008E1482"/>
    <w:rsid w:val="008E1D7B"/>
    <w:rsid w:val="008E30FB"/>
    <w:rsid w:val="008F0B95"/>
    <w:rsid w:val="008F21A5"/>
    <w:rsid w:val="008F2F3A"/>
    <w:rsid w:val="008F7CB4"/>
    <w:rsid w:val="00900CB2"/>
    <w:rsid w:val="00906222"/>
    <w:rsid w:val="009070D7"/>
    <w:rsid w:val="00914C32"/>
    <w:rsid w:val="00916CB8"/>
    <w:rsid w:val="00925CA5"/>
    <w:rsid w:val="00940AA8"/>
    <w:rsid w:val="00942D36"/>
    <w:rsid w:val="009467EC"/>
    <w:rsid w:val="00952109"/>
    <w:rsid w:val="00957081"/>
    <w:rsid w:val="00970147"/>
    <w:rsid w:val="009777FB"/>
    <w:rsid w:val="0098087D"/>
    <w:rsid w:val="009C7CD4"/>
    <w:rsid w:val="009D16B6"/>
    <w:rsid w:val="009D226B"/>
    <w:rsid w:val="009D7531"/>
    <w:rsid w:val="009E0EBD"/>
    <w:rsid w:val="009E54DF"/>
    <w:rsid w:val="009E60FA"/>
    <w:rsid w:val="009F3C26"/>
    <w:rsid w:val="00A028AE"/>
    <w:rsid w:val="00A25C33"/>
    <w:rsid w:val="00A33257"/>
    <w:rsid w:val="00A45F9D"/>
    <w:rsid w:val="00A566D5"/>
    <w:rsid w:val="00A603D0"/>
    <w:rsid w:val="00A645CB"/>
    <w:rsid w:val="00A67F48"/>
    <w:rsid w:val="00A81A6E"/>
    <w:rsid w:val="00A84C4D"/>
    <w:rsid w:val="00A914AD"/>
    <w:rsid w:val="00AA1A86"/>
    <w:rsid w:val="00AA2EF4"/>
    <w:rsid w:val="00AA7D21"/>
    <w:rsid w:val="00AC440F"/>
    <w:rsid w:val="00AD309C"/>
    <w:rsid w:val="00AD7CF5"/>
    <w:rsid w:val="00AE4605"/>
    <w:rsid w:val="00AF6A22"/>
    <w:rsid w:val="00B1375E"/>
    <w:rsid w:val="00B21298"/>
    <w:rsid w:val="00B2195F"/>
    <w:rsid w:val="00B36A4F"/>
    <w:rsid w:val="00B655B7"/>
    <w:rsid w:val="00B7130A"/>
    <w:rsid w:val="00B759CB"/>
    <w:rsid w:val="00B80BC0"/>
    <w:rsid w:val="00B84AA7"/>
    <w:rsid w:val="00B91E2C"/>
    <w:rsid w:val="00BA1C5D"/>
    <w:rsid w:val="00BA2A2B"/>
    <w:rsid w:val="00BB2EE9"/>
    <w:rsid w:val="00BB43FE"/>
    <w:rsid w:val="00BC23E8"/>
    <w:rsid w:val="00BC2B21"/>
    <w:rsid w:val="00BE3458"/>
    <w:rsid w:val="00BF6C3A"/>
    <w:rsid w:val="00BF7932"/>
    <w:rsid w:val="00C027DF"/>
    <w:rsid w:val="00C03A49"/>
    <w:rsid w:val="00C15F71"/>
    <w:rsid w:val="00C22B0E"/>
    <w:rsid w:val="00C267B0"/>
    <w:rsid w:val="00C536EE"/>
    <w:rsid w:val="00C55603"/>
    <w:rsid w:val="00C579A4"/>
    <w:rsid w:val="00C613FB"/>
    <w:rsid w:val="00C64C19"/>
    <w:rsid w:val="00C71DDA"/>
    <w:rsid w:val="00C763AC"/>
    <w:rsid w:val="00C94652"/>
    <w:rsid w:val="00C9625E"/>
    <w:rsid w:val="00CA1F46"/>
    <w:rsid w:val="00CA5DEE"/>
    <w:rsid w:val="00CC57D5"/>
    <w:rsid w:val="00CD4CF7"/>
    <w:rsid w:val="00CF6C8C"/>
    <w:rsid w:val="00D02170"/>
    <w:rsid w:val="00D02320"/>
    <w:rsid w:val="00D02FD2"/>
    <w:rsid w:val="00D032A1"/>
    <w:rsid w:val="00D0368D"/>
    <w:rsid w:val="00D15007"/>
    <w:rsid w:val="00D169E3"/>
    <w:rsid w:val="00D22DDA"/>
    <w:rsid w:val="00D31AD7"/>
    <w:rsid w:val="00D415E4"/>
    <w:rsid w:val="00D46AA8"/>
    <w:rsid w:val="00D5688F"/>
    <w:rsid w:val="00D56F13"/>
    <w:rsid w:val="00D62393"/>
    <w:rsid w:val="00D67D98"/>
    <w:rsid w:val="00D67FEE"/>
    <w:rsid w:val="00D70807"/>
    <w:rsid w:val="00D71EB5"/>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7F75"/>
    <w:rsid w:val="00E425DE"/>
    <w:rsid w:val="00E53934"/>
    <w:rsid w:val="00E55E42"/>
    <w:rsid w:val="00E600F2"/>
    <w:rsid w:val="00E63694"/>
    <w:rsid w:val="00E67CC9"/>
    <w:rsid w:val="00E67E8E"/>
    <w:rsid w:val="00E72C5D"/>
    <w:rsid w:val="00E81CD8"/>
    <w:rsid w:val="00E82ECF"/>
    <w:rsid w:val="00E83862"/>
    <w:rsid w:val="00E8449F"/>
    <w:rsid w:val="00E93FBB"/>
    <w:rsid w:val="00EA2F2F"/>
    <w:rsid w:val="00EB00E5"/>
    <w:rsid w:val="00EB4F05"/>
    <w:rsid w:val="00EB5FF9"/>
    <w:rsid w:val="00EC0008"/>
    <w:rsid w:val="00EC40FB"/>
    <w:rsid w:val="00EC4AAC"/>
    <w:rsid w:val="00EC4C50"/>
    <w:rsid w:val="00EE276B"/>
    <w:rsid w:val="00EE47F7"/>
    <w:rsid w:val="00EF3F0B"/>
    <w:rsid w:val="00F014CC"/>
    <w:rsid w:val="00F146D4"/>
    <w:rsid w:val="00F17454"/>
    <w:rsid w:val="00F174AF"/>
    <w:rsid w:val="00F21AAB"/>
    <w:rsid w:val="00F22FF2"/>
    <w:rsid w:val="00F275E9"/>
    <w:rsid w:val="00F27856"/>
    <w:rsid w:val="00F36BA7"/>
    <w:rsid w:val="00F4199B"/>
    <w:rsid w:val="00F4268F"/>
    <w:rsid w:val="00F47C77"/>
    <w:rsid w:val="00F53038"/>
    <w:rsid w:val="00F530CC"/>
    <w:rsid w:val="00F61750"/>
    <w:rsid w:val="00F63BB1"/>
    <w:rsid w:val="00F64770"/>
    <w:rsid w:val="00F71289"/>
    <w:rsid w:val="00F7210C"/>
    <w:rsid w:val="00F738A0"/>
    <w:rsid w:val="00F74729"/>
    <w:rsid w:val="00F771DD"/>
    <w:rsid w:val="00F8158C"/>
    <w:rsid w:val="00F913D4"/>
    <w:rsid w:val="00F9731F"/>
    <w:rsid w:val="00F973C7"/>
    <w:rsid w:val="00FA0028"/>
    <w:rsid w:val="00FA3D79"/>
    <w:rsid w:val="00FB2763"/>
    <w:rsid w:val="00FB7B0A"/>
    <w:rsid w:val="00FC0D61"/>
    <w:rsid w:val="00FD2CBB"/>
    <w:rsid w:val="00FD5B97"/>
    <w:rsid w:val="00FE1D87"/>
    <w:rsid w:val="00FF6605"/>
    <w:rsid w:val="0101331E"/>
    <w:rsid w:val="01227B80"/>
    <w:rsid w:val="01255120"/>
    <w:rsid w:val="015679D0"/>
    <w:rsid w:val="016A347B"/>
    <w:rsid w:val="01B110AA"/>
    <w:rsid w:val="01F36FCC"/>
    <w:rsid w:val="01FB40D3"/>
    <w:rsid w:val="020250AD"/>
    <w:rsid w:val="021527A1"/>
    <w:rsid w:val="022278B2"/>
    <w:rsid w:val="025A5E20"/>
    <w:rsid w:val="025A704C"/>
    <w:rsid w:val="02765728"/>
    <w:rsid w:val="027D0F8C"/>
    <w:rsid w:val="027F4D04"/>
    <w:rsid w:val="02837B03"/>
    <w:rsid w:val="02883D22"/>
    <w:rsid w:val="02EE1086"/>
    <w:rsid w:val="02FB6CDA"/>
    <w:rsid w:val="03057289"/>
    <w:rsid w:val="036A1E94"/>
    <w:rsid w:val="03B33413"/>
    <w:rsid w:val="03F079D9"/>
    <w:rsid w:val="03FB660C"/>
    <w:rsid w:val="041B280B"/>
    <w:rsid w:val="044262F7"/>
    <w:rsid w:val="044E1D39"/>
    <w:rsid w:val="04610B65"/>
    <w:rsid w:val="046930FC"/>
    <w:rsid w:val="0499464F"/>
    <w:rsid w:val="04B0389B"/>
    <w:rsid w:val="04B8274F"/>
    <w:rsid w:val="04C335CE"/>
    <w:rsid w:val="052120A3"/>
    <w:rsid w:val="052676B9"/>
    <w:rsid w:val="052F1D0F"/>
    <w:rsid w:val="05300538"/>
    <w:rsid w:val="053E4A03"/>
    <w:rsid w:val="054933A7"/>
    <w:rsid w:val="05753047"/>
    <w:rsid w:val="058645FB"/>
    <w:rsid w:val="059C656F"/>
    <w:rsid w:val="05A76A4C"/>
    <w:rsid w:val="05DF2F6E"/>
    <w:rsid w:val="05EC3CFE"/>
    <w:rsid w:val="05F72E03"/>
    <w:rsid w:val="066B5CCB"/>
    <w:rsid w:val="068E5516"/>
    <w:rsid w:val="069A210C"/>
    <w:rsid w:val="06A37B17"/>
    <w:rsid w:val="06A66D03"/>
    <w:rsid w:val="06B93983"/>
    <w:rsid w:val="06D43123"/>
    <w:rsid w:val="06D66EBD"/>
    <w:rsid w:val="070C4535"/>
    <w:rsid w:val="07293490"/>
    <w:rsid w:val="073E518E"/>
    <w:rsid w:val="077D2FDF"/>
    <w:rsid w:val="079B25E0"/>
    <w:rsid w:val="07BC2556"/>
    <w:rsid w:val="07C40E9D"/>
    <w:rsid w:val="07D77390"/>
    <w:rsid w:val="07E163D5"/>
    <w:rsid w:val="07F46FEF"/>
    <w:rsid w:val="08070A00"/>
    <w:rsid w:val="084B0776"/>
    <w:rsid w:val="08AD3BAB"/>
    <w:rsid w:val="08B64722"/>
    <w:rsid w:val="08BB68D0"/>
    <w:rsid w:val="08CA0902"/>
    <w:rsid w:val="08CF4683"/>
    <w:rsid w:val="08D262A8"/>
    <w:rsid w:val="08FF35C4"/>
    <w:rsid w:val="090D2965"/>
    <w:rsid w:val="093D2F14"/>
    <w:rsid w:val="094D16B8"/>
    <w:rsid w:val="0962481E"/>
    <w:rsid w:val="097D7547"/>
    <w:rsid w:val="097D7E05"/>
    <w:rsid w:val="097E3AE5"/>
    <w:rsid w:val="0994055C"/>
    <w:rsid w:val="0995137D"/>
    <w:rsid w:val="09CF2342"/>
    <w:rsid w:val="09D83256"/>
    <w:rsid w:val="09DA6CC4"/>
    <w:rsid w:val="09DE4A06"/>
    <w:rsid w:val="09E6794E"/>
    <w:rsid w:val="09FE4D70"/>
    <w:rsid w:val="0A595E3B"/>
    <w:rsid w:val="0A5B632D"/>
    <w:rsid w:val="0A79472F"/>
    <w:rsid w:val="0A825C26"/>
    <w:rsid w:val="0AA03A6A"/>
    <w:rsid w:val="0AA14293"/>
    <w:rsid w:val="0AC27AB4"/>
    <w:rsid w:val="0ACF5A6A"/>
    <w:rsid w:val="0AF53255"/>
    <w:rsid w:val="0B2428ED"/>
    <w:rsid w:val="0B6161A3"/>
    <w:rsid w:val="0B687F93"/>
    <w:rsid w:val="0B776EC0"/>
    <w:rsid w:val="0BA31874"/>
    <w:rsid w:val="0BB717D7"/>
    <w:rsid w:val="0BC47C2C"/>
    <w:rsid w:val="0C236700"/>
    <w:rsid w:val="0C291044"/>
    <w:rsid w:val="0C2A7A8F"/>
    <w:rsid w:val="0C2C7CAB"/>
    <w:rsid w:val="0C3C259B"/>
    <w:rsid w:val="0C403DDB"/>
    <w:rsid w:val="0C41302A"/>
    <w:rsid w:val="0C447CB9"/>
    <w:rsid w:val="0C4F1BEB"/>
    <w:rsid w:val="0C516F71"/>
    <w:rsid w:val="0C782EF0"/>
    <w:rsid w:val="0CD90540"/>
    <w:rsid w:val="0D1129FD"/>
    <w:rsid w:val="0D183D8B"/>
    <w:rsid w:val="0D3F57BC"/>
    <w:rsid w:val="0D4C1C87"/>
    <w:rsid w:val="0D5D44B5"/>
    <w:rsid w:val="0D774F56"/>
    <w:rsid w:val="0D9A669A"/>
    <w:rsid w:val="0D9D0734"/>
    <w:rsid w:val="0DC95E8B"/>
    <w:rsid w:val="0DE66142"/>
    <w:rsid w:val="0DE7680D"/>
    <w:rsid w:val="0DEB5944"/>
    <w:rsid w:val="0E010E09"/>
    <w:rsid w:val="0E19425F"/>
    <w:rsid w:val="0E286250"/>
    <w:rsid w:val="0E3665B7"/>
    <w:rsid w:val="0E39045D"/>
    <w:rsid w:val="0E3C3018"/>
    <w:rsid w:val="0E62296F"/>
    <w:rsid w:val="0E71409B"/>
    <w:rsid w:val="0ED20405"/>
    <w:rsid w:val="0EDA2FEF"/>
    <w:rsid w:val="0F15222C"/>
    <w:rsid w:val="0F18046C"/>
    <w:rsid w:val="0F410148"/>
    <w:rsid w:val="0F475A3E"/>
    <w:rsid w:val="0F5B4403"/>
    <w:rsid w:val="0F7D306C"/>
    <w:rsid w:val="0F882BE7"/>
    <w:rsid w:val="0F8B1A2C"/>
    <w:rsid w:val="0F9A4F2B"/>
    <w:rsid w:val="0FAE09D7"/>
    <w:rsid w:val="0FB12275"/>
    <w:rsid w:val="0FB57FB7"/>
    <w:rsid w:val="0FC65D20"/>
    <w:rsid w:val="0FD04DF1"/>
    <w:rsid w:val="10153558"/>
    <w:rsid w:val="10476E1D"/>
    <w:rsid w:val="104A6951"/>
    <w:rsid w:val="105D5D5A"/>
    <w:rsid w:val="10AF4A06"/>
    <w:rsid w:val="10C167E4"/>
    <w:rsid w:val="10C763EA"/>
    <w:rsid w:val="10E87F18"/>
    <w:rsid w:val="10FD1C16"/>
    <w:rsid w:val="11114067"/>
    <w:rsid w:val="11164A85"/>
    <w:rsid w:val="111D5E14"/>
    <w:rsid w:val="11271AB8"/>
    <w:rsid w:val="113849FC"/>
    <w:rsid w:val="11461FE1"/>
    <w:rsid w:val="11984976"/>
    <w:rsid w:val="11A46535"/>
    <w:rsid w:val="11AC0F46"/>
    <w:rsid w:val="11CA48D8"/>
    <w:rsid w:val="11D706B9"/>
    <w:rsid w:val="11F50CE9"/>
    <w:rsid w:val="12080872"/>
    <w:rsid w:val="12107727"/>
    <w:rsid w:val="12117DB8"/>
    <w:rsid w:val="121C02BE"/>
    <w:rsid w:val="121C431D"/>
    <w:rsid w:val="12687563"/>
    <w:rsid w:val="12754004"/>
    <w:rsid w:val="128B2877"/>
    <w:rsid w:val="12975631"/>
    <w:rsid w:val="1299771C"/>
    <w:rsid w:val="12C16C73"/>
    <w:rsid w:val="12D06EB6"/>
    <w:rsid w:val="12F7648C"/>
    <w:rsid w:val="131C2204"/>
    <w:rsid w:val="133B4C77"/>
    <w:rsid w:val="13426191"/>
    <w:rsid w:val="1347361C"/>
    <w:rsid w:val="13473662"/>
    <w:rsid w:val="135A480D"/>
    <w:rsid w:val="13660293"/>
    <w:rsid w:val="1368169B"/>
    <w:rsid w:val="13710699"/>
    <w:rsid w:val="137B5074"/>
    <w:rsid w:val="13A445CA"/>
    <w:rsid w:val="13B47B12"/>
    <w:rsid w:val="13F3192F"/>
    <w:rsid w:val="140F5871"/>
    <w:rsid w:val="144A5C2E"/>
    <w:rsid w:val="144B713C"/>
    <w:rsid w:val="1466786F"/>
    <w:rsid w:val="14717E92"/>
    <w:rsid w:val="14724AB6"/>
    <w:rsid w:val="14810A3E"/>
    <w:rsid w:val="148B7538"/>
    <w:rsid w:val="149F41D0"/>
    <w:rsid w:val="14C55CE2"/>
    <w:rsid w:val="14CA0061"/>
    <w:rsid w:val="14DA49C1"/>
    <w:rsid w:val="14F03EE3"/>
    <w:rsid w:val="15211C4B"/>
    <w:rsid w:val="15324B8E"/>
    <w:rsid w:val="15443765"/>
    <w:rsid w:val="157D650A"/>
    <w:rsid w:val="157F578C"/>
    <w:rsid w:val="15866F2A"/>
    <w:rsid w:val="15A9411A"/>
    <w:rsid w:val="15B67624"/>
    <w:rsid w:val="15C6392F"/>
    <w:rsid w:val="160A4F1B"/>
    <w:rsid w:val="16341CFD"/>
    <w:rsid w:val="16393D39"/>
    <w:rsid w:val="167744DB"/>
    <w:rsid w:val="1683496B"/>
    <w:rsid w:val="16886814"/>
    <w:rsid w:val="168F32E6"/>
    <w:rsid w:val="16C84A74"/>
    <w:rsid w:val="16D27BE2"/>
    <w:rsid w:val="16D771C7"/>
    <w:rsid w:val="16E01DBD"/>
    <w:rsid w:val="171B0984"/>
    <w:rsid w:val="17261D73"/>
    <w:rsid w:val="17465999"/>
    <w:rsid w:val="174F7450"/>
    <w:rsid w:val="175F3493"/>
    <w:rsid w:val="17AF1790"/>
    <w:rsid w:val="17B80644"/>
    <w:rsid w:val="17BE3DD2"/>
    <w:rsid w:val="17F35B20"/>
    <w:rsid w:val="17F77241"/>
    <w:rsid w:val="18021CD6"/>
    <w:rsid w:val="181B72DB"/>
    <w:rsid w:val="184019AC"/>
    <w:rsid w:val="18407B66"/>
    <w:rsid w:val="184B14B9"/>
    <w:rsid w:val="18655025"/>
    <w:rsid w:val="186662F2"/>
    <w:rsid w:val="188104BD"/>
    <w:rsid w:val="18965ABA"/>
    <w:rsid w:val="18A86B9B"/>
    <w:rsid w:val="18C106AC"/>
    <w:rsid w:val="18CE20EA"/>
    <w:rsid w:val="18CE7660"/>
    <w:rsid w:val="18F712F7"/>
    <w:rsid w:val="190E0811"/>
    <w:rsid w:val="1926420A"/>
    <w:rsid w:val="19287A4C"/>
    <w:rsid w:val="19422C35"/>
    <w:rsid w:val="19486114"/>
    <w:rsid w:val="196A2073"/>
    <w:rsid w:val="197A603E"/>
    <w:rsid w:val="199B1FCC"/>
    <w:rsid w:val="19AC7DD1"/>
    <w:rsid w:val="19AD0473"/>
    <w:rsid w:val="19B25567"/>
    <w:rsid w:val="19DE1D4A"/>
    <w:rsid w:val="19FD67E3"/>
    <w:rsid w:val="1A02204B"/>
    <w:rsid w:val="1A07140F"/>
    <w:rsid w:val="1A154DA1"/>
    <w:rsid w:val="1A2056A9"/>
    <w:rsid w:val="1A347B93"/>
    <w:rsid w:val="1A4C59BC"/>
    <w:rsid w:val="1A562397"/>
    <w:rsid w:val="1A785273"/>
    <w:rsid w:val="1A864B29"/>
    <w:rsid w:val="1A9A04D5"/>
    <w:rsid w:val="1AAB623F"/>
    <w:rsid w:val="1ABD41C4"/>
    <w:rsid w:val="1AD82DAC"/>
    <w:rsid w:val="1B157B5C"/>
    <w:rsid w:val="1B1B17E0"/>
    <w:rsid w:val="1B2349D2"/>
    <w:rsid w:val="1B326960"/>
    <w:rsid w:val="1B373F76"/>
    <w:rsid w:val="1B6A4FBB"/>
    <w:rsid w:val="1B7C2C5F"/>
    <w:rsid w:val="1BA55384"/>
    <w:rsid w:val="1BDB0DA5"/>
    <w:rsid w:val="1BE063BC"/>
    <w:rsid w:val="1C0E117B"/>
    <w:rsid w:val="1C140973"/>
    <w:rsid w:val="1C505664"/>
    <w:rsid w:val="1C5D1630"/>
    <w:rsid w:val="1C784846"/>
    <w:rsid w:val="1C7C14FF"/>
    <w:rsid w:val="1C821221"/>
    <w:rsid w:val="1C881132"/>
    <w:rsid w:val="1CAB4C1C"/>
    <w:rsid w:val="1CB11952"/>
    <w:rsid w:val="1CCB1FF0"/>
    <w:rsid w:val="1CE1575A"/>
    <w:rsid w:val="1CEC6434"/>
    <w:rsid w:val="1D2F6BAE"/>
    <w:rsid w:val="1D2F75FB"/>
    <w:rsid w:val="1D506B65"/>
    <w:rsid w:val="1D550375"/>
    <w:rsid w:val="1D570900"/>
    <w:rsid w:val="1D61352C"/>
    <w:rsid w:val="1D6A233A"/>
    <w:rsid w:val="1D877B74"/>
    <w:rsid w:val="1D8863E1"/>
    <w:rsid w:val="1D8D4321"/>
    <w:rsid w:val="1D976F4E"/>
    <w:rsid w:val="1DCA1E79"/>
    <w:rsid w:val="1DCB2DDC"/>
    <w:rsid w:val="1DE33CD0"/>
    <w:rsid w:val="1DFE701D"/>
    <w:rsid w:val="1E14059F"/>
    <w:rsid w:val="1E1B192D"/>
    <w:rsid w:val="1E205195"/>
    <w:rsid w:val="1E226631"/>
    <w:rsid w:val="1E313FB3"/>
    <w:rsid w:val="1E5B7F7C"/>
    <w:rsid w:val="1E6F6EC6"/>
    <w:rsid w:val="1E7B061E"/>
    <w:rsid w:val="1E8066E5"/>
    <w:rsid w:val="1E94348E"/>
    <w:rsid w:val="1EB3600A"/>
    <w:rsid w:val="1ECD27F5"/>
    <w:rsid w:val="1ED470A1"/>
    <w:rsid w:val="1EDE6ADB"/>
    <w:rsid w:val="1EF64B18"/>
    <w:rsid w:val="1F1162C7"/>
    <w:rsid w:val="1F157FEC"/>
    <w:rsid w:val="1F244811"/>
    <w:rsid w:val="1F3543D1"/>
    <w:rsid w:val="1F386FFD"/>
    <w:rsid w:val="1F552C1D"/>
    <w:rsid w:val="1F58358F"/>
    <w:rsid w:val="1F6F0CDC"/>
    <w:rsid w:val="1F721A21"/>
    <w:rsid w:val="1F852AAF"/>
    <w:rsid w:val="1FC875CB"/>
    <w:rsid w:val="1FCF29CF"/>
    <w:rsid w:val="1FE92D2C"/>
    <w:rsid w:val="1FFD287D"/>
    <w:rsid w:val="2000702C"/>
    <w:rsid w:val="20317AB3"/>
    <w:rsid w:val="20362A4E"/>
    <w:rsid w:val="206A094A"/>
    <w:rsid w:val="20A563AA"/>
    <w:rsid w:val="20BF0710"/>
    <w:rsid w:val="20CE2C87"/>
    <w:rsid w:val="20D373A8"/>
    <w:rsid w:val="20DD55C0"/>
    <w:rsid w:val="20FB5A46"/>
    <w:rsid w:val="21286B8A"/>
    <w:rsid w:val="2149055F"/>
    <w:rsid w:val="214C004F"/>
    <w:rsid w:val="215C0EAE"/>
    <w:rsid w:val="21670C2F"/>
    <w:rsid w:val="2178128D"/>
    <w:rsid w:val="21815F4B"/>
    <w:rsid w:val="21823A71"/>
    <w:rsid w:val="21F36C22"/>
    <w:rsid w:val="222114DC"/>
    <w:rsid w:val="2221328A"/>
    <w:rsid w:val="224C4B12"/>
    <w:rsid w:val="224D3AFB"/>
    <w:rsid w:val="22635280"/>
    <w:rsid w:val="227B299A"/>
    <w:rsid w:val="228D0920"/>
    <w:rsid w:val="22921111"/>
    <w:rsid w:val="22934188"/>
    <w:rsid w:val="22A46395"/>
    <w:rsid w:val="22B32A8D"/>
    <w:rsid w:val="22B8599C"/>
    <w:rsid w:val="22C6199A"/>
    <w:rsid w:val="22C92FCC"/>
    <w:rsid w:val="22CC31F6"/>
    <w:rsid w:val="22CD7F3B"/>
    <w:rsid w:val="22D30A28"/>
    <w:rsid w:val="22D87DED"/>
    <w:rsid w:val="22F340D5"/>
    <w:rsid w:val="22F97D63"/>
    <w:rsid w:val="234C277D"/>
    <w:rsid w:val="238E2BA1"/>
    <w:rsid w:val="2393640A"/>
    <w:rsid w:val="23A71402"/>
    <w:rsid w:val="23AE66CF"/>
    <w:rsid w:val="23C10881"/>
    <w:rsid w:val="23FA0237"/>
    <w:rsid w:val="24084702"/>
    <w:rsid w:val="242C16EC"/>
    <w:rsid w:val="24305BD0"/>
    <w:rsid w:val="246456B0"/>
    <w:rsid w:val="2466617A"/>
    <w:rsid w:val="247022A7"/>
    <w:rsid w:val="249C309C"/>
    <w:rsid w:val="24A95308"/>
    <w:rsid w:val="24B672B1"/>
    <w:rsid w:val="24E862E1"/>
    <w:rsid w:val="24F86524"/>
    <w:rsid w:val="252A7D7C"/>
    <w:rsid w:val="253908EB"/>
    <w:rsid w:val="253C1F85"/>
    <w:rsid w:val="254479BB"/>
    <w:rsid w:val="254F23F1"/>
    <w:rsid w:val="2556149D"/>
    <w:rsid w:val="25764776"/>
    <w:rsid w:val="257A620F"/>
    <w:rsid w:val="25A22934"/>
    <w:rsid w:val="25D564AB"/>
    <w:rsid w:val="25E20F82"/>
    <w:rsid w:val="25E47AF0"/>
    <w:rsid w:val="25E71733"/>
    <w:rsid w:val="25E935F0"/>
    <w:rsid w:val="26040EF9"/>
    <w:rsid w:val="2604714B"/>
    <w:rsid w:val="262449BF"/>
    <w:rsid w:val="2634595C"/>
    <w:rsid w:val="26346C43"/>
    <w:rsid w:val="2669103C"/>
    <w:rsid w:val="26763BCF"/>
    <w:rsid w:val="269009DE"/>
    <w:rsid w:val="269F0C21"/>
    <w:rsid w:val="26B836F3"/>
    <w:rsid w:val="26CB02AF"/>
    <w:rsid w:val="26E44C79"/>
    <w:rsid w:val="26F31699"/>
    <w:rsid w:val="27007912"/>
    <w:rsid w:val="270A69E3"/>
    <w:rsid w:val="27117B86"/>
    <w:rsid w:val="27165388"/>
    <w:rsid w:val="271F3D3B"/>
    <w:rsid w:val="272730F1"/>
    <w:rsid w:val="276F1A45"/>
    <w:rsid w:val="27D56FF1"/>
    <w:rsid w:val="27DD5EA5"/>
    <w:rsid w:val="27EF5E2F"/>
    <w:rsid w:val="2828082C"/>
    <w:rsid w:val="284A0BC8"/>
    <w:rsid w:val="284C442A"/>
    <w:rsid w:val="28727A72"/>
    <w:rsid w:val="28901037"/>
    <w:rsid w:val="289651BD"/>
    <w:rsid w:val="28AA5A71"/>
    <w:rsid w:val="28B577B6"/>
    <w:rsid w:val="28D81409"/>
    <w:rsid w:val="28E051EA"/>
    <w:rsid w:val="28F107FE"/>
    <w:rsid w:val="2907142C"/>
    <w:rsid w:val="29480202"/>
    <w:rsid w:val="295959FF"/>
    <w:rsid w:val="2964687E"/>
    <w:rsid w:val="29777BB7"/>
    <w:rsid w:val="297F5EFD"/>
    <w:rsid w:val="29802F8C"/>
    <w:rsid w:val="29A50C45"/>
    <w:rsid w:val="29BB3FC4"/>
    <w:rsid w:val="29BD1AEA"/>
    <w:rsid w:val="29CA4B8D"/>
    <w:rsid w:val="2A043BBD"/>
    <w:rsid w:val="2A047719"/>
    <w:rsid w:val="2A0E0598"/>
    <w:rsid w:val="2A44045E"/>
    <w:rsid w:val="2A486993"/>
    <w:rsid w:val="2A513ACE"/>
    <w:rsid w:val="2A5F4D16"/>
    <w:rsid w:val="2A9071FF"/>
    <w:rsid w:val="2A9133E6"/>
    <w:rsid w:val="2AAA2063"/>
    <w:rsid w:val="2AAB5086"/>
    <w:rsid w:val="2AC80521"/>
    <w:rsid w:val="2AC8468D"/>
    <w:rsid w:val="2ACA0963"/>
    <w:rsid w:val="2AD215C5"/>
    <w:rsid w:val="2AD43590"/>
    <w:rsid w:val="2AEE7399"/>
    <w:rsid w:val="2AF21C68"/>
    <w:rsid w:val="2B00796F"/>
    <w:rsid w:val="2B031B1F"/>
    <w:rsid w:val="2B03342D"/>
    <w:rsid w:val="2B350611"/>
    <w:rsid w:val="2B585F6F"/>
    <w:rsid w:val="2B591CE7"/>
    <w:rsid w:val="2B771B53"/>
    <w:rsid w:val="2B772B27"/>
    <w:rsid w:val="2B8723B0"/>
    <w:rsid w:val="2B8C5BD2"/>
    <w:rsid w:val="2BB331A5"/>
    <w:rsid w:val="2BB72C49"/>
    <w:rsid w:val="2BC2163A"/>
    <w:rsid w:val="2BE041B6"/>
    <w:rsid w:val="2BEE68D3"/>
    <w:rsid w:val="2BEF3B51"/>
    <w:rsid w:val="2C22032B"/>
    <w:rsid w:val="2C2A71DF"/>
    <w:rsid w:val="2C2B5431"/>
    <w:rsid w:val="2C2E4F21"/>
    <w:rsid w:val="2C3D33B6"/>
    <w:rsid w:val="2C5B55EB"/>
    <w:rsid w:val="2C672FBC"/>
    <w:rsid w:val="2C764070"/>
    <w:rsid w:val="2C773DF0"/>
    <w:rsid w:val="2C7C3EDF"/>
    <w:rsid w:val="2C86549C"/>
    <w:rsid w:val="2CA647B0"/>
    <w:rsid w:val="2CAD6FBD"/>
    <w:rsid w:val="2CEA52EC"/>
    <w:rsid w:val="2D12214D"/>
    <w:rsid w:val="2D2D342B"/>
    <w:rsid w:val="2D3C71CA"/>
    <w:rsid w:val="2D4C1B03"/>
    <w:rsid w:val="2D68635B"/>
    <w:rsid w:val="2D7E3C87"/>
    <w:rsid w:val="2D802544"/>
    <w:rsid w:val="2D82443B"/>
    <w:rsid w:val="2DFD4010"/>
    <w:rsid w:val="2E0F48DF"/>
    <w:rsid w:val="2E1B5A55"/>
    <w:rsid w:val="2E2465DC"/>
    <w:rsid w:val="2E2C3D21"/>
    <w:rsid w:val="2E2D4A25"/>
    <w:rsid w:val="2E355A57"/>
    <w:rsid w:val="2E3F3416"/>
    <w:rsid w:val="2E5F1A8F"/>
    <w:rsid w:val="2E6C3ADF"/>
    <w:rsid w:val="2E7A61FC"/>
    <w:rsid w:val="2E7C01C6"/>
    <w:rsid w:val="2E890E4A"/>
    <w:rsid w:val="2E9C43C4"/>
    <w:rsid w:val="2ED246EE"/>
    <w:rsid w:val="2ED51684"/>
    <w:rsid w:val="2EDA313F"/>
    <w:rsid w:val="2EFC4E63"/>
    <w:rsid w:val="2F300FB0"/>
    <w:rsid w:val="2F3C7955"/>
    <w:rsid w:val="2F634EE2"/>
    <w:rsid w:val="2F8B61E7"/>
    <w:rsid w:val="2FA93C74"/>
    <w:rsid w:val="2FD268A1"/>
    <w:rsid w:val="2FDE4077"/>
    <w:rsid w:val="2FE04785"/>
    <w:rsid w:val="2FED0C50"/>
    <w:rsid w:val="2FF81ACE"/>
    <w:rsid w:val="30032221"/>
    <w:rsid w:val="300466C5"/>
    <w:rsid w:val="300E150D"/>
    <w:rsid w:val="300E30A0"/>
    <w:rsid w:val="30110DE2"/>
    <w:rsid w:val="30123FFF"/>
    <w:rsid w:val="30180806"/>
    <w:rsid w:val="3034062C"/>
    <w:rsid w:val="305D7845"/>
    <w:rsid w:val="306F163B"/>
    <w:rsid w:val="307750E9"/>
    <w:rsid w:val="30E107B4"/>
    <w:rsid w:val="31175F84"/>
    <w:rsid w:val="3126266B"/>
    <w:rsid w:val="31556AAC"/>
    <w:rsid w:val="315A2315"/>
    <w:rsid w:val="31790FDA"/>
    <w:rsid w:val="31807FCD"/>
    <w:rsid w:val="319D3AE7"/>
    <w:rsid w:val="31AF440F"/>
    <w:rsid w:val="31B400AF"/>
    <w:rsid w:val="31B8508B"/>
    <w:rsid w:val="31BA4166"/>
    <w:rsid w:val="31CD0D39"/>
    <w:rsid w:val="31D67BED"/>
    <w:rsid w:val="31D810C6"/>
    <w:rsid w:val="31E130B4"/>
    <w:rsid w:val="31F55998"/>
    <w:rsid w:val="31FE0EF2"/>
    <w:rsid w:val="321B36E9"/>
    <w:rsid w:val="3229511D"/>
    <w:rsid w:val="322975DE"/>
    <w:rsid w:val="32425283"/>
    <w:rsid w:val="324C7EAF"/>
    <w:rsid w:val="32666042"/>
    <w:rsid w:val="326E42CA"/>
    <w:rsid w:val="32773D06"/>
    <w:rsid w:val="327D275F"/>
    <w:rsid w:val="32B10AC5"/>
    <w:rsid w:val="32CC2C84"/>
    <w:rsid w:val="32E14A9C"/>
    <w:rsid w:val="32E225C2"/>
    <w:rsid w:val="330C5891"/>
    <w:rsid w:val="33311883"/>
    <w:rsid w:val="334119DE"/>
    <w:rsid w:val="33574D5E"/>
    <w:rsid w:val="33712D71"/>
    <w:rsid w:val="33801D40"/>
    <w:rsid w:val="338F3C47"/>
    <w:rsid w:val="33A71511"/>
    <w:rsid w:val="33F829BD"/>
    <w:rsid w:val="341F6F52"/>
    <w:rsid w:val="34325348"/>
    <w:rsid w:val="34480949"/>
    <w:rsid w:val="344A041F"/>
    <w:rsid w:val="345C0152"/>
    <w:rsid w:val="34884182"/>
    <w:rsid w:val="34930017"/>
    <w:rsid w:val="34E24A8D"/>
    <w:rsid w:val="35026026"/>
    <w:rsid w:val="35037D99"/>
    <w:rsid w:val="350667E1"/>
    <w:rsid w:val="35241A74"/>
    <w:rsid w:val="35335357"/>
    <w:rsid w:val="35376B59"/>
    <w:rsid w:val="353C06AF"/>
    <w:rsid w:val="355F7EFA"/>
    <w:rsid w:val="35603F38"/>
    <w:rsid w:val="35625A6E"/>
    <w:rsid w:val="35753BC1"/>
    <w:rsid w:val="35777939"/>
    <w:rsid w:val="35971C6B"/>
    <w:rsid w:val="35B20971"/>
    <w:rsid w:val="35E1035F"/>
    <w:rsid w:val="35F7332A"/>
    <w:rsid w:val="35F965A0"/>
    <w:rsid w:val="361E7DB5"/>
    <w:rsid w:val="362A1B67"/>
    <w:rsid w:val="364C4922"/>
    <w:rsid w:val="36590DED"/>
    <w:rsid w:val="36B6623F"/>
    <w:rsid w:val="36C175C6"/>
    <w:rsid w:val="36EA0D42"/>
    <w:rsid w:val="370E7E29"/>
    <w:rsid w:val="3710594F"/>
    <w:rsid w:val="371600E9"/>
    <w:rsid w:val="372B50A7"/>
    <w:rsid w:val="3736112E"/>
    <w:rsid w:val="37513B77"/>
    <w:rsid w:val="375A2988"/>
    <w:rsid w:val="37694DC0"/>
    <w:rsid w:val="379C0A32"/>
    <w:rsid w:val="37A10C9D"/>
    <w:rsid w:val="37F039D3"/>
    <w:rsid w:val="380B55F3"/>
    <w:rsid w:val="38251764"/>
    <w:rsid w:val="382A45EF"/>
    <w:rsid w:val="383330A9"/>
    <w:rsid w:val="38685317"/>
    <w:rsid w:val="388F4F9A"/>
    <w:rsid w:val="38991974"/>
    <w:rsid w:val="38A65E3F"/>
    <w:rsid w:val="38BE22E2"/>
    <w:rsid w:val="38D15CEB"/>
    <w:rsid w:val="38DD5D05"/>
    <w:rsid w:val="39130EE6"/>
    <w:rsid w:val="3914724D"/>
    <w:rsid w:val="39251DC5"/>
    <w:rsid w:val="393755D6"/>
    <w:rsid w:val="39424D13"/>
    <w:rsid w:val="395B4E7C"/>
    <w:rsid w:val="397F6DBC"/>
    <w:rsid w:val="39BF0B13"/>
    <w:rsid w:val="39D4668B"/>
    <w:rsid w:val="39D52E79"/>
    <w:rsid w:val="3A463592"/>
    <w:rsid w:val="3A485400"/>
    <w:rsid w:val="3A4A561C"/>
    <w:rsid w:val="3A5913BB"/>
    <w:rsid w:val="3A601248"/>
    <w:rsid w:val="3A742699"/>
    <w:rsid w:val="3A762824"/>
    <w:rsid w:val="3A95616C"/>
    <w:rsid w:val="3ABB3E24"/>
    <w:rsid w:val="3AD44ADC"/>
    <w:rsid w:val="3AD90A06"/>
    <w:rsid w:val="3AF31810"/>
    <w:rsid w:val="3AF923D7"/>
    <w:rsid w:val="3AFD55BB"/>
    <w:rsid w:val="3B023801"/>
    <w:rsid w:val="3B084C2D"/>
    <w:rsid w:val="3B20012B"/>
    <w:rsid w:val="3B4F1D9F"/>
    <w:rsid w:val="3B6348DA"/>
    <w:rsid w:val="3BBA7C64"/>
    <w:rsid w:val="3BC13445"/>
    <w:rsid w:val="3BD72EE0"/>
    <w:rsid w:val="3BDC6748"/>
    <w:rsid w:val="3BFE66BE"/>
    <w:rsid w:val="3C3F2833"/>
    <w:rsid w:val="3C495460"/>
    <w:rsid w:val="3C5F1072"/>
    <w:rsid w:val="3C7076A7"/>
    <w:rsid w:val="3C942B7F"/>
    <w:rsid w:val="3CD76F0F"/>
    <w:rsid w:val="3CDE029E"/>
    <w:rsid w:val="3D000214"/>
    <w:rsid w:val="3D3879AE"/>
    <w:rsid w:val="3D485717"/>
    <w:rsid w:val="3D582E2A"/>
    <w:rsid w:val="3D624A2B"/>
    <w:rsid w:val="3D7117EB"/>
    <w:rsid w:val="3D9F17DB"/>
    <w:rsid w:val="3DF00DF6"/>
    <w:rsid w:val="3E032ABD"/>
    <w:rsid w:val="3E1A6821"/>
    <w:rsid w:val="3E2B7513"/>
    <w:rsid w:val="3E3D2DA2"/>
    <w:rsid w:val="3E5F0F6A"/>
    <w:rsid w:val="3E642A25"/>
    <w:rsid w:val="3E68075C"/>
    <w:rsid w:val="3E6A0E6E"/>
    <w:rsid w:val="3E854E75"/>
    <w:rsid w:val="3EA10BF2"/>
    <w:rsid w:val="3EEB275F"/>
    <w:rsid w:val="3EFC2A5E"/>
    <w:rsid w:val="3F0062A9"/>
    <w:rsid w:val="3F125FDD"/>
    <w:rsid w:val="3F1D32FF"/>
    <w:rsid w:val="3F312A4E"/>
    <w:rsid w:val="3F3C78B5"/>
    <w:rsid w:val="3F4E170B"/>
    <w:rsid w:val="3F582DB4"/>
    <w:rsid w:val="3F5C79A7"/>
    <w:rsid w:val="3F7D5B4C"/>
    <w:rsid w:val="3F7E275E"/>
    <w:rsid w:val="3FC574F3"/>
    <w:rsid w:val="3FFE510E"/>
    <w:rsid w:val="4010515C"/>
    <w:rsid w:val="401907F3"/>
    <w:rsid w:val="401E25EE"/>
    <w:rsid w:val="40416B7A"/>
    <w:rsid w:val="40503261"/>
    <w:rsid w:val="40752AFC"/>
    <w:rsid w:val="40755B94"/>
    <w:rsid w:val="408D1DBF"/>
    <w:rsid w:val="4093153B"/>
    <w:rsid w:val="40970E8F"/>
    <w:rsid w:val="40BE4471"/>
    <w:rsid w:val="40C65F85"/>
    <w:rsid w:val="410B7187"/>
    <w:rsid w:val="41432F6C"/>
    <w:rsid w:val="414A5F02"/>
    <w:rsid w:val="41931657"/>
    <w:rsid w:val="4197500C"/>
    <w:rsid w:val="41DD3D70"/>
    <w:rsid w:val="41EF4A6B"/>
    <w:rsid w:val="420460B1"/>
    <w:rsid w:val="421B4715"/>
    <w:rsid w:val="42201E72"/>
    <w:rsid w:val="42332E3A"/>
    <w:rsid w:val="425C4AE5"/>
    <w:rsid w:val="42925DB2"/>
    <w:rsid w:val="42985594"/>
    <w:rsid w:val="42A15FF5"/>
    <w:rsid w:val="42A76DCA"/>
    <w:rsid w:val="42D40179"/>
    <w:rsid w:val="42F02AD9"/>
    <w:rsid w:val="42FA5706"/>
    <w:rsid w:val="43686B13"/>
    <w:rsid w:val="436C6603"/>
    <w:rsid w:val="43A20746"/>
    <w:rsid w:val="43B4601F"/>
    <w:rsid w:val="43C755E8"/>
    <w:rsid w:val="43E42222"/>
    <w:rsid w:val="43E97E7C"/>
    <w:rsid w:val="44242A3A"/>
    <w:rsid w:val="443133A9"/>
    <w:rsid w:val="4439400C"/>
    <w:rsid w:val="44406DAA"/>
    <w:rsid w:val="445D368E"/>
    <w:rsid w:val="446C4D53"/>
    <w:rsid w:val="4475773A"/>
    <w:rsid w:val="44DB21F3"/>
    <w:rsid w:val="44F1580E"/>
    <w:rsid w:val="450F36EA"/>
    <w:rsid w:val="45123BD8"/>
    <w:rsid w:val="45207905"/>
    <w:rsid w:val="453E5BDD"/>
    <w:rsid w:val="453F2418"/>
    <w:rsid w:val="4581664C"/>
    <w:rsid w:val="45837C34"/>
    <w:rsid w:val="458C7E36"/>
    <w:rsid w:val="459D4C65"/>
    <w:rsid w:val="45C344D5"/>
    <w:rsid w:val="460D0F18"/>
    <w:rsid w:val="46295A03"/>
    <w:rsid w:val="462F0DEF"/>
    <w:rsid w:val="466808A0"/>
    <w:rsid w:val="467852BF"/>
    <w:rsid w:val="469F0A9E"/>
    <w:rsid w:val="46A56BA1"/>
    <w:rsid w:val="46E666CD"/>
    <w:rsid w:val="46FD57C4"/>
    <w:rsid w:val="47002980"/>
    <w:rsid w:val="470B69A7"/>
    <w:rsid w:val="47262F6D"/>
    <w:rsid w:val="4743767B"/>
    <w:rsid w:val="476D1B91"/>
    <w:rsid w:val="478A11B8"/>
    <w:rsid w:val="478F28C0"/>
    <w:rsid w:val="47941C85"/>
    <w:rsid w:val="47A83982"/>
    <w:rsid w:val="47B40579"/>
    <w:rsid w:val="47DB3D58"/>
    <w:rsid w:val="47E726FC"/>
    <w:rsid w:val="47FD6C65"/>
    <w:rsid w:val="48020765"/>
    <w:rsid w:val="48914416"/>
    <w:rsid w:val="48E36096"/>
    <w:rsid w:val="490177EE"/>
    <w:rsid w:val="49170DBF"/>
    <w:rsid w:val="493642ED"/>
    <w:rsid w:val="49463453"/>
    <w:rsid w:val="494E2307"/>
    <w:rsid w:val="49564E45"/>
    <w:rsid w:val="4970308C"/>
    <w:rsid w:val="49746212"/>
    <w:rsid w:val="49940662"/>
    <w:rsid w:val="49BE123B"/>
    <w:rsid w:val="49F654D9"/>
    <w:rsid w:val="4A1B1292"/>
    <w:rsid w:val="4A2B43F6"/>
    <w:rsid w:val="4A437992"/>
    <w:rsid w:val="4A4E5B36"/>
    <w:rsid w:val="4A5A33C8"/>
    <w:rsid w:val="4A7144FF"/>
    <w:rsid w:val="4AAA5C63"/>
    <w:rsid w:val="4AB417BD"/>
    <w:rsid w:val="4ADD4937"/>
    <w:rsid w:val="4AE80733"/>
    <w:rsid w:val="4AEB582E"/>
    <w:rsid w:val="4AEC627C"/>
    <w:rsid w:val="4B045373"/>
    <w:rsid w:val="4B1D43D5"/>
    <w:rsid w:val="4B1E616B"/>
    <w:rsid w:val="4B241572"/>
    <w:rsid w:val="4B38501D"/>
    <w:rsid w:val="4B3E2818"/>
    <w:rsid w:val="4B5D7EA8"/>
    <w:rsid w:val="4B78366B"/>
    <w:rsid w:val="4B7A193D"/>
    <w:rsid w:val="4B7C23F1"/>
    <w:rsid w:val="4B976928"/>
    <w:rsid w:val="4B9958D6"/>
    <w:rsid w:val="4BAF2DEC"/>
    <w:rsid w:val="4BB050FB"/>
    <w:rsid w:val="4BB70638"/>
    <w:rsid w:val="4BBE0F3C"/>
    <w:rsid w:val="4BF278C5"/>
    <w:rsid w:val="4C1D4C9C"/>
    <w:rsid w:val="4C2E4820"/>
    <w:rsid w:val="4C2E5100"/>
    <w:rsid w:val="4C371778"/>
    <w:rsid w:val="4C37194B"/>
    <w:rsid w:val="4C72455F"/>
    <w:rsid w:val="4C7D362F"/>
    <w:rsid w:val="4C7F267A"/>
    <w:rsid w:val="4C894D6F"/>
    <w:rsid w:val="4C8F3363"/>
    <w:rsid w:val="4C96179F"/>
    <w:rsid w:val="4C9B3AB5"/>
    <w:rsid w:val="4C9E7102"/>
    <w:rsid w:val="4CBE5242"/>
    <w:rsid w:val="4CD34FFD"/>
    <w:rsid w:val="4CE924D7"/>
    <w:rsid w:val="4CF803E4"/>
    <w:rsid w:val="4D0F5E59"/>
    <w:rsid w:val="4D3C6078"/>
    <w:rsid w:val="4D60180E"/>
    <w:rsid w:val="4D6F79FF"/>
    <w:rsid w:val="4D9D0319"/>
    <w:rsid w:val="4DA129EE"/>
    <w:rsid w:val="4DD0587C"/>
    <w:rsid w:val="4DE65204"/>
    <w:rsid w:val="4DF80E20"/>
    <w:rsid w:val="4DFB5952"/>
    <w:rsid w:val="4E0256F8"/>
    <w:rsid w:val="4E044182"/>
    <w:rsid w:val="4E534A5B"/>
    <w:rsid w:val="4E6846F8"/>
    <w:rsid w:val="4E891B5B"/>
    <w:rsid w:val="4EA215B1"/>
    <w:rsid w:val="4EA73A0E"/>
    <w:rsid w:val="4EAA6232"/>
    <w:rsid w:val="4EE11CA2"/>
    <w:rsid w:val="4F126A45"/>
    <w:rsid w:val="4F165675"/>
    <w:rsid w:val="4F22402A"/>
    <w:rsid w:val="4F5902F9"/>
    <w:rsid w:val="4F754A92"/>
    <w:rsid w:val="4F9C2DEA"/>
    <w:rsid w:val="4FB31116"/>
    <w:rsid w:val="4FC450D1"/>
    <w:rsid w:val="4FDD43E5"/>
    <w:rsid w:val="4FF20B5F"/>
    <w:rsid w:val="50081462"/>
    <w:rsid w:val="50396D0A"/>
    <w:rsid w:val="503E30D6"/>
    <w:rsid w:val="507A08A8"/>
    <w:rsid w:val="50872924"/>
    <w:rsid w:val="50A15412"/>
    <w:rsid w:val="50AC6291"/>
    <w:rsid w:val="50B213CE"/>
    <w:rsid w:val="50C07DA5"/>
    <w:rsid w:val="50C730CB"/>
    <w:rsid w:val="51022355"/>
    <w:rsid w:val="51340732"/>
    <w:rsid w:val="51361FFF"/>
    <w:rsid w:val="514F30C0"/>
    <w:rsid w:val="51630116"/>
    <w:rsid w:val="5167040A"/>
    <w:rsid w:val="517B5C63"/>
    <w:rsid w:val="51BD44CE"/>
    <w:rsid w:val="51C220EF"/>
    <w:rsid w:val="51D13AD5"/>
    <w:rsid w:val="51DC2BA6"/>
    <w:rsid w:val="51E77C7B"/>
    <w:rsid w:val="520378E4"/>
    <w:rsid w:val="521C0134"/>
    <w:rsid w:val="523C1897"/>
    <w:rsid w:val="524F6CA8"/>
    <w:rsid w:val="5253273C"/>
    <w:rsid w:val="52844092"/>
    <w:rsid w:val="52C10884"/>
    <w:rsid w:val="52D049DF"/>
    <w:rsid w:val="52D15A59"/>
    <w:rsid w:val="52E31D12"/>
    <w:rsid w:val="531047F5"/>
    <w:rsid w:val="531A3230"/>
    <w:rsid w:val="532F074A"/>
    <w:rsid w:val="5334431C"/>
    <w:rsid w:val="53373E0C"/>
    <w:rsid w:val="536C1D08"/>
    <w:rsid w:val="5399227B"/>
    <w:rsid w:val="539F032F"/>
    <w:rsid w:val="53BD36C9"/>
    <w:rsid w:val="53CB7B14"/>
    <w:rsid w:val="53CE29C2"/>
    <w:rsid w:val="53D8114B"/>
    <w:rsid w:val="53F9144F"/>
    <w:rsid w:val="53FF492A"/>
    <w:rsid w:val="540957A8"/>
    <w:rsid w:val="54113C3E"/>
    <w:rsid w:val="541505F1"/>
    <w:rsid w:val="54183C3E"/>
    <w:rsid w:val="541B530F"/>
    <w:rsid w:val="541B5F0D"/>
    <w:rsid w:val="542B3971"/>
    <w:rsid w:val="54352A41"/>
    <w:rsid w:val="543F741C"/>
    <w:rsid w:val="54452097"/>
    <w:rsid w:val="54762769"/>
    <w:rsid w:val="5486504B"/>
    <w:rsid w:val="54A56C35"/>
    <w:rsid w:val="54B308BD"/>
    <w:rsid w:val="54BB2F47"/>
    <w:rsid w:val="54C8174B"/>
    <w:rsid w:val="54E61B86"/>
    <w:rsid w:val="54F14BBA"/>
    <w:rsid w:val="55050666"/>
    <w:rsid w:val="550D3076"/>
    <w:rsid w:val="552D346E"/>
    <w:rsid w:val="552F11B7"/>
    <w:rsid w:val="554051FA"/>
    <w:rsid w:val="5551093D"/>
    <w:rsid w:val="5553717F"/>
    <w:rsid w:val="5567079D"/>
    <w:rsid w:val="556B6251"/>
    <w:rsid w:val="55741FDF"/>
    <w:rsid w:val="5583536A"/>
    <w:rsid w:val="55915A56"/>
    <w:rsid w:val="559F5298"/>
    <w:rsid w:val="55A01340"/>
    <w:rsid w:val="55B26BF3"/>
    <w:rsid w:val="56083D5B"/>
    <w:rsid w:val="562E599A"/>
    <w:rsid w:val="56336B0D"/>
    <w:rsid w:val="56356D29"/>
    <w:rsid w:val="565F7902"/>
    <w:rsid w:val="56B27079"/>
    <w:rsid w:val="56CB571F"/>
    <w:rsid w:val="56E60023"/>
    <w:rsid w:val="56E95360"/>
    <w:rsid w:val="57560D05"/>
    <w:rsid w:val="576355D3"/>
    <w:rsid w:val="57640FA0"/>
    <w:rsid w:val="57664CC0"/>
    <w:rsid w:val="57921934"/>
    <w:rsid w:val="57A66520"/>
    <w:rsid w:val="57BD0D84"/>
    <w:rsid w:val="57BE68AA"/>
    <w:rsid w:val="57E75E01"/>
    <w:rsid w:val="587F6039"/>
    <w:rsid w:val="58A65CBC"/>
    <w:rsid w:val="58C24114"/>
    <w:rsid w:val="58C24893"/>
    <w:rsid w:val="590D6AC3"/>
    <w:rsid w:val="59376914"/>
    <w:rsid w:val="593C100D"/>
    <w:rsid w:val="593F3A1A"/>
    <w:rsid w:val="594B0611"/>
    <w:rsid w:val="5952374E"/>
    <w:rsid w:val="595E20F3"/>
    <w:rsid w:val="597E09E7"/>
    <w:rsid w:val="597F3864"/>
    <w:rsid w:val="59A10231"/>
    <w:rsid w:val="59B9557B"/>
    <w:rsid w:val="59DA5CBA"/>
    <w:rsid w:val="5A074538"/>
    <w:rsid w:val="5A147441"/>
    <w:rsid w:val="5A1B5605"/>
    <w:rsid w:val="5A7476F4"/>
    <w:rsid w:val="5A9F6E67"/>
    <w:rsid w:val="5AA719E3"/>
    <w:rsid w:val="5AA955EF"/>
    <w:rsid w:val="5AC42BDF"/>
    <w:rsid w:val="5ADA7E9F"/>
    <w:rsid w:val="5B060C94"/>
    <w:rsid w:val="5B0B44FC"/>
    <w:rsid w:val="5B1D1191"/>
    <w:rsid w:val="5B2347E5"/>
    <w:rsid w:val="5B383250"/>
    <w:rsid w:val="5B3E042E"/>
    <w:rsid w:val="5B4041A6"/>
    <w:rsid w:val="5B5F72E5"/>
    <w:rsid w:val="5B655A75"/>
    <w:rsid w:val="5B871DD5"/>
    <w:rsid w:val="5B922527"/>
    <w:rsid w:val="5BBC0880"/>
    <w:rsid w:val="5BD70E12"/>
    <w:rsid w:val="5BEF4C00"/>
    <w:rsid w:val="5C204225"/>
    <w:rsid w:val="5C3655A9"/>
    <w:rsid w:val="5C3929A3"/>
    <w:rsid w:val="5C6304E0"/>
    <w:rsid w:val="5C910A31"/>
    <w:rsid w:val="5CA73351"/>
    <w:rsid w:val="5CAD3DA6"/>
    <w:rsid w:val="5CBF48D8"/>
    <w:rsid w:val="5CC26737"/>
    <w:rsid w:val="5D1A7C60"/>
    <w:rsid w:val="5D600B2F"/>
    <w:rsid w:val="5D6F0D72"/>
    <w:rsid w:val="5D787D8E"/>
    <w:rsid w:val="5D8D11F8"/>
    <w:rsid w:val="5D8D5264"/>
    <w:rsid w:val="5D9205BD"/>
    <w:rsid w:val="5DEF5A0F"/>
    <w:rsid w:val="5DF26102"/>
    <w:rsid w:val="5E03770C"/>
    <w:rsid w:val="5E61439A"/>
    <w:rsid w:val="5E6847CD"/>
    <w:rsid w:val="5E7303EE"/>
    <w:rsid w:val="5E9228D4"/>
    <w:rsid w:val="5EAA7B88"/>
    <w:rsid w:val="5EB31E59"/>
    <w:rsid w:val="5EB839EA"/>
    <w:rsid w:val="5ED115B9"/>
    <w:rsid w:val="5F0279C4"/>
    <w:rsid w:val="5F1A4D0E"/>
    <w:rsid w:val="5F2A00A0"/>
    <w:rsid w:val="5F313E05"/>
    <w:rsid w:val="5F367B26"/>
    <w:rsid w:val="5F4D6E91"/>
    <w:rsid w:val="5F59429D"/>
    <w:rsid w:val="5F6661A5"/>
    <w:rsid w:val="5FA64E91"/>
    <w:rsid w:val="5FB62BC7"/>
    <w:rsid w:val="5FBF1411"/>
    <w:rsid w:val="5FC66C44"/>
    <w:rsid w:val="5FD17AC2"/>
    <w:rsid w:val="5FF217E7"/>
    <w:rsid w:val="600808F0"/>
    <w:rsid w:val="602C46E8"/>
    <w:rsid w:val="60367925"/>
    <w:rsid w:val="603E2C7E"/>
    <w:rsid w:val="604324C2"/>
    <w:rsid w:val="60681B1C"/>
    <w:rsid w:val="606D435A"/>
    <w:rsid w:val="60885CA7"/>
    <w:rsid w:val="60934D78"/>
    <w:rsid w:val="60AC10A4"/>
    <w:rsid w:val="60C457EE"/>
    <w:rsid w:val="60D45F50"/>
    <w:rsid w:val="60FB3360"/>
    <w:rsid w:val="61045211"/>
    <w:rsid w:val="610F160F"/>
    <w:rsid w:val="612861BC"/>
    <w:rsid w:val="612B2820"/>
    <w:rsid w:val="61326FFC"/>
    <w:rsid w:val="614A3380"/>
    <w:rsid w:val="61671FBA"/>
    <w:rsid w:val="616C52DB"/>
    <w:rsid w:val="616C7377"/>
    <w:rsid w:val="61753621"/>
    <w:rsid w:val="618943CD"/>
    <w:rsid w:val="619E1C26"/>
    <w:rsid w:val="61B82265"/>
    <w:rsid w:val="61C158B1"/>
    <w:rsid w:val="61CB6793"/>
    <w:rsid w:val="61E23389"/>
    <w:rsid w:val="61EF2482"/>
    <w:rsid w:val="61EF54AA"/>
    <w:rsid w:val="61FE4473"/>
    <w:rsid w:val="620677CB"/>
    <w:rsid w:val="621D6D4D"/>
    <w:rsid w:val="622639C9"/>
    <w:rsid w:val="622C5484"/>
    <w:rsid w:val="62353789"/>
    <w:rsid w:val="62562501"/>
    <w:rsid w:val="62602AAB"/>
    <w:rsid w:val="62642590"/>
    <w:rsid w:val="628E2720"/>
    <w:rsid w:val="62CE02E9"/>
    <w:rsid w:val="62D058DC"/>
    <w:rsid w:val="62DB2A06"/>
    <w:rsid w:val="62E32B18"/>
    <w:rsid w:val="63133F4E"/>
    <w:rsid w:val="631D301E"/>
    <w:rsid w:val="631D45A6"/>
    <w:rsid w:val="631D4DCC"/>
    <w:rsid w:val="63352116"/>
    <w:rsid w:val="633B5253"/>
    <w:rsid w:val="634603C6"/>
    <w:rsid w:val="63650337"/>
    <w:rsid w:val="636D46E3"/>
    <w:rsid w:val="638C4074"/>
    <w:rsid w:val="63A728E8"/>
    <w:rsid w:val="63D27965"/>
    <w:rsid w:val="640502D6"/>
    <w:rsid w:val="64066FDC"/>
    <w:rsid w:val="640779B7"/>
    <w:rsid w:val="640B731B"/>
    <w:rsid w:val="642F3009"/>
    <w:rsid w:val="644840CB"/>
    <w:rsid w:val="64813139"/>
    <w:rsid w:val="649015CE"/>
    <w:rsid w:val="64C5571C"/>
    <w:rsid w:val="650325A3"/>
    <w:rsid w:val="65066F2E"/>
    <w:rsid w:val="656B2FE5"/>
    <w:rsid w:val="65796B36"/>
    <w:rsid w:val="659C2113"/>
    <w:rsid w:val="65A215B9"/>
    <w:rsid w:val="65A90EBC"/>
    <w:rsid w:val="65B75534"/>
    <w:rsid w:val="65C81A4F"/>
    <w:rsid w:val="65DF45BB"/>
    <w:rsid w:val="65EA3499"/>
    <w:rsid w:val="661A3845"/>
    <w:rsid w:val="662621EA"/>
    <w:rsid w:val="6655119C"/>
    <w:rsid w:val="66575D7D"/>
    <w:rsid w:val="665A00E6"/>
    <w:rsid w:val="667A530E"/>
    <w:rsid w:val="669F0930"/>
    <w:rsid w:val="66AB50FE"/>
    <w:rsid w:val="66EA2B70"/>
    <w:rsid w:val="66F13DA0"/>
    <w:rsid w:val="66F916AD"/>
    <w:rsid w:val="67193AFD"/>
    <w:rsid w:val="6732696D"/>
    <w:rsid w:val="674F751F"/>
    <w:rsid w:val="675759A0"/>
    <w:rsid w:val="67633AB0"/>
    <w:rsid w:val="67760F4F"/>
    <w:rsid w:val="678C2521"/>
    <w:rsid w:val="679933E7"/>
    <w:rsid w:val="67AB0BF9"/>
    <w:rsid w:val="67B61761"/>
    <w:rsid w:val="67BD6639"/>
    <w:rsid w:val="67C1041C"/>
    <w:rsid w:val="67ED6375"/>
    <w:rsid w:val="67F7371C"/>
    <w:rsid w:val="680B5B3B"/>
    <w:rsid w:val="680D3662"/>
    <w:rsid w:val="685E5CDD"/>
    <w:rsid w:val="6864524C"/>
    <w:rsid w:val="6870599E"/>
    <w:rsid w:val="68706417"/>
    <w:rsid w:val="68784853"/>
    <w:rsid w:val="689005C2"/>
    <w:rsid w:val="68A11FFC"/>
    <w:rsid w:val="68AC6398"/>
    <w:rsid w:val="68B61D88"/>
    <w:rsid w:val="68B65AF9"/>
    <w:rsid w:val="68EF55BF"/>
    <w:rsid w:val="68F23CD8"/>
    <w:rsid w:val="68FC0779"/>
    <w:rsid w:val="68FD6917"/>
    <w:rsid w:val="690D143F"/>
    <w:rsid w:val="69196036"/>
    <w:rsid w:val="69246AA9"/>
    <w:rsid w:val="69261E17"/>
    <w:rsid w:val="694D5CE0"/>
    <w:rsid w:val="6954706E"/>
    <w:rsid w:val="69643755"/>
    <w:rsid w:val="698E560F"/>
    <w:rsid w:val="69922853"/>
    <w:rsid w:val="69B30239"/>
    <w:rsid w:val="69BD3B76"/>
    <w:rsid w:val="69DC05B3"/>
    <w:rsid w:val="69EF7487"/>
    <w:rsid w:val="6A0E546F"/>
    <w:rsid w:val="6A244992"/>
    <w:rsid w:val="6A2C6867"/>
    <w:rsid w:val="6A34260B"/>
    <w:rsid w:val="6A3D1BFD"/>
    <w:rsid w:val="6A5070DE"/>
    <w:rsid w:val="6A6B0B13"/>
    <w:rsid w:val="6AAB3FEE"/>
    <w:rsid w:val="6AB97AD1"/>
    <w:rsid w:val="6ADC77CB"/>
    <w:rsid w:val="6AF162E4"/>
    <w:rsid w:val="6B59087A"/>
    <w:rsid w:val="6B695F28"/>
    <w:rsid w:val="6B700A62"/>
    <w:rsid w:val="6B87197D"/>
    <w:rsid w:val="6BA30330"/>
    <w:rsid w:val="6BB40298"/>
    <w:rsid w:val="6BBF1117"/>
    <w:rsid w:val="6BCB1861"/>
    <w:rsid w:val="6BD46244"/>
    <w:rsid w:val="6BDD1D01"/>
    <w:rsid w:val="6BE76250"/>
    <w:rsid w:val="6BFF399D"/>
    <w:rsid w:val="6C0C3C30"/>
    <w:rsid w:val="6C1A00FB"/>
    <w:rsid w:val="6C1E0459"/>
    <w:rsid w:val="6C3C1A66"/>
    <w:rsid w:val="6C4A6222"/>
    <w:rsid w:val="6C5B1825"/>
    <w:rsid w:val="6C8D4FD3"/>
    <w:rsid w:val="6C9C4FB4"/>
    <w:rsid w:val="6CC25503"/>
    <w:rsid w:val="6CCD33BF"/>
    <w:rsid w:val="6CFA617E"/>
    <w:rsid w:val="6D1A60D0"/>
    <w:rsid w:val="6D3A657B"/>
    <w:rsid w:val="6D3A78E6"/>
    <w:rsid w:val="6D3E250F"/>
    <w:rsid w:val="6D505D9E"/>
    <w:rsid w:val="6D9D5488"/>
    <w:rsid w:val="6DB30807"/>
    <w:rsid w:val="6DC36570"/>
    <w:rsid w:val="6DC70686"/>
    <w:rsid w:val="6DD30EA9"/>
    <w:rsid w:val="6DE54739"/>
    <w:rsid w:val="6DE85BCB"/>
    <w:rsid w:val="6DFA6436"/>
    <w:rsid w:val="6DFB21AE"/>
    <w:rsid w:val="6DFD1A82"/>
    <w:rsid w:val="6E0E3C8F"/>
    <w:rsid w:val="6E2E74DD"/>
    <w:rsid w:val="6E4A0A40"/>
    <w:rsid w:val="6E4E22DE"/>
    <w:rsid w:val="6E567D69"/>
    <w:rsid w:val="6E6876E0"/>
    <w:rsid w:val="6E6B2E90"/>
    <w:rsid w:val="6E71421E"/>
    <w:rsid w:val="6E937F29"/>
    <w:rsid w:val="6EC407F2"/>
    <w:rsid w:val="6F003164"/>
    <w:rsid w:val="6F046E40"/>
    <w:rsid w:val="6F165703"/>
    <w:rsid w:val="6F173018"/>
    <w:rsid w:val="6F255735"/>
    <w:rsid w:val="6F4E709D"/>
    <w:rsid w:val="6F525B32"/>
    <w:rsid w:val="6F632D80"/>
    <w:rsid w:val="6F63625D"/>
    <w:rsid w:val="6F683873"/>
    <w:rsid w:val="6FAE5D9C"/>
    <w:rsid w:val="6FCA12D5"/>
    <w:rsid w:val="6FF957E3"/>
    <w:rsid w:val="6FFA10C7"/>
    <w:rsid w:val="6FFB6495"/>
    <w:rsid w:val="70117A67"/>
    <w:rsid w:val="702308F0"/>
    <w:rsid w:val="704C075F"/>
    <w:rsid w:val="70622071"/>
    <w:rsid w:val="706933FF"/>
    <w:rsid w:val="706C685F"/>
    <w:rsid w:val="706D73FE"/>
    <w:rsid w:val="70765B1C"/>
    <w:rsid w:val="708E1B55"/>
    <w:rsid w:val="70C73094"/>
    <w:rsid w:val="70D016D0"/>
    <w:rsid w:val="71031AA6"/>
    <w:rsid w:val="711B176D"/>
    <w:rsid w:val="71566079"/>
    <w:rsid w:val="717D3CD5"/>
    <w:rsid w:val="71926986"/>
    <w:rsid w:val="71931673"/>
    <w:rsid w:val="71931C0B"/>
    <w:rsid w:val="719E532A"/>
    <w:rsid w:val="71A6519E"/>
    <w:rsid w:val="71C17073"/>
    <w:rsid w:val="71C64881"/>
    <w:rsid w:val="71C70D7B"/>
    <w:rsid w:val="71D84CE0"/>
    <w:rsid w:val="72013BF9"/>
    <w:rsid w:val="720A0BFF"/>
    <w:rsid w:val="723B701D"/>
    <w:rsid w:val="724F0D1A"/>
    <w:rsid w:val="72A526E9"/>
    <w:rsid w:val="72A52CC7"/>
    <w:rsid w:val="72AB7BB5"/>
    <w:rsid w:val="72BA082F"/>
    <w:rsid w:val="72E06587"/>
    <w:rsid w:val="72F77CB0"/>
    <w:rsid w:val="72FB430F"/>
    <w:rsid w:val="731C0E14"/>
    <w:rsid w:val="73281C56"/>
    <w:rsid w:val="7350457E"/>
    <w:rsid w:val="73695125"/>
    <w:rsid w:val="736D1458"/>
    <w:rsid w:val="73791D2E"/>
    <w:rsid w:val="7384715C"/>
    <w:rsid w:val="73867F6D"/>
    <w:rsid w:val="73B01345"/>
    <w:rsid w:val="73E43BD8"/>
    <w:rsid w:val="73FB6A64"/>
    <w:rsid w:val="74171171"/>
    <w:rsid w:val="74192A57"/>
    <w:rsid w:val="74365CEE"/>
    <w:rsid w:val="74406B6D"/>
    <w:rsid w:val="744120B0"/>
    <w:rsid w:val="74515D0F"/>
    <w:rsid w:val="74732A9E"/>
    <w:rsid w:val="748E5B2A"/>
    <w:rsid w:val="74983962"/>
    <w:rsid w:val="74A50BEC"/>
    <w:rsid w:val="74AA1CA9"/>
    <w:rsid w:val="74B65081"/>
    <w:rsid w:val="74D774D1"/>
    <w:rsid w:val="74E8308A"/>
    <w:rsid w:val="74ED4817"/>
    <w:rsid w:val="7538771C"/>
    <w:rsid w:val="7544443B"/>
    <w:rsid w:val="75472470"/>
    <w:rsid w:val="754D1541"/>
    <w:rsid w:val="755723C0"/>
    <w:rsid w:val="75862CA5"/>
    <w:rsid w:val="759622C6"/>
    <w:rsid w:val="75A44ED9"/>
    <w:rsid w:val="75E66D42"/>
    <w:rsid w:val="75E672A0"/>
    <w:rsid w:val="76642C4E"/>
    <w:rsid w:val="766C59F7"/>
    <w:rsid w:val="7675235D"/>
    <w:rsid w:val="76760624"/>
    <w:rsid w:val="767A40FC"/>
    <w:rsid w:val="769B54C8"/>
    <w:rsid w:val="76D313AC"/>
    <w:rsid w:val="76D773C6"/>
    <w:rsid w:val="76DA66C0"/>
    <w:rsid w:val="76F105F2"/>
    <w:rsid w:val="773F310C"/>
    <w:rsid w:val="776F54FE"/>
    <w:rsid w:val="777F5BFE"/>
    <w:rsid w:val="77A35EE0"/>
    <w:rsid w:val="77B070F5"/>
    <w:rsid w:val="77B37656"/>
    <w:rsid w:val="77B51620"/>
    <w:rsid w:val="77C23F98"/>
    <w:rsid w:val="78585CB2"/>
    <w:rsid w:val="786170B2"/>
    <w:rsid w:val="78886D34"/>
    <w:rsid w:val="789711D5"/>
    <w:rsid w:val="78B22DD4"/>
    <w:rsid w:val="78D45AD6"/>
    <w:rsid w:val="78F9378E"/>
    <w:rsid w:val="79053EE1"/>
    <w:rsid w:val="790A7749"/>
    <w:rsid w:val="79152036"/>
    <w:rsid w:val="79274CCF"/>
    <w:rsid w:val="79542F67"/>
    <w:rsid w:val="796F0971"/>
    <w:rsid w:val="79975481"/>
    <w:rsid w:val="799A528E"/>
    <w:rsid w:val="79AC7312"/>
    <w:rsid w:val="79CA35C3"/>
    <w:rsid w:val="79CC239E"/>
    <w:rsid w:val="79F67C69"/>
    <w:rsid w:val="7A0B5527"/>
    <w:rsid w:val="7A1A0982"/>
    <w:rsid w:val="7A3B22B0"/>
    <w:rsid w:val="7A3C1B84"/>
    <w:rsid w:val="7A405098"/>
    <w:rsid w:val="7A9279F6"/>
    <w:rsid w:val="7AA5597C"/>
    <w:rsid w:val="7AC07DB4"/>
    <w:rsid w:val="7AC83418"/>
    <w:rsid w:val="7ACB4CB6"/>
    <w:rsid w:val="7AF56D6A"/>
    <w:rsid w:val="7B187EFC"/>
    <w:rsid w:val="7B191EC6"/>
    <w:rsid w:val="7B5B0730"/>
    <w:rsid w:val="7B7B66DC"/>
    <w:rsid w:val="7B876E2F"/>
    <w:rsid w:val="7B8A691F"/>
    <w:rsid w:val="7B95779E"/>
    <w:rsid w:val="7BB530EA"/>
    <w:rsid w:val="7BB816DF"/>
    <w:rsid w:val="7BD06A28"/>
    <w:rsid w:val="7BDC34AC"/>
    <w:rsid w:val="7BFA03E0"/>
    <w:rsid w:val="7C350F81"/>
    <w:rsid w:val="7C58336E"/>
    <w:rsid w:val="7C64394E"/>
    <w:rsid w:val="7CAB1B33"/>
    <w:rsid w:val="7CAD0B17"/>
    <w:rsid w:val="7CF1204D"/>
    <w:rsid w:val="7CF67CAA"/>
    <w:rsid w:val="7D01709E"/>
    <w:rsid w:val="7D11248E"/>
    <w:rsid w:val="7D1B1F25"/>
    <w:rsid w:val="7D4944D0"/>
    <w:rsid w:val="7D6027A4"/>
    <w:rsid w:val="7D781125"/>
    <w:rsid w:val="7D7F0706"/>
    <w:rsid w:val="7D8C5DEA"/>
    <w:rsid w:val="7D8E7AB2"/>
    <w:rsid w:val="7DA57A41"/>
    <w:rsid w:val="7DB163E5"/>
    <w:rsid w:val="7DF86D46"/>
    <w:rsid w:val="7DFB1059"/>
    <w:rsid w:val="7DFC3B04"/>
    <w:rsid w:val="7DFC4599"/>
    <w:rsid w:val="7E795155"/>
    <w:rsid w:val="7E933D3D"/>
    <w:rsid w:val="7EA83C8C"/>
    <w:rsid w:val="7EC565EC"/>
    <w:rsid w:val="7EE36A72"/>
    <w:rsid w:val="7EEA1BAF"/>
    <w:rsid w:val="7F1762D2"/>
    <w:rsid w:val="7F4D213E"/>
    <w:rsid w:val="7F594F87"/>
    <w:rsid w:val="7F62204B"/>
    <w:rsid w:val="7F647934"/>
    <w:rsid w:val="7F6C1FFF"/>
    <w:rsid w:val="7F767AB1"/>
    <w:rsid w:val="7FA75CF2"/>
    <w:rsid w:val="7FB1091F"/>
    <w:rsid w:val="7FB27487"/>
    <w:rsid w:val="7FC566AD"/>
    <w:rsid w:val="7FD12D6F"/>
    <w:rsid w:val="7FD60E21"/>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qFormat="1" w:uiPriority="99" w:semiHidden="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2">
    <w:name w:val="heading 3"/>
    <w:basedOn w:val="1"/>
    <w:next w:val="1"/>
    <w:link w:val="51"/>
    <w:qFormat/>
    <w:uiPriority w:val="0"/>
    <w:pPr>
      <w:keepNext/>
      <w:keepLines/>
      <w:spacing w:line="416" w:lineRule="auto"/>
      <w:outlineLvl w:val="2"/>
    </w:pPr>
    <w:rPr>
      <w:b/>
      <w:kern w:val="0"/>
      <w:sz w:val="32"/>
      <w:szCs w:val="20"/>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spacing w:before="280" w:after="290" w:line="372" w:lineRule="auto"/>
      <w:outlineLvl w:val="4"/>
    </w:pPr>
    <w:rPr>
      <w:b/>
      <w:sz w:val="28"/>
    </w:rPr>
  </w:style>
  <w:style w:type="paragraph" w:styleId="8">
    <w:name w:val="heading 7"/>
    <w:basedOn w:val="1"/>
    <w:next w:val="1"/>
    <w:qFormat/>
    <w:uiPriority w:val="9"/>
    <w:pPr>
      <w:keepNext/>
      <w:keepLines/>
      <w:spacing w:before="240" w:after="64" w:line="320" w:lineRule="auto"/>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kern w:val="0"/>
      <w:sz w:val="20"/>
      <w:szCs w:val="20"/>
    </w:rPr>
  </w:style>
  <w:style w:type="paragraph" w:styleId="9">
    <w:name w:val="index 5"/>
    <w:basedOn w:val="1"/>
    <w:next w:val="1"/>
    <w:unhideWhenUsed/>
    <w:qFormat/>
    <w:uiPriority w:val="99"/>
    <w:pPr>
      <w:jc w:val="center"/>
    </w:pPr>
    <w:rPr>
      <w:rFonts w:ascii="方正小标宋简体" w:hAnsi="宋体" w:eastAsia="方正小标宋简体"/>
      <w:snapToGrid w:val="0"/>
      <w:kern w:val="0"/>
      <w:sz w:val="32"/>
      <w:szCs w:val="32"/>
    </w:rPr>
  </w:style>
  <w:style w:type="paragraph" w:styleId="10">
    <w:name w:val="annotation text"/>
    <w:basedOn w:val="1"/>
    <w:link w:val="54"/>
    <w:qFormat/>
    <w:uiPriority w:val="99"/>
    <w:pPr>
      <w:jc w:val="left"/>
    </w:pPr>
    <w:rPr>
      <w:kern w:val="0"/>
      <w:sz w:val="20"/>
    </w:rPr>
  </w:style>
  <w:style w:type="paragraph" w:styleId="11">
    <w:name w:val="Body Text"/>
    <w:basedOn w:val="1"/>
    <w:next w:val="1"/>
    <w:qFormat/>
    <w:uiPriority w:val="99"/>
    <w:rPr>
      <w:rFonts w:ascii="楷体_GB2312" w:hAnsi="Arial" w:eastAsia="楷体_GB2312"/>
      <w:kern w:val="0"/>
      <w:sz w:val="28"/>
      <w:szCs w:val="20"/>
    </w:rPr>
  </w:style>
  <w:style w:type="paragraph" w:styleId="12">
    <w:name w:val="Body Text Indent"/>
    <w:basedOn w:val="1"/>
    <w:next w:val="13"/>
    <w:qFormat/>
    <w:uiPriority w:val="0"/>
    <w:pPr>
      <w:ind w:firstLine="645"/>
    </w:pPr>
    <w:rPr>
      <w:rFonts w:ascii="楷体_GB2312" w:eastAsia="楷体_GB2312"/>
      <w:kern w:val="0"/>
      <w:sz w:val="32"/>
      <w:szCs w:val="20"/>
    </w:rPr>
  </w:style>
  <w:style w:type="paragraph" w:styleId="13">
    <w:name w:val="envelope return"/>
    <w:basedOn w:val="1"/>
    <w:unhideWhenUsed/>
    <w:qFormat/>
    <w:uiPriority w:val="0"/>
    <w:pPr>
      <w:snapToGrid w:val="0"/>
    </w:pPr>
    <w:rPr>
      <w:rFonts w:ascii="Arial" w:hAnsi="Arial"/>
    </w:rPr>
  </w:style>
  <w:style w:type="paragraph" w:styleId="14">
    <w:name w:val="index 4"/>
    <w:basedOn w:val="1"/>
    <w:next w:val="1"/>
    <w:unhideWhenUsed/>
    <w:qFormat/>
    <w:uiPriority w:val="99"/>
    <w:pPr>
      <w:ind w:firstLine="420" w:firstLineChars="200"/>
      <w:jc w:val="left"/>
    </w:pPr>
    <w:rPr>
      <w:rFonts w:ascii="宋体" w:hAnsi="宋体"/>
      <w:color w:val="FF0000"/>
      <w:szCs w:val="21"/>
    </w:rPr>
  </w:style>
  <w:style w:type="paragraph" w:styleId="15">
    <w:name w:val="toc 3"/>
    <w:basedOn w:val="1"/>
    <w:next w:val="1"/>
    <w:unhideWhenUsed/>
    <w:qFormat/>
    <w:uiPriority w:val="39"/>
    <w:pPr>
      <w:ind w:left="840" w:leftChars="400"/>
    </w:pPr>
  </w:style>
  <w:style w:type="paragraph" w:styleId="16">
    <w:name w:val="Plain Text"/>
    <w:basedOn w:val="1"/>
    <w:link w:val="52"/>
    <w:qFormat/>
    <w:uiPriority w:val="0"/>
    <w:rPr>
      <w:rFonts w:ascii="宋体" w:hAnsi="Courier New"/>
      <w:kern w:val="0"/>
      <w:sz w:val="20"/>
      <w:szCs w:val="20"/>
    </w:rPr>
  </w:style>
  <w:style w:type="paragraph" w:styleId="17">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8">
    <w:name w:val="Balloon Text"/>
    <w:basedOn w:val="1"/>
    <w:link w:val="42"/>
    <w:qFormat/>
    <w:uiPriority w:val="0"/>
    <w:rPr>
      <w:sz w:val="18"/>
      <w:szCs w:val="18"/>
    </w:rPr>
  </w:style>
  <w:style w:type="paragraph" w:styleId="19">
    <w:name w:val="footer"/>
    <w:basedOn w:val="1"/>
    <w:link w:val="43"/>
    <w:qFormat/>
    <w:uiPriority w:val="0"/>
    <w:pPr>
      <w:tabs>
        <w:tab w:val="center" w:pos="4153"/>
        <w:tab w:val="right" w:pos="8306"/>
      </w:tabs>
      <w:snapToGrid w:val="0"/>
      <w:jc w:val="left"/>
    </w:pPr>
    <w:rPr>
      <w:sz w:val="18"/>
      <w:szCs w:val="18"/>
    </w:rPr>
  </w:style>
  <w:style w:type="paragraph" w:styleId="20">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pPr>
    <w:rPr>
      <w:rFonts w:asciiTheme="minorHAnsi" w:hAnsiTheme="minorHAnsi" w:cstheme="minorBidi"/>
      <w:sz w:val="24"/>
    </w:rPr>
  </w:style>
  <w:style w:type="paragraph" w:styleId="22">
    <w:name w:val="Body Text Indent 3"/>
    <w:basedOn w:val="1"/>
    <w:unhideWhenUsed/>
    <w:qFormat/>
    <w:uiPriority w:val="99"/>
    <w:pPr>
      <w:spacing w:after="120"/>
      <w:ind w:left="420" w:leftChars="200"/>
    </w:pPr>
    <w:rPr>
      <w:sz w:val="16"/>
      <w:szCs w:val="16"/>
    </w:rPr>
  </w:style>
  <w:style w:type="paragraph" w:styleId="23">
    <w:name w:val="index 9"/>
    <w:basedOn w:val="1"/>
    <w:next w:val="1"/>
    <w:unhideWhenUsed/>
    <w:qFormat/>
    <w:uiPriority w:val="99"/>
    <w:pPr>
      <w:ind w:left="1600" w:leftChars="1600"/>
    </w:pPr>
  </w:style>
  <w:style w:type="paragraph" w:styleId="24">
    <w:name w:val="toc 2"/>
    <w:basedOn w:val="1"/>
    <w:next w:val="1"/>
    <w:qFormat/>
    <w:uiPriority w:val="39"/>
    <w:pPr>
      <w:spacing w:line="360" w:lineRule="auto"/>
      <w:ind w:left="420" w:leftChars="200"/>
    </w:pPr>
    <w:rPr>
      <w:rFonts w:asciiTheme="minorHAnsi" w:hAnsiTheme="minorHAnsi" w:cstheme="minorBidi"/>
      <w:sz w:val="24"/>
    </w:rPr>
  </w:style>
  <w:style w:type="paragraph" w:styleId="25">
    <w:name w:val="Normal (Web)"/>
    <w:basedOn w:val="1"/>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53"/>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10"/>
    <w:next w:val="10"/>
    <w:link w:val="55"/>
    <w:semiHidden/>
    <w:unhideWhenUsed/>
    <w:qFormat/>
    <w:uiPriority w:val="0"/>
    <w:rPr>
      <w:b/>
      <w:bCs/>
      <w:kern w:val="2"/>
      <w:sz w:val="21"/>
    </w:rPr>
  </w:style>
  <w:style w:type="paragraph" w:styleId="28">
    <w:name w:val="Body Text First Indent"/>
    <w:basedOn w:val="11"/>
    <w:unhideWhenUsed/>
    <w:qFormat/>
    <w:uiPriority w:val="99"/>
    <w:pPr>
      <w:spacing w:after="120"/>
      <w:ind w:firstLine="420" w:firstLineChars="100"/>
    </w:pPr>
    <w:rPr>
      <w:rFonts w:ascii="Times New Roman"/>
      <w:sz w:val="21"/>
    </w:rPr>
  </w:style>
  <w:style w:type="paragraph" w:styleId="29">
    <w:name w:val="Body Text First Indent 2"/>
    <w:basedOn w:val="12"/>
    <w:next w:val="1"/>
    <w:qFormat/>
    <w:uiPriority w:val="0"/>
    <w:pPr>
      <w:spacing w:line="360" w:lineRule="auto"/>
      <w:ind w:firstLine="420" w:firstLineChars="200"/>
    </w:pPr>
    <w:rPr>
      <w:rFonts w:ascii="宋体" w:hAnsi="宋体"/>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paragraph" w:customStyle="1" w:styleId="36">
    <w:name w:val="一级条标题"/>
    <w:basedOn w:val="37"/>
    <w:next w:val="38"/>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7">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8">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9">
    <w:name w:val="Heading1"/>
    <w:basedOn w:val="1"/>
    <w:next w:val="1"/>
    <w:qFormat/>
    <w:uiPriority w:val="0"/>
    <w:pPr>
      <w:keepNext/>
      <w:textAlignment w:val="baseline"/>
    </w:pPr>
    <w:rPr>
      <w:rFonts w:ascii="等线 Light" w:eastAsia="等线 Light"/>
      <w:sz w:val="28"/>
      <w:szCs w:val="20"/>
    </w:rPr>
  </w:style>
  <w:style w:type="paragraph" w:customStyle="1" w:styleId="40">
    <w:name w:val="首行缩进"/>
    <w:basedOn w:val="1"/>
    <w:qFormat/>
    <w:uiPriority w:val="0"/>
    <w:pPr>
      <w:ind w:firstLine="480" w:firstLineChars="200"/>
    </w:pPr>
    <w:rPr>
      <w:szCs w:val="20"/>
      <w:lang w:val="zh-CN"/>
    </w:rPr>
  </w:style>
  <w:style w:type="character" w:customStyle="1" w:styleId="41">
    <w:name w:val="页眉 Char"/>
    <w:link w:val="20"/>
    <w:qFormat/>
    <w:uiPriority w:val="0"/>
    <w:rPr>
      <w:rFonts w:ascii="Times New Roman" w:hAnsi="Times New Roman" w:eastAsia="宋体" w:cs="Times New Roman"/>
      <w:kern w:val="2"/>
      <w:sz w:val="18"/>
      <w:szCs w:val="18"/>
    </w:rPr>
  </w:style>
  <w:style w:type="character" w:customStyle="1" w:styleId="42">
    <w:name w:val="批注框文本 Char"/>
    <w:link w:val="18"/>
    <w:qFormat/>
    <w:uiPriority w:val="0"/>
    <w:rPr>
      <w:rFonts w:ascii="Times New Roman" w:hAnsi="Times New Roman" w:eastAsia="宋体" w:cs="Times New Roman"/>
      <w:kern w:val="2"/>
      <w:sz w:val="18"/>
      <w:szCs w:val="18"/>
    </w:rPr>
  </w:style>
  <w:style w:type="character" w:customStyle="1" w:styleId="43">
    <w:name w:val="页脚 Char"/>
    <w:link w:val="19"/>
    <w:qFormat/>
    <w:uiPriority w:val="0"/>
    <w:rPr>
      <w:rFonts w:ascii="Times New Roman" w:hAnsi="Times New Roman" w:eastAsia="宋体" w:cs="Times New Roman"/>
      <w:kern w:val="2"/>
      <w:sz w:val="18"/>
      <w:szCs w:val="18"/>
    </w:rPr>
  </w:style>
  <w:style w:type="paragraph" w:styleId="44">
    <w:name w:val="List Paragraph"/>
    <w:basedOn w:val="1"/>
    <w:qFormat/>
    <w:uiPriority w:val="34"/>
    <w:pPr>
      <w:ind w:firstLine="420" w:firstLineChars="200"/>
    </w:pPr>
    <w:rPr>
      <w:rFonts w:ascii="Calibri" w:hAnsi="Calibri"/>
      <w:kern w:val="0"/>
      <w:sz w:val="20"/>
      <w:szCs w:val="20"/>
    </w:rPr>
  </w:style>
  <w:style w:type="paragraph" w:customStyle="1" w:styleId="4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6">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7">
    <w:name w:val="纯文本1"/>
    <w:basedOn w:val="1"/>
    <w:qFormat/>
    <w:uiPriority w:val="0"/>
    <w:pPr>
      <w:adjustRightInd w:val="0"/>
    </w:pPr>
    <w:rPr>
      <w:rFonts w:ascii="宋体" w:hAnsi="Courier New" w:eastAsia="楷体_GB2312"/>
      <w:sz w:val="28"/>
      <w:szCs w:val="20"/>
    </w:rPr>
  </w:style>
  <w:style w:type="table" w:customStyle="1" w:styleId="4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51">
    <w:name w:val="标题 3 Char"/>
    <w:link w:val="2"/>
    <w:qFormat/>
    <w:uiPriority w:val="0"/>
    <w:rPr>
      <w:b/>
      <w:sz w:val="32"/>
    </w:rPr>
  </w:style>
  <w:style w:type="character" w:customStyle="1" w:styleId="52">
    <w:name w:val="纯文本 Char"/>
    <w:link w:val="16"/>
    <w:qFormat/>
    <w:locked/>
    <w:uiPriority w:val="0"/>
    <w:rPr>
      <w:rFonts w:ascii="宋体" w:hAnsi="Courier New"/>
    </w:rPr>
  </w:style>
  <w:style w:type="character" w:customStyle="1" w:styleId="53">
    <w:name w:val="标题 Char"/>
    <w:basedOn w:val="32"/>
    <w:link w:val="26"/>
    <w:qFormat/>
    <w:uiPriority w:val="0"/>
    <w:rPr>
      <w:rFonts w:asciiTheme="majorHAnsi" w:hAnsiTheme="majorHAnsi" w:eastAsiaTheme="majorEastAsia" w:cstheme="majorBidi"/>
      <w:b/>
      <w:bCs/>
      <w:kern w:val="2"/>
      <w:sz w:val="32"/>
      <w:szCs w:val="32"/>
    </w:rPr>
  </w:style>
  <w:style w:type="character" w:customStyle="1" w:styleId="54">
    <w:name w:val="批注文字 Char"/>
    <w:basedOn w:val="32"/>
    <w:link w:val="10"/>
    <w:qFormat/>
    <w:uiPriority w:val="99"/>
    <w:rPr>
      <w:szCs w:val="24"/>
    </w:rPr>
  </w:style>
  <w:style w:type="character" w:customStyle="1" w:styleId="55">
    <w:name w:val="批注主题 Char"/>
    <w:basedOn w:val="54"/>
    <w:link w:val="27"/>
    <w:semiHidden/>
    <w:qFormat/>
    <w:uiPriority w:val="0"/>
    <w:rPr>
      <w:b/>
      <w:bCs/>
      <w:kern w:val="2"/>
      <w:sz w:val="21"/>
      <w:szCs w:val="24"/>
    </w:rPr>
  </w:style>
  <w:style w:type="paragraph" w:customStyle="1" w:styleId="5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8">
    <w:name w:val="（一）正文标题"/>
    <w:basedOn w:val="2"/>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9">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6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61">
    <w:name w:val="Table Text"/>
    <w:basedOn w:val="1"/>
    <w:semiHidden/>
    <w:qFormat/>
    <w:uiPriority w:val="0"/>
    <w:rPr>
      <w:rFonts w:ascii="宋体" w:hAnsi="宋体" w:cs="宋体"/>
      <w:sz w:val="20"/>
      <w:szCs w:val="20"/>
      <w:lang w:eastAsia="en-US"/>
    </w:rPr>
  </w:style>
  <w:style w:type="paragraph" w:customStyle="1" w:styleId="62">
    <w:name w:val="二级目录"/>
    <w:next w:val="1"/>
    <w:qFormat/>
    <w:uiPriority w:val="99"/>
    <w:pPr>
      <w:tabs>
        <w:tab w:val="left" w:pos="360"/>
        <w:tab w:val="left" w:pos="720"/>
      </w:tabs>
      <w:spacing w:after="160" w:line="256" w:lineRule="auto"/>
      <w:outlineLvl w:val="1"/>
    </w:pPr>
    <w:rPr>
      <w:rFonts w:ascii="Times New Roman" w:hAnsi="Times New Roman" w:eastAsia="宋体" w:cs="Times New Roman"/>
      <w:b/>
      <w:bCs/>
      <w:kern w:val="2"/>
      <w:sz w:val="28"/>
      <w:szCs w:val="28"/>
      <w:lang w:val="en-US" w:eastAsia="zh-CN" w:bidi="ar-SA"/>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32.png"/><Relationship Id="rId4" Type="http://schemas.openxmlformats.org/officeDocument/2006/relationships/header" Target="header2.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048E0-40A9-4BD5-80E2-01C0746A83A3}">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45</Pages>
  <Words>6435</Words>
  <Characters>36680</Characters>
  <Lines>305</Lines>
  <Paragraphs>86</Paragraphs>
  <TotalTime>5</TotalTime>
  <ScaleCrop>false</ScaleCrop>
  <LinksUpToDate>false</LinksUpToDate>
  <CharactersWithSpaces>43029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WPS_1665191703</cp:lastModifiedBy>
  <cp:lastPrinted>2023-04-17T01:52:00Z</cp:lastPrinted>
  <dcterms:modified xsi:type="dcterms:W3CDTF">2023-11-15T08:46:00Z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39DBA5B1A9904FDEA44A06E622C76B2D_13</vt:lpwstr>
  </property>
</Properties>
</file>