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olor w:val="000000" w:themeColor="text1"/>
          <w:sz w:val="36"/>
          <w:highlight w:val="none"/>
          <w14:textFill>
            <w14:solidFill>
              <w14:schemeClr w14:val="tx1"/>
            </w14:solidFill>
          </w14:textFill>
        </w:rPr>
      </w:pPr>
      <w:bookmarkStart w:id="178" w:name="_GoBack"/>
    </w:p>
    <w:p>
      <w:pPr>
        <w:pStyle w:val="45"/>
        <w:ind w:firstLine="720"/>
        <w:rPr>
          <w:rFonts w:asciiTheme="majorEastAsia" w:hAnsiTheme="majorEastAsia" w:eastAsiaTheme="majorEastAsia"/>
          <w:color w:val="000000" w:themeColor="text1"/>
          <w:sz w:val="36"/>
          <w:highlight w:val="none"/>
          <w14:textFill>
            <w14:solidFill>
              <w14:schemeClr w14:val="tx1"/>
            </w14:solidFill>
          </w14:textFill>
        </w:rPr>
      </w:pPr>
    </w:p>
    <w:p>
      <w:pPr>
        <w:pStyle w:val="45"/>
        <w:spacing w:line="660" w:lineRule="exact"/>
        <w:ind w:firstLine="163" w:firstLineChars="45"/>
        <w:jc w:val="center"/>
        <w:rPr>
          <w:rFonts w:asciiTheme="majorEastAsia" w:hAnsiTheme="majorEastAsia" w:eastAsiaTheme="majorEastAsia"/>
          <w:b/>
          <w:color w:val="000000" w:themeColor="text1"/>
          <w:sz w:val="36"/>
          <w:szCs w:val="36"/>
          <w:highlight w:val="none"/>
          <w14:textFill>
            <w14:solidFill>
              <w14:schemeClr w14:val="tx1"/>
            </w14:solidFill>
          </w14:textFill>
        </w:rPr>
      </w:pPr>
      <w:r>
        <w:rPr>
          <w:rFonts w:hint="eastAsia" w:asciiTheme="majorEastAsia" w:hAnsiTheme="majorEastAsia" w:eastAsiaTheme="majorEastAsia"/>
          <w:b/>
          <w:color w:val="000000" w:themeColor="text1"/>
          <w:sz w:val="36"/>
          <w:szCs w:val="36"/>
          <w:highlight w:val="none"/>
          <w14:textFill>
            <w14:solidFill>
              <w14:schemeClr w14:val="tx1"/>
            </w14:solidFill>
          </w14:textFill>
        </w:rPr>
        <w:t>江苏医药职业学院</w:t>
      </w:r>
    </w:p>
    <w:p>
      <w:pPr>
        <w:pStyle w:val="45"/>
        <w:spacing w:line="660" w:lineRule="exact"/>
        <w:ind w:firstLine="163" w:firstLineChars="45"/>
        <w:jc w:val="center"/>
        <w:rPr>
          <w:rFonts w:asciiTheme="majorEastAsia" w:hAnsiTheme="majorEastAsia" w:eastAsiaTheme="majorEastAsia"/>
          <w:b/>
          <w:color w:val="000000" w:themeColor="text1"/>
          <w:sz w:val="36"/>
          <w:szCs w:val="36"/>
          <w:highlight w:val="none"/>
          <w14:textFill>
            <w14:solidFill>
              <w14:schemeClr w14:val="tx1"/>
            </w14:solidFill>
          </w14:textFill>
        </w:rPr>
      </w:pPr>
      <w:r>
        <w:rPr>
          <w:rFonts w:asciiTheme="majorEastAsia" w:hAnsiTheme="majorEastAsia" w:eastAsiaTheme="majorEastAsia"/>
          <w:b/>
          <w:color w:val="000000" w:themeColor="text1"/>
          <w:sz w:val="36"/>
          <w:szCs w:val="36"/>
          <w:highlight w:val="none"/>
          <w14:textFill>
            <w14:solidFill>
              <w14:schemeClr w14:val="tx1"/>
            </w14:solidFill>
          </w14:textFill>
        </w:rPr>
        <w:t>2021-2024</w:t>
      </w:r>
      <w:r>
        <w:rPr>
          <w:rFonts w:hint="eastAsia" w:asciiTheme="majorEastAsia" w:hAnsiTheme="majorEastAsia" w:eastAsiaTheme="majorEastAsia"/>
          <w:b/>
          <w:color w:val="000000" w:themeColor="text1"/>
          <w:sz w:val="36"/>
          <w:szCs w:val="36"/>
          <w:highlight w:val="none"/>
          <w14:textFill>
            <w14:solidFill>
              <w14:schemeClr w14:val="tx1"/>
            </w14:solidFill>
          </w14:textFill>
        </w:rPr>
        <w:t>学年（三学年）新形态教材出版采购项目（二次）</w:t>
      </w:r>
    </w:p>
    <w:p>
      <w:pPr>
        <w:pStyle w:val="45"/>
        <w:ind w:firstLine="720"/>
        <w:jc w:val="center"/>
        <w:rPr>
          <w:rFonts w:asciiTheme="majorEastAsia" w:hAnsiTheme="majorEastAsia" w:eastAsiaTheme="majorEastAsia"/>
          <w:color w:val="000000" w:themeColor="text1"/>
          <w:sz w:val="36"/>
          <w:highlight w:val="none"/>
          <w14:textFill>
            <w14:solidFill>
              <w14:schemeClr w14:val="tx1"/>
            </w14:solidFill>
          </w14:textFill>
        </w:rPr>
      </w:pPr>
    </w:p>
    <w:p>
      <w:pPr>
        <w:rPr>
          <w:rFonts w:asciiTheme="majorEastAsia" w:hAnsiTheme="majorEastAsia" w:eastAsiaTheme="majorEastAsia"/>
          <w:b/>
          <w:color w:val="000000" w:themeColor="text1"/>
          <w:sz w:val="84"/>
          <w:highlight w:val="none"/>
          <w14:textFill>
            <w14:solidFill>
              <w14:schemeClr w14:val="tx1"/>
            </w14:solidFill>
          </w14:textFill>
        </w:rPr>
      </w:pPr>
    </w:p>
    <w:p>
      <w:pPr>
        <w:jc w:val="center"/>
        <w:rPr>
          <w:rFonts w:asciiTheme="majorEastAsia" w:hAnsiTheme="majorEastAsia" w:eastAsiaTheme="majorEastAsia"/>
          <w:b/>
          <w:color w:val="000000" w:themeColor="text1"/>
          <w:sz w:val="84"/>
          <w:highlight w:val="none"/>
          <w14:textFill>
            <w14:solidFill>
              <w14:schemeClr w14:val="tx1"/>
            </w14:solidFill>
          </w14:textFill>
        </w:rPr>
      </w:pPr>
      <w:r>
        <w:rPr>
          <w:rFonts w:hint="eastAsia" w:asciiTheme="majorEastAsia" w:hAnsiTheme="majorEastAsia" w:eastAsiaTheme="majorEastAsia"/>
          <w:b/>
          <w:color w:val="000000" w:themeColor="text1"/>
          <w:sz w:val="84"/>
          <w:highlight w:val="none"/>
          <w14:textFill>
            <w14:solidFill>
              <w14:schemeClr w14:val="tx1"/>
            </w14:solidFill>
          </w14:textFill>
        </w:rPr>
        <w:t>竞争性磋商文件</w:t>
      </w:r>
    </w:p>
    <w:p>
      <w:pPr>
        <w:rPr>
          <w:rFonts w:asciiTheme="majorEastAsia" w:hAnsiTheme="majorEastAsia" w:eastAsiaTheme="majorEastAsia"/>
          <w:b/>
          <w:color w:val="000000" w:themeColor="text1"/>
          <w:sz w:val="32"/>
          <w:highlight w:val="none"/>
          <w14:textFill>
            <w14:solidFill>
              <w14:schemeClr w14:val="tx1"/>
            </w14:solidFill>
          </w14:textFill>
        </w:rPr>
      </w:pPr>
    </w:p>
    <w:p>
      <w:pPr>
        <w:jc w:val="center"/>
        <w:rPr>
          <w:rFonts w:asciiTheme="majorEastAsia" w:hAnsiTheme="majorEastAsia" w:eastAsiaTheme="majorEastAsia"/>
          <w:b/>
          <w:color w:val="000000" w:themeColor="text1"/>
          <w:sz w:val="32"/>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ind w:firstLine="1699" w:firstLineChars="531"/>
        <w:rPr>
          <w:rFonts w:cs="Courier New" w:asciiTheme="majorEastAsia" w:hAnsiTheme="majorEastAsia" w:eastAsiaTheme="majorEastAsia"/>
          <w:color w:val="000000" w:themeColor="text1"/>
          <w:sz w:val="32"/>
          <w:szCs w:val="32"/>
          <w:highlight w:val="none"/>
          <w14:textFill>
            <w14:solidFill>
              <w14:schemeClr w14:val="tx1"/>
            </w14:solidFill>
          </w14:textFill>
        </w:rPr>
      </w:pPr>
      <w:r>
        <w:rPr>
          <w:rFonts w:hint="eastAsia" w:cs="Courier New" w:asciiTheme="majorEastAsia" w:hAnsiTheme="majorEastAsia" w:eastAsiaTheme="majorEastAsia"/>
          <w:color w:val="000000" w:themeColor="text1"/>
          <w:sz w:val="32"/>
          <w:szCs w:val="32"/>
          <w:highlight w:val="none"/>
          <w14:textFill>
            <w14:solidFill>
              <w14:schemeClr w14:val="tx1"/>
            </w14:solidFill>
          </w14:textFill>
        </w:rPr>
        <w:t>项目编号：</w:t>
      </w:r>
      <w:r>
        <w:rPr>
          <w:rFonts w:cs="Courier New" w:asciiTheme="majorEastAsia" w:hAnsiTheme="majorEastAsia" w:eastAsiaTheme="majorEastAsia"/>
          <w:color w:val="000000" w:themeColor="text1"/>
          <w:sz w:val="32"/>
          <w:szCs w:val="32"/>
          <w:highlight w:val="none"/>
          <w14:textFill>
            <w14:solidFill>
              <w14:schemeClr w14:val="tx1"/>
            </w14:solidFill>
          </w14:textFill>
        </w:rPr>
        <w:t>SY2021-078-FW-JC</w:t>
      </w:r>
    </w:p>
    <w:p>
      <w:pPr>
        <w:pStyle w:val="24"/>
        <w:ind w:firstLine="1699" w:firstLineChars="531"/>
        <w:rPr>
          <w:rFonts w:asciiTheme="majorEastAsia" w:hAnsiTheme="majorEastAsia" w:eastAsiaTheme="majorEastAsia"/>
          <w:color w:val="000000" w:themeColor="text1"/>
          <w:sz w:val="32"/>
          <w:szCs w:val="32"/>
          <w:highlight w:val="none"/>
          <w14:textFill>
            <w14:solidFill>
              <w14:schemeClr w14:val="tx1"/>
            </w14:solidFill>
          </w14:textFill>
        </w:rPr>
      </w:pPr>
      <w:r>
        <w:rPr>
          <w:rFonts w:hint="eastAsia" w:asciiTheme="majorEastAsia" w:hAnsiTheme="majorEastAsia" w:eastAsiaTheme="majorEastAsia"/>
          <w:color w:val="000000" w:themeColor="text1"/>
          <w:sz w:val="32"/>
          <w:szCs w:val="32"/>
          <w:highlight w:val="none"/>
          <w14:textFill>
            <w14:solidFill>
              <w14:schemeClr w14:val="tx1"/>
            </w14:solidFill>
          </w14:textFill>
        </w:rPr>
        <w:t>招标单位：江苏医药职业学院</w:t>
      </w:r>
    </w:p>
    <w:p>
      <w:pPr>
        <w:pStyle w:val="24"/>
        <w:ind w:firstLine="1600" w:firstLineChars="500"/>
        <w:rPr>
          <w:rFonts w:asciiTheme="majorEastAsia" w:hAnsiTheme="majorEastAsia" w:eastAsiaTheme="majorEastAsia"/>
          <w:color w:val="000000" w:themeColor="text1"/>
          <w:sz w:val="32"/>
          <w:szCs w:val="32"/>
          <w:highlight w:val="none"/>
          <w14:textFill>
            <w14:solidFill>
              <w14:schemeClr w14:val="tx1"/>
            </w14:solidFill>
          </w14:textFill>
        </w:rPr>
      </w:pPr>
      <w:r>
        <w:rPr>
          <w:rFonts w:hint="eastAsia" w:asciiTheme="majorEastAsia" w:hAnsiTheme="majorEastAsia" w:eastAsiaTheme="majorEastAsia"/>
          <w:color w:val="000000" w:themeColor="text1"/>
          <w:sz w:val="32"/>
          <w:szCs w:val="32"/>
          <w:highlight w:val="none"/>
          <w14:textFill>
            <w14:solidFill>
              <w14:schemeClr w14:val="tx1"/>
            </w14:solidFill>
          </w14:textFill>
        </w:rPr>
        <w:t>代理机构: 盐城市天平建设监理有限公司</w:t>
      </w:r>
    </w:p>
    <w:p>
      <w:pPr>
        <w:pStyle w:val="2"/>
        <w:ind w:firstLine="640"/>
        <w:jc w:val="center"/>
        <w:rPr>
          <w:rFonts w:asciiTheme="majorEastAsia" w:hAnsiTheme="majorEastAsia" w:eastAsiaTheme="majorEastAsia"/>
          <w:color w:val="000000" w:themeColor="text1"/>
          <w:sz w:val="32"/>
          <w:szCs w:val="32"/>
          <w:highlight w:val="none"/>
          <w14:textFill>
            <w14:solidFill>
              <w14:schemeClr w14:val="tx1"/>
            </w14:solidFill>
          </w14:textFill>
        </w:rPr>
      </w:pPr>
    </w:p>
    <w:p>
      <w:pPr>
        <w:pStyle w:val="24"/>
        <w:jc w:val="center"/>
        <w:rPr>
          <w:rFonts w:asciiTheme="majorEastAsia" w:hAnsiTheme="majorEastAsia" w:eastAsiaTheme="majorEastAsia"/>
          <w:color w:val="000000" w:themeColor="text1"/>
          <w:sz w:val="32"/>
          <w:szCs w:val="32"/>
          <w:highlight w:val="none"/>
          <w14:textFill>
            <w14:solidFill>
              <w14:schemeClr w14:val="tx1"/>
            </w14:solidFill>
          </w14:textFill>
        </w:rPr>
      </w:pPr>
      <w:r>
        <w:rPr>
          <w:rFonts w:hint="eastAsia" w:asciiTheme="majorEastAsia" w:hAnsiTheme="majorEastAsia" w:eastAsiaTheme="majorEastAsia"/>
          <w:color w:val="000000" w:themeColor="text1"/>
          <w:sz w:val="32"/>
          <w:szCs w:val="32"/>
          <w:highlight w:val="none"/>
          <w14:textFill>
            <w14:solidFill>
              <w14:schemeClr w14:val="tx1"/>
            </w14:solidFill>
          </w14:textFill>
        </w:rPr>
        <w:t>2021年10月24日</w:t>
      </w:r>
    </w:p>
    <w:p>
      <w:pPr>
        <w:pStyle w:val="24"/>
        <w:rPr>
          <w:rFonts w:asciiTheme="majorEastAsia" w:hAnsiTheme="majorEastAsia" w:eastAsiaTheme="majorEastAsia"/>
          <w:color w:val="000000" w:themeColor="text1"/>
          <w:sz w:val="32"/>
          <w:szCs w:val="32"/>
          <w:highlight w:val="none"/>
          <w14:textFill>
            <w14:solidFill>
              <w14:schemeClr w14:val="tx1"/>
            </w14:solidFill>
          </w14:textFill>
        </w:rPr>
      </w:pPr>
      <w:bookmarkStart w:id="0" w:name="_Toc120614210"/>
      <w:bookmarkStart w:id="1" w:name="_Toc479757206"/>
      <w:bookmarkStart w:id="2" w:name="_Toc513029200"/>
      <w:bookmarkStart w:id="3" w:name="_Toc523127445"/>
      <w:bookmarkStart w:id="4" w:name="_Toc16938516"/>
      <w:bookmarkStart w:id="5" w:name="_Toc20823272"/>
    </w:p>
    <w:p>
      <w:pPr>
        <w:pStyle w:val="24"/>
        <w:rPr>
          <w:rFonts w:asciiTheme="majorEastAsia" w:hAnsiTheme="majorEastAsia" w:eastAsiaTheme="majorEastAsia"/>
          <w:color w:val="000000" w:themeColor="text1"/>
          <w:highlight w:val="none"/>
          <w14:textFill>
            <w14:solidFill>
              <w14:schemeClr w14:val="tx1"/>
            </w14:solidFill>
          </w14:textFill>
        </w:rPr>
      </w:pPr>
    </w:p>
    <w:p>
      <w:pPr>
        <w:spacing w:line="480" w:lineRule="auto"/>
        <w:jc w:val="center"/>
        <w:outlineLvl w:val="0"/>
        <w:rPr>
          <w:rFonts w:asciiTheme="majorEastAsia" w:hAnsiTheme="majorEastAsia" w:eastAsiaTheme="majorEastAsia"/>
          <w:b/>
          <w:color w:val="000000" w:themeColor="text1"/>
          <w:sz w:val="44"/>
          <w:highlight w:val="none"/>
          <w14:textFill>
            <w14:solidFill>
              <w14:schemeClr w14:val="tx1"/>
            </w14:solidFill>
          </w14:textFill>
        </w:rPr>
      </w:pPr>
    </w:p>
    <w:p>
      <w:pPr>
        <w:spacing w:line="480" w:lineRule="auto"/>
        <w:jc w:val="center"/>
        <w:outlineLvl w:val="0"/>
        <w:rPr>
          <w:rFonts w:asciiTheme="majorEastAsia" w:hAnsiTheme="majorEastAsia" w:eastAsiaTheme="majorEastAsia"/>
          <w:b/>
          <w:color w:val="000000" w:themeColor="text1"/>
          <w:sz w:val="48"/>
          <w:highlight w:val="none"/>
          <w14:textFill>
            <w14:solidFill>
              <w14:schemeClr w14:val="tx1"/>
            </w14:solidFill>
          </w14:textFill>
        </w:rPr>
      </w:pPr>
      <w:r>
        <w:rPr>
          <w:rFonts w:hint="eastAsia" w:asciiTheme="majorEastAsia" w:hAnsiTheme="majorEastAsia" w:eastAsiaTheme="majorEastAsia"/>
          <w:b/>
          <w:color w:val="000000" w:themeColor="text1"/>
          <w:sz w:val="48"/>
          <w:highlight w:val="none"/>
          <w14:textFill>
            <w14:solidFill>
              <w14:schemeClr w14:val="tx1"/>
            </w14:solidFill>
          </w14:textFill>
        </w:rPr>
        <w:t>目  录</w:t>
      </w:r>
    </w:p>
    <w:p>
      <w:pPr>
        <w:spacing w:line="480" w:lineRule="auto"/>
        <w:rPr>
          <w:rFonts w:asciiTheme="majorEastAsia" w:hAnsiTheme="majorEastAsia" w:eastAsiaTheme="majorEastAsia"/>
          <w:b/>
          <w:color w:val="000000" w:themeColor="text1"/>
          <w:sz w:val="28"/>
          <w:highlight w:val="none"/>
          <w14:textFill>
            <w14:solidFill>
              <w14:schemeClr w14:val="tx1"/>
            </w14:solidFill>
          </w14:textFill>
        </w:rPr>
      </w:pP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第一章  竞争性磋商公告……………………………………3</w:t>
      </w: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第二章  磋商须知……………………………………………7</w:t>
      </w: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第三章  合同条款及格式……………………………………18</w:t>
      </w: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第四章  项目需求……………………………………………21</w:t>
      </w: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第五章  评标方法与评标标准………………………………23</w:t>
      </w:r>
    </w:p>
    <w:p>
      <w:pPr>
        <w:spacing w:line="600" w:lineRule="exact"/>
        <w:rPr>
          <w:rFonts w:asciiTheme="majorEastAsia" w:hAnsiTheme="majorEastAsia" w:eastAsiaTheme="majorEastAsia"/>
          <w:color w:val="000000" w:themeColor="text1"/>
          <w:sz w:val="36"/>
          <w:szCs w:val="36"/>
          <w:highlight w:val="none"/>
          <w14:textFill>
            <w14:solidFill>
              <w14:schemeClr w14:val="tx1"/>
            </w14:solidFill>
          </w14:textFill>
        </w:rPr>
      </w:pPr>
      <w:r>
        <w:rPr>
          <w:rFonts w:hint="eastAsia" w:asciiTheme="majorEastAsia" w:hAnsiTheme="majorEastAsia" w:eastAsiaTheme="majorEastAsia"/>
          <w:color w:val="000000" w:themeColor="text1"/>
          <w:sz w:val="36"/>
          <w:szCs w:val="36"/>
          <w:highlight w:val="none"/>
          <w14:textFill>
            <w14:solidFill>
              <w14:schemeClr w14:val="tx1"/>
            </w14:solidFill>
          </w14:textFill>
        </w:rPr>
        <w:t>第六章  投标文件格式………………………………………25</w:t>
      </w:r>
    </w:p>
    <w:p>
      <w:pPr>
        <w:pStyle w:val="24"/>
        <w:rPr>
          <w:rFonts w:asciiTheme="majorEastAsia" w:hAnsiTheme="majorEastAsia" w:eastAsiaTheme="majorEastAsia"/>
          <w:color w:val="000000" w:themeColor="text1"/>
          <w:sz w:val="36"/>
          <w:szCs w:val="36"/>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color w:val="000000" w:themeColor="text1"/>
          <w:highlight w:val="none"/>
          <w14:textFill>
            <w14:solidFill>
              <w14:schemeClr w14:val="tx1"/>
            </w14:solidFill>
          </w14:textFill>
        </w:rPr>
      </w:pPr>
    </w:p>
    <w:bookmarkEnd w:id="0"/>
    <w:p>
      <w:pPr>
        <w:pStyle w:val="24"/>
        <w:rPr>
          <w:rStyle w:val="65"/>
          <w:rFonts w:asciiTheme="majorEastAsia" w:hAnsiTheme="majorEastAsia" w:eastAsiaTheme="majorEastAsia"/>
          <w:color w:val="000000" w:themeColor="text1"/>
          <w:highlight w:val="none"/>
          <w14:textFill>
            <w14:solidFill>
              <w14:schemeClr w14:val="tx1"/>
            </w14:solidFill>
          </w14:textFill>
        </w:rPr>
      </w:pPr>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第一章  竞争性磋商采购公告</w:t>
      </w:r>
    </w:p>
    <w:p>
      <w:pPr>
        <w:rPr>
          <w:rFonts w:asciiTheme="majorEastAsia" w:hAnsiTheme="majorEastAsia" w:eastAsiaTheme="majorEastAsia"/>
          <w:color w:val="000000" w:themeColor="text1"/>
          <w:highlight w:val="none"/>
          <w14:textFill>
            <w14:solidFill>
              <w14:schemeClr w14:val="tx1"/>
            </w14:solidFill>
          </w14:textFill>
        </w:rPr>
      </w:pPr>
    </w:p>
    <w:p>
      <w:pPr>
        <w:pBdr>
          <w:top w:val="single" w:color="auto" w:sz="4" w:space="1"/>
          <w:left w:val="single" w:color="auto" w:sz="4" w:space="4"/>
          <w:bottom w:val="single" w:color="auto" w:sz="4" w:space="1"/>
          <w:right w:val="single" w:color="auto" w:sz="4" w:space="4"/>
        </w:pBdr>
        <w:ind w:firstLine="482" w:firstLineChars="200"/>
        <w:jc w:val="left"/>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项目概况</w:t>
      </w:r>
      <w:bookmarkStart w:id="6" w:name="_Toc35393790"/>
      <w:bookmarkStart w:id="7" w:name="_Toc28359002"/>
      <w:bookmarkStart w:id="8" w:name="_Toc28359079"/>
      <w:bookmarkStart w:id="9" w:name="_Toc35393621"/>
      <w:bookmarkStart w:id="10" w:name="_Hlk24379207"/>
    </w:p>
    <w:p>
      <w:pPr>
        <w:pBdr>
          <w:top w:val="single" w:color="auto" w:sz="4" w:space="1"/>
          <w:left w:val="single" w:color="auto" w:sz="4" w:space="4"/>
          <w:bottom w:val="single" w:color="auto" w:sz="4" w:space="1"/>
          <w:right w:val="single" w:color="auto" w:sz="4" w:space="4"/>
        </w:pBdr>
        <w:ind w:firstLine="360" w:firstLineChars="150"/>
        <w:jc w:val="left"/>
        <w:rPr>
          <w:rFonts w:asciiTheme="majorEastAsia" w:hAnsiTheme="majorEastAsia" w:eastAsiaTheme="majorEastAsia" w:cstheme="minorEastAsia"/>
          <w:color w:val="000000" w:themeColor="text1"/>
          <w:sz w:val="24"/>
          <w:szCs w:val="24"/>
          <w:highlight w:val="none"/>
          <w:u w:val="single"/>
          <w14:textFill>
            <w14:solidFill>
              <w14:schemeClr w14:val="tx1"/>
            </w14:solidFill>
          </w14:textFill>
        </w:rPr>
      </w:pPr>
      <w:r>
        <w:rPr>
          <w:rFonts w:hint="eastAsia" w:asciiTheme="majorEastAsia" w:hAnsiTheme="majorEastAsia" w:eastAsiaTheme="majorEastAsia" w:cstheme="minorEastAsia"/>
          <w:color w:val="000000" w:themeColor="text1"/>
          <w:sz w:val="24"/>
          <w:szCs w:val="24"/>
          <w:highlight w:val="none"/>
          <w:u w:val="single"/>
          <w14:textFill>
            <w14:solidFill>
              <w14:schemeClr w14:val="tx1"/>
            </w14:solidFill>
          </w14:textFill>
        </w:rPr>
        <w:t>江苏医药职业学院2021-2024学年（三学年）新形态教材出版采购项目（二次）</w:t>
      </w:r>
      <w:r>
        <w:rPr>
          <w:rFonts w:hint="eastAsia" w:asciiTheme="majorEastAsia" w:hAnsiTheme="majorEastAsia" w:eastAsiaTheme="majorEastAsia" w:cstheme="minorEastAsia"/>
          <w:color w:val="000000" w:themeColor="text1"/>
          <w:sz w:val="24"/>
          <w:szCs w:val="24"/>
          <w:highlight w:val="none"/>
          <w14:textFill>
            <w14:solidFill>
              <w14:schemeClr w14:val="tx1"/>
            </w14:solidFill>
          </w14:textFill>
        </w:rPr>
        <w:t>招标项目的潜在投标人应在</w:t>
      </w:r>
      <w:r>
        <w:rPr>
          <w:rFonts w:hint="eastAsia" w:asciiTheme="majorEastAsia" w:hAnsiTheme="majorEastAsia" w:eastAsiaTheme="majorEastAsia" w:cstheme="minorEastAsia"/>
          <w:color w:val="000000" w:themeColor="text1"/>
          <w:sz w:val="24"/>
          <w:szCs w:val="24"/>
          <w:highlight w:val="none"/>
          <w:u w:val="single"/>
          <w14:textFill>
            <w14:solidFill>
              <w14:schemeClr w14:val="tx1"/>
            </w14:solidFill>
          </w14:textFill>
        </w:rPr>
        <w:t>盐城市天平建设监理有限公司</w:t>
      </w:r>
      <w:r>
        <w:rPr>
          <w:rFonts w:hint="eastAsia" w:asciiTheme="majorEastAsia" w:hAnsiTheme="majorEastAsia" w:eastAsiaTheme="majorEastAsia" w:cstheme="minorEastAsia"/>
          <w:color w:val="000000" w:themeColor="text1"/>
          <w:sz w:val="24"/>
          <w:szCs w:val="24"/>
          <w:highlight w:val="none"/>
          <w14:textFill>
            <w14:solidFill>
              <w14:schemeClr w14:val="tx1"/>
            </w14:solidFill>
          </w14:textFill>
        </w:rPr>
        <w:t>获取招标文件，并于</w:t>
      </w:r>
      <w:r>
        <w:rPr>
          <w:rFonts w:hint="eastAsia" w:asciiTheme="majorEastAsia" w:hAnsiTheme="majorEastAsia" w:eastAsiaTheme="majorEastAsia" w:cstheme="minorEastAsia"/>
          <w:color w:val="000000" w:themeColor="text1"/>
          <w:sz w:val="24"/>
          <w:szCs w:val="24"/>
          <w:highlight w:val="none"/>
          <w:u w:val="single"/>
          <w14:textFill>
            <w14:solidFill>
              <w14:schemeClr w14:val="tx1"/>
            </w14:solidFill>
          </w14:textFill>
        </w:rPr>
        <w:t>2021</w:t>
      </w:r>
      <w:r>
        <w:rPr>
          <w:rFonts w:hint="eastAsia" w:asciiTheme="majorEastAsia" w:hAnsiTheme="majorEastAsia" w:eastAsiaTheme="majorEastAsia" w:cstheme="minorEastAsia"/>
          <w:bCs/>
          <w:color w:val="000000" w:themeColor="text1"/>
          <w:sz w:val="24"/>
          <w:szCs w:val="24"/>
          <w:highlight w:val="none"/>
          <w:u w:val="single"/>
          <w14:textFill>
            <w14:solidFill>
              <w14:schemeClr w14:val="tx1"/>
            </w14:solidFill>
          </w14:textFill>
        </w:rPr>
        <w:t>年11月4日15点00分（</w:t>
      </w:r>
      <w:r>
        <w:rPr>
          <w:rFonts w:hint="eastAsia" w:asciiTheme="majorEastAsia" w:hAnsiTheme="majorEastAsia" w:eastAsiaTheme="majorEastAsia" w:cstheme="minorEastAsia"/>
          <w:bCs/>
          <w:color w:val="000000" w:themeColor="text1"/>
          <w:sz w:val="24"/>
          <w:szCs w:val="24"/>
          <w:highlight w:val="none"/>
          <w14:textFill>
            <w14:solidFill>
              <w14:schemeClr w14:val="tx1"/>
            </w14:solidFill>
          </w14:textFill>
        </w:rPr>
        <w:t>北京时间）前递交投标文件</w:t>
      </w:r>
      <w:r>
        <w:rPr>
          <w:rFonts w:hint="eastAsia" w:asciiTheme="majorEastAsia" w:hAnsiTheme="majorEastAsia" w:eastAsiaTheme="majorEastAsia" w:cstheme="minorEastAsia"/>
          <w:color w:val="000000" w:themeColor="text1"/>
          <w:sz w:val="24"/>
          <w:szCs w:val="24"/>
          <w:highlight w:val="none"/>
          <w14:textFill>
            <w14:solidFill>
              <w14:schemeClr w14:val="tx1"/>
            </w14:solidFill>
          </w14:textFill>
        </w:rPr>
        <w:t>。</w:t>
      </w:r>
    </w:p>
    <w:p>
      <w:pPr>
        <w:spacing w:line="500" w:lineRule="exact"/>
        <w:ind w:firstLine="482" w:firstLineChars="200"/>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一、项目基本情况</w:t>
      </w:r>
      <w:bookmarkEnd w:id="6"/>
      <w:bookmarkEnd w:id="7"/>
      <w:bookmarkEnd w:id="8"/>
      <w:bookmarkEnd w:id="9"/>
    </w:p>
    <w:p>
      <w:pPr>
        <w:spacing w:line="500" w:lineRule="exact"/>
        <w:ind w:firstLine="480" w:firstLineChars="200"/>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1.项目编号：SY2021-078-FW-JC</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2.项目名称：江苏医药职业学院2021-2024学年（三学年）新形态教材出版采购项目（二次）</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3.采购方式：□竞争性谈判 ☑ 竞争性磋商 □询价</w:t>
      </w:r>
    </w:p>
    <w:bookmarkEnd w:id="10"/>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4.预算金额：每年约40万元</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5.最高限价：每年40万元，招标人不接收高于最高限价的投标报价，投标报价高于最高限价的视为无效标书。</w:t>
      </w:r>
    </w:p>
    <w:p>
      <w:pPr>
        <w:spacing w:line="500" w:lineRule="exact"/>
        <w:ind w:firstLine="480" w:firstLineChars="200"/>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6.采购需求：</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详细技术要求以招标文件中项目需求为准。招标人保留对上述工程量及范围适当调整的权利。</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7.合同履行期限：</w:t>
      </w:r>
      <w:r>
        <w:rPr>
          <w:rFonts w:cs="宋体" w:asciiTheme="majorEastAsia" w:hAnsiTheme="majorEastAsia" w:eastAsiaTheme="majorEastAsia"/>
          <w:color w:val="000000" w:themeColor="text1"/>
          <w:sz w:val="24"/>
          <w:szCs w:val="24"/>
          <w:highlight w:val="none"/>
          <w14:textFill>
            <w14:solidFill>
              <w14:schemeClr w14:val="tx1"/>
            </w14:solidFill>
          </w14:textFill>
        </w:rPr>
        <w:t>三年，合同一年一签，按上年服务的考核结果，由学校主张是否可以续签一年。</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8.本项目</w:t>
      </w:r>
      <w:r>
        <w:rPr>
          <w:rFonts w:hint="eastAsia" w:cs="宋体" w:asciiTheme="majorEastAsia" w:hAnsiTheme="majorEastAsia" w:eastAsiaTheme="majorEastAsia"/>
          <w:color w:val="000000" w:themeColor="text1"/>
          <w:sz w:val="24"/>
          <w:szCs w:val="24"/>
          <w:highlight w:val="none"/>
          <w:u w:val="single"/>
          <w14:textFill>
            <w14:solidFill>
              <w14:schemeClr w14:val="tx1"/>
            </w14:solidFill>
          </w14:textFill>
        </w:rPr>
        <w:t>不接受</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联合体投标。</w:t>
      </w:r>
      <w:bookmarkStart w:id="11" w:name="_Toc35393622"/>
      <w:bookmarkStart w:id="12" w:name="_Toc28359003"/>
      <w:bookmarkStart w:id="13" w:name="_Toc35393791"/>
      <w:bookmarkStart w:id="14" w:name="_Toc28359080"/>
    </w:p>
    <w:p>
      <w:pPr>
        <w:spacing w:line="500" w:lineRule="exact"/>
        <w:ind w:firstLine="482" w:firstLineChars="200"/>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sz w:val="24"/>
          <w:szCs w:val="24"/>
          <w:highlight w:val="none"/>
          <w14:textFill>
            <w14:solidFill>
              <w14:schemeClr w14:val="tx1"/>
            </w14:solidFill>
          </w14:textFill>
        </w:rPr>
        <w:t>二、申请人的资格要求：</w:t>
      </w:r>
      <w:bookmarkEnd w:id="11"/>
      <w:bookmarkEnd w:id="12"/>
      <w:bookmarkEnd w:id="13"/>
      <w:bookmarkEnd w:id="14"/>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1.满足《中华人民共和国政府采购法》第二十二条规定，并提供下列材料；</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bookmarkStart w:id="15" w:name="_Toc28359081"/>
      <w:bookmarkStart w:id="16" w:name="_Toc28359004"/>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1.1具有独立承担民事责任的能力（提供法人或者其他组织的营业执照，提供复印件加盖公章）；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1.2法人代表授权书（原件）及法定代表人、授权代表身份证复印件（如果是法定代表人直接参与投标的可以不提供授权书）；</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1.3具有良好的商业信誉和健全的财务会计制度（提供2020年度经审计的财务报告，或投标截止时间前六个月内银行出具的资信证明，提供复印件加盖公章）；</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1.4具有履行合同所必需的设备和专业技术能力（投标人根据履行采购项目合同需要，提供履行合同所必需的设备和专业技术能力的证明材料或者加盖投标供应商公章的承诺函）；</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1.5有依法缴纳税收和社会保障资金的良好记录【提供参加本次政府采购活动前一年内至少一个月缴纳增值税，或营业税，或企业所得税的凭据；并提供缴纳社会保险的凭据（专用收据或社会保险缴纳清单）】；</w:t>
      </w:r>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1.6参加政府采购活动前三年内，在经营活动中没有重大违法记录（提供承诺书）。</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2.落实政府采购政策需满足的资格要求：无。</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3.本项目的特定资格要求：</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bookmarkStart w:id="17" w:name="_Toc35393623"/>
      <w:bookmarkStart w:id="18" w:name="_Toc35393792"/>
      <w:r>
        <w:rPr>
          <w:rFonts w:hint="eastAsia" w:cs="宋体" w:asciiTheme="majorEastAsia" w:hAnsiTheme="majorEastAsia" w:eastAsiaTheme="majorEastAsia"/>
          <w:color w:val="000000" w:themeColor="text1"/>
          <w:sz w:val="24"/>
          <w:szCs w:val="24"/>
          <w:highlight w:val="none"/>
          <w14:textFill>
            <w14:solidFill>
              <w14:schemeClr w14:val="tx1"/>
            </w14:solidFill>
          </w14:textFill>
        </w:rPr>
        <w:t>3.1 具有新闻出版行政主管部门颁发的出版资质；</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3.2未被“信用中国”网站（www.creditchina.gov.cn）列入失信被执行人、重大税收违法案件当事人名单、政府采购严重失信行为记录名单。</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3.3单位负责人为同一人或者存在直接控股、管理关系的不同供应商，不得参加同一合同项下的政府采购活动。</w:t>
      </w:r>
    </w:p>
    <w:p>
      <w:pPr>
        <w:spacing w:line="500" w:lineRule="exact"/>
        <w:ind w:firstLine="482" w:firstLineChars="200"/>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三、获取招标文件</w:t>
      </w:r>
      <w:bookmarkEnd w:id="15"/>
      <w:bookmarkEnd w:id="16"/>
      <w:bookmarkEnd w:id="17"/>
      <w:bookmarkEnd w:id="18"/>
    </w:p>
    <w:p>
      <w:pPr>
        <w:spacing w:line="500" w:lineRule="exact"/>
        <w:ind w:firstLine="540"/>
        <w:rPr>
          <w:rFonts w:ascii="宋体" w:hAnsi="宋体"/>
          <w:bCs/>
          <w:color w:val="000000" w:themeColor="text1"/>
          <w:sz w:val="24"/>
          <w:szCs w:val="24"/>
          <w:highlight w:val="none"/>
          <w14:textFill>
            <w14:solidFill>
              <w14:schemeClr w14:val="tx1"/>
            </w14:solidFill>
          </w14:textFill>
        </w:rPr>
      </w:pPr>
      <w:bookmarkStart w:id="19" w:name="_Toc28359005"/>
      <w:bookmarkStart w:id="20" w:name="_Toc28359082"/>
      <w:bookmarkStart w:id="21" w:name="_Toc35393793"/>
      <w:bookmarkStart w:id="22" w:name="_Toc35393624"/>
      <w:r>
        <w:rPr>
          <w:rFonts w:hint="eastAsia" w:ascii="宋体" w:hAnsi="宋体"/>
          <w:bCs/>
          <w:color w:val="000000" w:themeColor="text1"/>
          <w:sz w:val="24"/>
          <w:szCs w:val="24"/>
          <w:highlight w:val="none"/>
          <w14:textFill>
            <w14:solidFill>
              <w14:schemeClr w14:val="tx1"/>
            </w14:solidFill>
          </w14:textFill>
        </w:rPr>
        <w:t>时间：2021年10月25日至2021年10月29日，每天上午8:30至11:30，下午14:00至17:00。（北京时间，法定节假日除外）。</w:t>
      </w:r>
    </w:p>
    <w:p>
      <w:pPr>
        <w:spacing w:line="500" w:lineRule="exact"/>
        <w:ind w:firstLine="54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地点：盐城市青年中路14号（疫情防控期间，网上报名采用电子邮件方式发送招标文件）。</w:t>
      </w:r>
    </w:p>
    <w:p>
      <w:pPr>
        <w:spacing w:line="500" w:lineRule="exact"/>
        <w:ind w:firstLine="54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方式：网上获取，请发送《单位介绍信》或法人委托书、联系人身份证扫描件到指定邮箱进行投标报名（联系电话：15295318333   邮箱地址：15295318333@163.com）：注：报名邮件、附件资料请以“</w:t>
      </w:r>
      <w:r>
        <w:rPr>
          <w:rFonts w:hint="eastAsia" w:ascii="宋体" w:hAnsi="宋体"/>
          <w:b/>
          <w:bCs/>
          <w:color w:val="000000" w:themeColor="text1"/>
          <w:sz w:val="24"/>
          <w:szCs w:val="24"/>
          <w:highlight w:val="none"/>
          <w14:textFill>
            <w14:solidFill>
              <w14:schemeClr w14:val="tx1"/>
            </w14:solidFill>
          </w14:textFill>
        </w:rPr>
        <w:t>SY2021-078-FW-JC江苏医药职业学院2021-2024学年（三学年）新形态教材出版采购项目+单位名称+联系人+手机号码</w:t>
      </w:r>
      <w:r>
        <w:rPr>
          <w:rFonts w:hint="eastAsia" w:ascii="宋体" w:hAnsi="宋体"/>
          <w:bCs/>
          <w:color w:val="000000" w:themeColor="text1"/>
          <w:sz w:val="24"/>
          <w:szCs w:val="24"/>
          <w:highlight w:val="none"/>
          <w14:textFill>
            <w14:solidFill>
              <w14:schemeClr w14:val="tx1"/>
            </w14:solidFill>
          </w14:textFill>
        </w:rPr>
        <w:t>”命名，报名成功的投标单位在报名相关资料费交纳后将会收到本项目的电子版招标文件。</w:t>
      </w:r>
    </w:p>
    <w:p>
      <w:pPr>
        <w:spacing w:line="500" w:lineRule="exact"/>
        <w:ind w:firstLine="54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售价：报名相关资料费人民币400元。</w:t>
      </w:r>
    </w:p>
    <w:p>
      <w:pPr>
        <w:spacing w:line="500" w:lineRule="exact"/>
        <w:ind w:firstLine="54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四、提交投标文件</w:t>
      </w:r>
      <w:bookmarkEnd w:id="19"/>
      <w:bookmarkEnd w:id="20"/>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截止时间、开标时间和地</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点</w:t>
      </w:r>
      <w:bookmarkEnd w:id="21"/>
      <w:bookmarkEnd w:id="22"/>
    </w:p>
    <w:p>
      <w:pPr>
        <w:spacing w:line="500" w:lineRule="exact"/>
        <w:ind w:firstLine="480" w:firstLineChars="200"/>
        <w:rPr>
          <w:rFonts w:cs="宋体" w:asciiTheme="majorEastAsia" w:hAnsiTheme="majorEastAsia" w:eastAsiaTheme="majorEastAsia"/>
          <w:bCs/>
          <w:color w:val="000000" w:themeColor="text1"/>
          <w:sz w:val="24"/>
          <w:szCs w:val="24"/>
          <w:highlight w:val="none"/>
          <w:u w:val="singl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u w:val="single"/>
          <w14:textFill>
            <w14:solidFill>
              <w14:schemeClr w14:val="tx1"/>
            </w14:solidFill>
          </w14:textFill>
        </w:rPr>
        <w:t>2021</w:t>
      </w:r>
      <w:r>
        <w:rPr>
          <w:rFonts w:hint="eastAsia" w:cs="宋体" w:asciiTheme="majorEastAsia" w:hAnsiTheme="majorEastAsia" w:eastAsiaTheme="majorEastAsia"/>
          <w:bCs/>
          <w:color w:val="000000" w:themeColor="text1"/>
          <w:sz w:val="24"/>
          <w:szCs w:val="24"/>
          <w:highlight w:val="none"/>
          <w:u w:val="single"/>
          <w14:textFill>
            <w14:solidFill>
              <w14:schemeClr w14:val="tx1"/>
            </w14:solidFill>
          </w14:textFill>
        </w:rPr>
        <w:t>年11月4日15点00分</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（北京时间）</w:t>
      </w:r>
    </w:p>
    <w:p>
      <w:pPr>
        <w:spacing w:line="50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地点：</w:t>
      </w:r>
      <w:bookmarkStart w:id="23" w:name="_Toc28359007"/>
      <w:bookmarkStart w:id="24" w:name="_Toc35393794"/>
      <w:bookmarkStart w:id="25" w:name="_Toc28359084"/>
      <w:bookmarkStart w:id="26" w:name="_Toc35393625"/>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江苏医药职业学院（盐城市解放南路</w:t>
      </w:r>
      <w:r>
        <w:rPr>
          <w:rFonts w:cs="宋体" w:asciiTheme="majorEastAsia" w:hAnsiTheme="majorEastAsia" w:eastAsiaTheme="majorEastAsia"/>
          <w:bCs/>
          <w:color w:val="000000" w:themeColor="text1"/>
          <w:sz w:val="24"/>
          <w:szCs w:val="24"/>
          <w:highlight w:val="none"/>
          <w14:textFill>
            <w14:solidFill>
              <w14:schemeClr w14:val="tx1"/>
            </w14:solidFill>
          </w14:textFill>
        </w:rPr>
        <w:t>283</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号）行政楼</w:t>
      </w:r>
      <w:r>
        <w:rPr>
          <w:rFonts w:cs="宋体" w:asciiTheme="majorEastAsia" w:hAnsiTheme="majorEastAsia" w:eastAsiaTheme="majorEastAsia"/>
          <w:bCs/>
          <w:color w:val="000000" w:themeColor="text1"/>
          <w:sz w:val="24"/>
          <w:szCs w:val="24"/>
          <w:highlight w:val="none"/>
          <w14:textFill>
            <w14:solidFill>
              <w14:schemeClr w14:val="tx1"/>
            </w14:solidFill>
          </w14:textFill>
        </w:rPr>
        <w:t>二楼圆厅</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w:t>
      </w:r>
    </w:p>
    <w:p>
      <w:pPr>
        <w:spacing w:line="500" w:lineRule="exact"/>
        <w:ind w:firstLine="482"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五、公告期限</w:t>
      </w:r>
      <w:bookmarkEnd w:id="23"/>
      <w:bookmarkEnd w:id="24"/>
      <w:bookmarkEnd w:id="25"/>
      <w:bookmarkEnd w:id="26"/>
    </w:p>
    <w:p>
      <w:pPr>
        <w:tabs>
          <w:tab w:val="left" w:pos="6210"/>
        </w:tabs>
        <w:spacing w:line="500" w:lineRule="exact"/>
        <w:ind w:firstLine="480" w:firstLineChars="200"/>
        <w:rPr>
          <w:rFonts w:cs="宋体" w:asciiTheme="majorEastAsia" w:hAnsiTheme="majorEastAsia" w:eastAsiaTheme="majorEastAsia"/>
          <w:color w:val="000000" w:themeColor="text1"/>
          <w:kern w:val="0"/>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14:textFill>
            <w14:solidFill>
              <w14:schemeClr w14:val="tx1"/>
            </w14:solidFill>
          </w14:textFill>
        </w:rPr>
        <w:t>自本公告发布之日起5个工作日。</w:t>
      </w:r>
      <w:bookmarkStart w:id="27" w:name="_Toc35393626"/>
      <w:bookmarkStart w:id="28" w:name="_Toc35393795"/>
      <w:r>
        <w:rPr>
          <w:rFonts w:cs="宋体" w:asciiTheme="majorEastAsia" w:hAnsiTheme="majorEastAsia" w:eastAsiaTheme="majorEastAsia"/>
          <w:color w:val="000000" w:themeColor="text1"/>
          <w:kern w:val="0"/>
          <w:sz w:val="24"/>
          <w:szCs w:val="24"/>
          <w:highlight w:val="none"/>
          <w14:textFill>
            <w14:solidFill>
              <w14:schemeClr w14:val="tx1"/>
            </w14:solidFill>
          </w14:textFill>
        </w:rPr>
        <w:tab/>
      </w:r>
    </w:p>
    <w:p>
      <w:pPr>
        <w:numPr>
          <w:ilvl w:val="0"/>
          <w:numId w:val="1"/>
        </w:numPr>
        <w:spacing w:line="500" w:lineRule="exact"/>
        <w:ind w:firstLine="482" w:firstLineChars="200"/>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其他补充事宜</w:t>
      </w:r>
      <w:bookmarkEnd w:id="27"/>
      <w:bookmarkEnd w:id="28"/>
    </w:p>
    <w:p>
      <w:pPr>
        <w:spacing w:line="500" w:lineRule="exact"/>
        <w:ind w:firstLine="480" w:firstLineChars="200"/>
        <w:rPr>
          <w:rFonts w:cs="宋体" w:asciiTheme="majorEastAsia" w:hAnsiTheme="majorEastAsia" w:eastAsiaTheme="majorEastAsia"/>
          <w:bCs/>
          <w:color w:val="000000" w:themeColor="text1"/>
          <w:sz w:val="24"/>
          <w:szCs w:val="24"/>
          <w:highlight w:val="none"/>
          <w14:textFill>
            <w14:solidFill>
              <w14:schemeClr w14:val="tx1"/>
            </w14:solidFill>
          </w14:textFill>
        </w:rPr>
      </w:pPr>
      <w:bookmarkStart w:id="29" w:name="_Toc28359085"/>
      <w:bookmarkStart w:id="30" w:name="_Toc28359008"/>
      <w:bookmarkStart w:id="31" w:name="_Toc35393796"/>
      <w:bookmarkStart w:id="32" w:name="_Toc35393627"/>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1.投标文件要求提供正本</w:t>
      </w:r>
      <w:r>
        <w:rPr>
          <w:rFonts w:cs="宋体" w:asciiTheme="majorEastAsia" w:hAnsiTheme="majorEastAsia" w:eastAsiaTheme="majorEastAsia"/>
          <w:bCs/>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份，副本4份。</w:t>
      </w:r>
    </w:p>
    <w:p>
      <w:pPr>
        <w:spacing w:line="500" w:lineRule="exact"/>
        <w:ind w:firstLine="420" w:firstLineChars="175"/>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2.疫情防控期间投标人注意事项</w:t>
      </w:r>
    </w:p>
    <w:p>
      <w:pPr>
        <w:spacing w:line="500" w:lineRule="exact"/>
        <w:ind w:firstLine="420" w:firstLineChars="175"/>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2.1本项目处于疫情防控期间，因需登记相关信息，耽误时间可能较长，投标人可提前半小时，从位于盐城市解放南路283号江苏医药职业学院南门进入，进门前请投标人配戴口罩，通过手机出示“苏康码”、“通信大数据行程卡”，接受体温检测。如遇阻，请联系：刘老师，联系电话：0515-88550311。</w:t>
      </w:r>
    </w:p>
    <w:p>
      <w:pPr>
        <w:spacing w:line="500" w:lineRule="exact"/>
        <w:ind w:firstLine="420" w:firstLineChars="175"/>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2.2各投标人请慎重选择出席开标会议人员，如因显示其他颜色导致无法进入学校，责任自负。</w:t>
      </w:r>
    </w:p>
    <w:p>
      <w:pPr>
        <w:spacing w:line="500" w:lineRule="exact"/>
        <w:ind w:firstLine="420" w:firstLineChars="175"/>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2.3投标人进入开标场所后应在指定地点参与投标活动，不到非相关场所活动；投标工作结束后应立即离开现场，不得逗留。</w:t>
      </w:r>
    </w:p>
    <w:p>
      <w:pPr>
        <w:numPr>
          <w:ilvl w:val="0"/>
          <w:numId w:val="1"/>
        </w:numPr>
        <w:spacing w:line="500" w:lineRule="exact"/>
        <w:ind w:firstLine="482" w:firstLineChars="200"/>
        <w:rPr>
          <w:rFonts w:cs="宋体"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bCs/>
          <w:color w:val="000000" w:themeColor="text1"/>
          <w:sz w:val="24"/>
          <w:szCs w:val="24"/>
          <w:highlight w:val="none"/>
          <w14:textFill>
            <w14:solidFill>
              <w14:schemeClr w14:val="tx1"/>
            </w14:solidFill>
          </w14:textFill>
        </w:rPr>
        <w:t>对本次招标提出询问，请按以下方式联系。</w:t>
      </w:r>
      <w:bookmarkEnd w:id="29"/>
      <w:bookmarkEnd w:id="30"/>
      <w:bookmarkEnd w:id="31"/>
      <w:bookmarkEnd w:id="32"/>
      <w:bookmarkStart w:id="33" w:name="_Toc35393806"/>
      <w:bookmarkStart w:id="34" w:name="_Toc35393637"/>
      <w:bookmarkStart w:id="35" w:name="_Toc28359019"/>
      <w:bookmarkStart w:id="36" w:name="_Toc28359096"/>
    </w:p>
    <w:p>
      <w:pPr>
        <w:spacing w:line="500" w:lineRule="exact"/>
        <w:ind w:left="1080" w:leftChars="371" w:hanging="301" w:hangingChars="125"/>
        <w:jc w:val="left"/>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sz w:val="24"/>
          <w:szCs w:val="24"/>
          <w:highlight w:val="none"/>
          <w14:textFill>
            <w14:solidFill>
              <w14:schemeClr w14:val="tx1"/>
            </w14:solidFill>
          </w14:textFill>
        </w:rPr>
        <w:t>1.采购人信息</w:t>
      </w:r>
      <w:bookmarkEnd w:id="33"/>
      <w:bookmarkEnd w:id="34"/>
      <w:bookmarkEnd w:id="35"/>
      <w:bookmarkEnd w:id="36"/>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名    称：江苏医药职业学院</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地    址：盐城市解放南路</w:t>
      </w:r>
      <w:r>
        <w:rPr>
          <w:rFonts w:cs="宋体" w:asciiTheme="majorEastAsia" w:hAnsiTheme="majorEastAsia" w:eastAsiaTheme="majorEastAsia"/>
          <w:bCs/>
          <w:color w:val="000000" w:themeColor="text1"/>
          <w:sz w:val="24"/>
          <w:szCs w:val="24"/>
          <w:highlight w:val="none"/>
          <w14:textFill>
            <w14:solidFill>
              <w14:schemeClr w14:val="tx1"/>
            </w14:solidFill>
          </w14:textFill>
        </w:rPr>
        <w:t>283</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号</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 xml:space="preserve">联 系 人：刘老师      </w:t>
      </w:r>
    </w:p>
    <w:p>
      <w:pPr>
        <w:spacing w:line="500" w:lineRule="exact"/>
        <w:ind w:left="1079" w:leftChars="371" w:hanging="300" w:hangingChars="125"/>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联系电话：</w:t>
      </w:r>
      <w:bookmarkStart w:id="37" w:name="_Toc35393638"/>
      <w:bookmarkStart w:id="38" w:name="_Toc35393807"/>
      <w:bookmarkStart w:id="39" w:name="_Toc28359020"/>
      <w:bookmarkStart w:id="40" w:name="_Toc28359097"/>
      <w:r>
        <w:rPr>
          <w:rFonts w:cs="宋体" w:asciiTheme="majorEastAsia" w:hAnsiTheme="majorEastAsia" w:eastAsiaTheme="majorEastAsia"/>
          <w:bCs/>
          <w:color w:val="000000" w:themeColor="text1"/>
          <w:sz w:val="24"/>
          <w:szCs w:val="24"/>
          <w:highlight w:val="none"/>
          <w14:textFill>
            <w14:solidFill>
              <w14:schemeClr w14:val="tx1"/>
            </w14:solidFill>
          </w14:textFill>
        </w:rPr>
        <w:t>0515-88550311</w:t>
      </w:r>
    </w:p>
    <w:p>
      <w:pPr>
        <w:spacing w:line="500" w:lineRule="exact"/>
        <w:ind w:left="1080" w:leftChars="371" w:hanging="301" w:hangingChars="125"/>
        <w:jc w:val="left"/>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sz w:val="24"/>
          <w:szCs w:val="24"/>
          <w:highlight w:val="none"/>
          <w14:textFill>
            <w14:solidFill>
              <w14:schemeClr w14:val="tx1"/>
            </w14:solidFill>
          </w14:textFill>
        </w:rPr>
        <w:t>2.采购代理机构信息</w:t>
      </w:r>
      <w:bookmarkEnd w:id="37"/>
      <w:bookmarkEnd w:id="38"/>
      <w:bookmarkEnd w:id="39"/>
      <w:bookmarkEnd w:id="40"/>
    </w:p>
    <w:p>
      <w:pPr>
        <w:spacing w:line="500" w:lineRule="exact"/>
        <w:ind w:firstLine="720" w:firstLineChars="3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名    称：盐城市天平建设监理有限公司</w:t>
      </w:r>
    </w:p>
    <w:p>
      <w:pPr>
        <w:spacing w:line="500" w:lineRule="exact"/>
        <w:ind w:firstLine="720" w:firstLineChars="300"/>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地　　址：盐城市青年中路14号</w:t>
      </w:r>
    </w:p>
    <w:p>
      <w:pPr>
        <w:spacing w:line="500" w:lineRule="exact"/>
        <w:ind w:firstLine="720" w:firstLineChars="300"/>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bookmarkStart w:id="41" w:name="_Toc35393808"/>
      <w:bookmarkStart w:id="42" w:name="_Toc28359021"/>
      <w:bookmarkStart w:id="43" w:name="_Toc28359098"/>
      <w:bookmarkStart w:id="44" w:name="_Toc35393639"/>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 xml:space="preserve">联 系 人：周雷明             </w:t>
      </w:r>
    </w:p>
    <w:p>
      <w:pPr>
        <w:spacing w:line="500" w:lineRule="exact"/>
        <w:ind w:left="1079" w:leftChars="338" w:hanging="369" w:hangingChars="154"/>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联系电话：0515-87064065</w:t>
      </w:r>
    </w:p>
    <w:p>
      <w:pPr>
        <w:spacing w:line="500" w:lineRule="exact"/>
        <w:ind w:left="1079" w:leftChars="338" w:hanging="369" w:hangingChars="153"/>
        <w:jc w:val="left"/>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sz w:val="24"/>
          <w:szCs w:val="24"/>
          <w:highlight w:val="none"/>
          <w14:textFill>
            <w14:solidFill>
              <w14:schemeClr w14:val="tx1"/>
            </w14:solidFill>
          </w14:textFill>
        </w:rPr>
        <w:t>3.项目联系人</w:t>
      </w:r>
    </w:p>
    <w:bookmarkEnd w:id="41"/>
    <w:bookmarkEnd w:id="42"/>
    <w:bookmarkEnd w:id="43"/>
    <w:bookmarkEnd w:id="44"/>
    <w:p>
      <w:pPr>
        <w:spacing w:line="500" w:lineRule="exact"/>
        <w:ind w:firstLine="720" w:firstLineChars="300"/>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bookmarkStart w:id="45" w:name="_Toc120614211"/>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联系人：李老师</w:t>
      </w:r>
    </w:p>
    <w:p>
      <w:pPr>
        <w:spacing w:line="500" w:lineRule="exact"/>
        <w:ind w:firstLine="720" w:firstLineChars="300"/>
        <w:jc w:val="left"/>
        <w:rPr>
          <w:rFonts w:cs="宋体" w:asciiTheme="majorEastAsia" w:hAnsiTheme="majorEastAsia" w:eastAsiaTheme="majorEastAsia"/>
          <w:bCs/>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联系电话：</w:t>
      </w:r>
      <w:r>
        <w:rPr>
          <w:rFonts w:cs="宋体" w:asciiTheme="majorEastAsia" w:hAnsiTheme="majorEastAsia" w:eastAsiaTheme="majorEastAsia"/>
          <w:bCs/>
          <w:color w:val="000000" w:themeColor="text1"/>
          <w:sz w:val="24"/>
          <w:szCs w:val="24"/>
          <w:highlight w:val="none"/>
          <w14:textFill>
            <w14:solidFill>
              <w14:schemeClr w14:val="tx1"/>
            </w14:solidFill>
          </w14:textFill>
        </w:rPr>
        <w:t xml:space="preserve">15950296313 </w:t>
      </w:r>
      <w:r>
        <w:rPr>
          <w:rFonts w:hint="eastAsia" w:cs="宋体" w:asciiTheme="majorEastAsia" w:hAnsiTheme="majorEastAsia" w:eastAsiaTheme="majorEastAsia"/>
          <w:bCs/>
          <w:color w:val="000000" w:themeColor="text1"/>
          <w:sz w:val="24"/>
          <w:szCs w:val="24"/>
          <w:highlight w:val="none"/>
          <w14:textFill>
            <w14:solidFill>
              <w14:schemeClr w14:val="tx1"/>
            </w14:solidFill>
          </w14:textFill>
        </w:rPr>
        <w:t xml:space="preserve">  </w:t>
      </w:r>
    </w:p>
    <w:p>
      <w:pPr>
        <w:spacing w:line="500" w:lineRule="exact"/>
        <w:ind w:firstLine="708" w:firstLineChars="294"/>
        <w:jc w:val="left"/>
        <w:rPr>
          <w:rFonts w:ascii="宋体" w:hAnsi="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14:textFill>
            <w14:solidFill>
              <w14:schemeClr w14:val="tx1"/>
            </w14:solidFill>
          </w14:textFill>
        </w:rPr>
        <w:t>4.提醒</w:t>
      </w:r>
    </w:p>
    <w:p>
      <w:pPr>
        <w:widowControl/>
        <w:spacing w:line="500" w:lineRule="exact"/>
        <w:ind w:firstLine="720" w:firstLineChars="300"/>
        <w:jc w:val="left"/>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对项目需求部分的询问、质疑请向项目联系人提出，由项目联系人负责答复；对项目招标文件其它部分的询问、质疑向采购人提出。</w:t>
      </w:r>
    </w:p>
    <w:p>
      <w:pPr>
        <w:pStyle w:val="2"/>
        <w:rPr>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bookmarkEnd w:id="1"/>
      <w:bookmarkEnd w:id="2"/>
      <w:bookmarkEnd w:id="3"/>
      <w:bookmarkEnd w:id="4"/>
      <w:bookmarkEnd w:id="5"/>
      <w:bookmarkEnd w:id="45"/>
      <w:bookmarkStart w:id="46" w:name="_Toc513029242"/>
      <w:bookmarkStart w:id="47" w:name="_Toc120614221"/>
      <w:bookmarkStart w:id="48" w:name="_Toc479757207"/>
      <w:bookmarkStart w:id="49" w:name="_Toc16938558"/>
      <w:bookmarkStart w:id="50" w:name="_Toc20823314"/>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 xml:space="preserve">第二章  </w:t>
      </w:r>
      <w:bookmarkStart w:id="51" w:name="_Toc20823274"/>
      <w:bookmarkStart w:id="52" w:name="_Toc16938518"/>
      <w:bookmarkStart w:id="53" w:name="_Toc513029202"/>
      <w:bookmarkStart w:id="54" w:name="_Toc120614213"/>
      <w:r>
        <w:rPr>
          <w:rFonts w:hint="eastAsia" w:asciiTheme="majorEastAsia" w:hAnsiTheme="majorEastAsia" w:eastAsiaTheme="majorEastAsia"/>
          <w:b/>
          <w:color w:val="000000" w:themeColor="text1"/>
          <w:sz w:val="44"/>
          <w:szCs w:val="44"/>
          <w:highlight w:val="none"/>
          <w14:textFill>
            <w14:solidFill>
              <w14:schemeClr w14:val="tx1"/>
            </w14:solidFill>
          </w14:textFill>
        </w:rPr>
        <w:t>磋商须知</w:t>
      </w:r>
      <w:bookmarkEnd w:id="51"/>
      <w:bookmarkEnd w:id="52"/>
      <w:bookmarkEnd w:id="53"/>
      <w:bookmarkEnd w:id="54"/>
    </w:p>
    <w:p>
      <w:pPr>
        <w:pStyle w:val="24"/>
        <w:spacing w:line="360" w:lineRule="auto"/>
        <w:jc w:val="center"/>
        <w:rPr>
          <w:rFonts w:asciiTheme="majorEastAsia" w:hAnsiTheme="majorEastAsia" w:eastAsiaTheme="majorEastAsia"/>
          <w:b/>
          <w:color w:val="000000" w:themeColor="text1"/>
          <w:sz w:val="28"/>
          <w:szCs w:val="28"/>
          <w:highlight w:val="none"/>
          <w14:textFill>
            <w14:solidFill>
              <w14:schemeClr w14:val="tx1"/>
            </w14:solidFill>
          </w14:textFill>
        </w:rPr>
      </w:pPr>
    </w:p>
    <w:p>
      <w:pPr>
        <w:pStyle w:val="24"/>
        <w:spacing w:line="360" w:lineRule="auto"/>
        <w:jc w:val="center"/>
        <w:rPr>
          <w:rFonts w:asciiTheme="majorEastAsia" w:hAnsiTheme="majorEastAsia" w:eastAsiaTheme="majorEastAsia"/>
          <w:b/>
          <w:color w:val="000000" w:themeColor="text1"/>
          <w:sz w:val="28"/>
          <w:szCs w:val="28"/>
          <w:highlight w:val="none"/>
          <w14:textFill>
            <w14:solidFill>
              <w14:schemeClr w14:val="tx1"/>
            </w14:solidFill>
          </w14:textFill>
        </w:rPr>
      </w:pPr>
      <w:r>
        <w:rPr>
          <w:rFonts w:hint="eastAsia" w:asciiTheme="majorEastAsia" w:hAnsiTheme="majorEastAsia" w:eastAsiaTheme="majorEastAsia"/>
          <w:b/>
          <w:color w:val="000000" w:themeColor="text1"/>
          <w:sz w:val="28"/>
          <w:szCs w:val="28"/>
          <w:highlight w:val="none"/>
          <w14:textFill>
            <w14:solidFill>
              <w14:schemeClr w14:val="tx1"/>
            </w14:solidFill>
          </w14:textFill>
        </w:rPr>
        <w:t>磋商须知前附表</w:t>
      </w:r>
    </w:p>
    <w:tbl>
      <w:tblPr>
        <w:tblStyle w:val="46"/>
        <w:tblW w:w="96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828" w:type="dxa"/>
            <w:vAlign w:val="center"/>
          </w:tcPr>
          <w:p>
            <w:pPr>
              <w:pStyle w:val="24"/>
              <w:spacing w:line="360" w:lineRule="auto"/>
              <w:jc w:val="center"/>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项号</w:t>
            </w:r>
          </w:p>
        </w:tc>
        <w:tc>
          <w:tcPr>
            <w:tcW w:w="8778" w:type="dxa"/>
            <w:vAlign w:val="center"/>
          </w:tcPr>
          <w:p>
            <w:pPr>
              <w:pStyle w:val="24"/>
              <w:spacing w:line="360" w:lineRule="auto"/>
              <w:jc w:val="center"/>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内  容  规  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w:t>
            </w:r>
          </w:p>
        </w:tc>
        <w:tc>
          <w:tcPr>
            <w:tcW w:w="8778" w:type="dxa"/>
            <w:vAlign w:val="center"/>
          </w:tcPr>
          <w:p>
            <w:pPr>
              <w:pStyle w:val="24"/>
              <w:spacing w:line="440" w:lineRule="exact"/>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招标文件编号：</w:t>
            </w:r>
            <w:r>
              <w:rPr>
                <w:rFonts w:hint="eastAsia" w:asciiTheme="majorEastAsia" w:hAnsiTheme="majorEastAsia" w:eastAsiaTheme="majorEastAsia"/>
                <w:bCs/>
                <w:color w:val="000000" w:themeColor="text1"/>
                <w:sz w:val="24"/>
                <w:szCs w:val="24"/>
                <w:highlight w:val="none"/>
                <w14:textFill>
                  <w14:solidFill>
                    <w14:schemeClr w14:val="tx1"/>
                  </w14:solidFill>
                </w14:textFill>
              </w:rPr>
              <w:t>SY2021-078-FW-JC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75"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2</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项目名称：江苏医药职业学院2021-2024学年（三学年）新形态教材出版采购项目（二次）</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项目地点：江苏医药职业学院内</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项目预算：每年约40万人民币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投标有效期：30天（日历天）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4</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投标保证金：</w:t>
            </w:r>
            <w:r>
              <w:rPr>
                <w:rFonts w:hint="eastAsia" w:asciiTheme="majorEastAsia" w:hAnsiTheme="majorEastAsia" w:eastAsiaTheme="majorEastAsia"/>
                <w:bCs/>
                <w:color w:val="000000" w:themeColor="text1"/>
                <w:sz w:val="24"/>
                <w:szCs w:val="24"/>
                <w:highlight w:val="none"/>
                <w14:textFill>
                  <w14:solidFill>
                    <w14:schemeClr w14:val="tx1"/>
                  </w14:solidFill>
                </w14:textFill>
              </w:rPr>
              <w:t>根据江苏省财政厅有关规定，本项目不收取投标保证金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5</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发布招标文件时间：2021年10月24日</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发布网站：江苏医药职业学院网</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招标相关文件资料费400元，未中标者不退。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6</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投标文件一式五份，正本一份，副本四份。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7</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投标时间：2021年11月4日14:00-15:00时</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地点：江苏医药职业学院（盐城市解放南路283号）行政楼二楼圆厅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7"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8</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开标时间：2021年11月4日15:00时</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地点：江苏医药职业学院（盐城市解放南路283号）行政楼二楼圆厅</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评标结果公告期限为1个工作日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828" w:type="dxa"/>
            <w:vAlign w:val="center"/>
          </w:tcPr>
          <w:p>
            <w:pPr>
              <w:pStyle w:val="24"/>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9</w:t>
            </w:r>
          </w:p>
        </w:tc>
        <w:tc>
          <w:tcPr>
            <w:tcW w:w="8778" w:type="dxa"/>
            <w:vAlign w:val="center"/>
          </w:tcPr>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招标人：江苏医药职业学院          地址：盐城市解放南路283号</w:t>
            </w:r>
          </w:p>
          <w:p>
            <w:pPr>
              <w:pStyle w:val="24"/>
              <w:spacing w:line="440" w:lineRule="exac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邮编：224005  联系人：刘老师      电话：0515-88550311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828" w:type="dxa"/>
            <w:vAlign w:val="center"/>
          </w:tcPr>
          <w:p>
            <w:pPr>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10</w:t>
            </w:r>
          </w:p>
        </w:tc>
        <w:tc>
          <w:tcPr>
            <w:tcW w:w="8778" w:type="dxa"/>
            <w:vAlign w:val="center"/>
          </w:tcPr>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技术标书由投标人按招标项目需求自行提供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828" w:type="dxa"/>
            <w:vAlign w:val="center"/>
          </w:tcPr>
          <w:p>
            <w:pPr>
              <w:spacing w:line="52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11</w:t>
            </w:r>
          </w:p>
        </w:tc>
        <w:tc>
          <w:tcPr>
            <w:tcW w:w="8778" w:type="dxa"/>
            <w:vAlign w:val="center"/>
          </w:tcPr>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合同签字地点：江苏医药职业学院</w:t>
            </w:r>
          </w:p>
        </w:tc>
      </w:tr>
    </w:tbl>
    <w:p>
      <w:pPr>
        <w:pStyle w:val="24"/>
        <w:rPr>
          <w:rFonts w:asciiTheme="majorEastAsia" w:hAnsiTheme="majorEastAsia" w:eastAsiaTheme="majorEastAsia"/>
          <w:color w:val="000000" w:themeColor="text1"/>
          <w:highlight w:val="none"/>
          <w14:textFill>
            <w14:solidFill>
              <w14:schemeClr w14:val="tx1"/>
            </w14:solidFill>
          </w14:textFill>
        </w:rPr>
      </w:pPr>
      <w:bookmarkStart w:id="55" w:name="_Toc16938519"/>
      <w:bookmarkStart w:id="56" w:name="_Toc20823275"/>
      <w:bookmarkStart w:id="57" w:name="_Toc120614214"/>
      <w:bookmarkStart w:id="58" w:name="_Toc513029203"/>
    </w:p>
    <w:bookmarkEnd w:id="55"/>
    <w:bookmarkEnd w:id="56"/>
    <w:bookmarkEnd w:id="57"/>
    <w:bookmarkEnd w:id="58"/>
    <w:p>
      <w:pPr>
        <w:spacing w:after="145" w:afterLines="50" w:line="500" w:lineRule="exact"/>
        <w:jc w:val="center"/>
        <w:rPr>
          <w:rFonts w:ascii="宋体" w:hAnsi="宋体"/>
          <w:bCs/>
          <w:color w:val="000000" w:themeColor="text1"/>
          <w:sz w:val="28"/>
          <w:szCs w:val="24"/>
          <w:highlight w:val="none"/>
          <w14:textFill>
            <w14:solidFill>
              <w14:schemeClr w14:val="tx1"/>
            </w14:solidFill>
          </w14:textFill>
        </w:rPr>
      </w:pPr>
    </w:p>
    <w:p>
      <w:pPr>
        <w:spacing w:after="145" w:afterLines="50" w:line="500" w:lineRule="exact"/>
        <w:jc w:val="center"/>
        <w:rPr>
          <w:rFonts w:ascii="宋体" w:hAnsi="宋体"/>
          <w:bCs/>
          <w:color w:val="000000" w:themeColor="text1"/>
          <w:sz w:val="28"/>
          <w:szCs w:val="24"/>
          <w:highlight w:val="none"/>
          <w14:textFill>
            <w14:solidFill>
              <w14:schemeClr w14:val="tx1"/>
            </w14:solidFill>
          </w14:textFill>
        </w:rPr>
      </w:pPr>
    </w:p>
    <w:p>
      <w:pPr>
        <w:spacing w:after="145" w:afterLines="50" w:line="500" w:lineRule="exact"/>
        <w:jc w:val="center"/>
        <w:rPr>
          <w:rFonts w:ascii="宋体" w:hAnsi="宋体"/>
          <w:bCs/>
          <w:color w:val="000000" w:themeColor="text1"/>
          <w:sz w:val="28"/>
          <w:szCs w:val="24"/>
          <w:highlight w:val="none"/>
          <w14:textFill>
            <w14:solidFill>
              <w14:schemeClr w14:val="tx1"/>
            </w14:solidFill>
          </w14:textFill>
        </w:rPr>
      </w:pPr>
      <w:r>
        <w:rPr>
          <w:rFonts w:ascii="宋体" w:hAnsi="宋体"/>
          <w:bCs/>
          <w:color w:val="000000" w:themeColor="text1"/>
          <w:sz w:val="28"/>
          <w:szCs w:val="24"/>
          <w:highlight w:val="none"/>
          <w14:textFill>
            <w14:solidFill>
              <w14:schemeClr w14:val="tx1"/>
            </w14:solidFill>
          </w14:textFill>
        </w:rPr>
        <w:t>（参加竞争性磋商的供应商以下简称“磋商供应商”）</w:t>
      </w:r>
    </w:p>
    <w:p>
      <w:pPr>
        <w:tabs>
          <w:tab w:val="left" w:pos="900"/>
        </w:tabs>
        <w:spacing w:after="145" w:afterLines="50" w:line="480" w:lineRule="exact"/>
        <w:ind w:firstLine="354" w:firstLineChars="147"/>
        <w:rPr>
          <w:rFonts w:ascii="宋体" w:hAnsi="宋体"/>
          <w:color w:val="000000" w:themeColor="text1"/>
          <w:sz w:val="24"/>
          <w:szCs w:val="24"/>
          <w:highlight w:val="non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一、总则</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1、适用范围</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 本竞争性磋商文件（以下简称磋商文件）仅适用此项目。</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 本项目按照项目</w:t>
      </w:r>
      <w:r>
        <w:rPr>
          <w:rFonts w:hint="eastAsia" w:ascii="宋体" w:hAnsi="宋体"/>
          <w:color w:val="000000" w:themeColor="text1"/>
          <w:sz w:val="24"/>
          <w:szCs w:val="24"/>
          <w:highlight w:val="none"/>
          <w14:textFill>
            <w14:solidFill>
              <w14:schemeClr w14:val="tx1"/>
            </w14:solidFill>
          </w14:textFill>
        </w:rPr>
        <w:t>如</w:t>
      </w:r>
      <w:r>
        <w:rPr>
          <w:rFonts w:ascii="宋体" w:hAnsi="宋体"/>
          <w:color w:val="000000" w:themeColor="text1"/>
          <w:sz w:val="24"/>
          <w:szCs w:val="24"/>
          <w:highlight w:val="none"/>
          <w14:textFill>
            <w14:solidFill>
              <w14:schemeClr w14:val="tx1"/>
            </w14:solidFill>
          </w14:textFill>
        </w:rPr>
        <w:t>分包，分别确定各分包成交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2、项目采购方式</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本次采购采取竞争性磋商的方式。</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3、合格的磋商供应商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3.1满足本磋商文件“竞争性磋商采购公告”中合格磋商供应商资格要求的规定。</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3.2 满足本磋商文件实质性要求和条件的规定。</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4、参加磋商费用</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4.1参加磋商供应商应自行承担所有与参加磋商有关的费用。不论最终的成交结果如何，</w:t>
      </w:r>
      <w:r>
        <w:rPr>
          <w:rFonts w:hint="eastAsia" w:ascii="宋体" w:hAnsi="宋体"/>
          <w:color w:val="000000" w:themeColor="text1"/>
          <w:sz w:val="24"/>
          <w:szCs w:val="24"/>
          <w:highlight w:val="none"/>
          <w14:textFill>
            <w14:solidFill>
              <w14:schemeClr w14:val="tx1"/>
            </w14:solidFill>
          </w14:textFill>
        </w:rPr>
        <w:t>盐城市天平建设监理有限公司</w:t>
      </w:r>
      <w:r>
        <w:rPr>
          <w:rFonts w:ascii="宋体" w:hAnsi="宋体"/>
          <w:color w:val="000000" w:themeColor="text1"/>
          <w:sz w:val="24"/>
          <w:szCs w:val="24"/>
          <w:highlight w:val="none"/>
          <w14:textFill>
            <w14:solidFill>
              <w14:schemeClr w14:val="tx1"/>
            </w14:solidFill>
          </w14:textFill>
        </w:rPr>
        <w:t>（以下简称：</w:t>
      </w:r>
      <w:r>
        <w:rPr>
          <w:rFonts w:hint="eastAsia" w:ascii="宋体" w:hAnsi="宋体"/>
          <w:color w:val="000000" w:themeColor="text1"/>
          <w:sz w:val="24"/>
          <w:szCs w:val="24"/>
          <w:highlight w:val="none"/>
          <w14:textFill>
            <w14:solidFill>
              <w14:schemeClr w14:val="tx1"/>
            </w14:solidFill>
          </w14:textFill>
        </w:rPr>
        <w:t>采购代理机构</w:t>
      </w:r>
      <w:r>
        <w:rPr>
          <w:rFonts w:ascii="宋体" w:hAnsi="宋体"/>
          <w:color w:val="000000" w:themeColor="text1"/>
          <w:sz w:val="24"/>
          <w:szCs w:val="24"/>
          <w:highlight w:val="none"/>
          <w14:textFill>
            <w14:solidFill>
              <w14:schemeClr w14:val="tx1"/>
            </w14:solidFill>
          </w14:textFill>
        </w:rPr>
        <w:t>）在任何情况下均无义务和责任承担这些费用。</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5、磋商文件的约束力</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供应商一旦</w:t>
      </w:r>
      <w:r>
        <w:rPr>
          <w:rFonts w:hint="eastAsia" w:ascii="宋体" w:hAnsi="宋体"/>
          <w:color w:val="000000" w:themeColor="text1"/>
          <w:sz w:val="24"/>
          <w:szCs w:val="24"/>
          <w:highlight w:val="none"/>
          <w14:textFill>
            <w14:solidFill>
              <w14:schemeClr w14:val="tx1"/>
            </w14:solidFill>
          </w14:textFill>
        </w:rPr>
        <w:t>获取</w:t>
      </w:r>
      <w:r>
        <w:rPr>
          <w:rFonts w:ascii="宋体" w:hAnsi="宋体"/>
          <w:color w:val="000000" w:themeColor="text1"/>
          <w:sz w:val="24"/>
          <w:szCs w:val="24"/>
          <w:highlight w:val="none"/>
          <w14:textFill>
            <w14:solidFill>
              <w14:schemeClr w14:val="tx1"/>
            </w14:solidFill>
          </w14:textFill>
        </w:rPr>
        <w:t>了本磋商文件并决定参加磋商，即被认为接受了本磋商文件的规定和约束，并且视为自竞争性磋商公告期限届满之日起已经知道或应当知道自身权益是否受到了损害。</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w:t>
      </w:r>
      <w:bookmarkStart w:id="59" w:name="_Toc462564070"/>
      <w:bookmarkStart w:id="60" w:name="_Toc513029211"/>
      <w:bookmarkStart w:id="61" w:name="_Toc20823283"/>
      <w:bookmarkStart w:id="62" w:name="_Toc16938527"/>
      <w:r>
        <w:rPr>
          <w:rFonts w:ascii="宋体" w:hAnsi="宋体"/>
          <w:color w:val="000000" w:themeColor="text1"/>
          <w:sz w:val="24"/>
          <w:szCs w:val="24"/>
          <w:highlight w:val="none"/>
          <w14:textFill>
            <w14:solidFill>
              <w14:schemeClr w14:val="tx1"/>
            </w14:solidFill>
          </w14:textFill>
        </w:rPr>
        <w:t>磋商文件的</w:t>
      </w:r>
      <w:bookmarkEnd w:id="59"/>
      <w:bookmarkEnd w:id="60"/>
      <w:bookmarkEnd w:id="61"/>
      <w:bookmarkEnd w:id="62"/>
      <w:r>
        <w:rPr>
          <w:rFonts w:ascii="宋体" w:hAnsi="宋体"/>
          <w:color w:val="000000" w:themeColor="text1"/>
          <w:sz w:val="24"/>
          <w:szCs w:val="24"/>
          <w:highlight w:val="none"/>
          <w14:textFill>
            <w14:solidFill>
              <w14:schemeClr w14:val="tx1"/>
            </w14:solidFill>
          </w14:textFill>
        </w:rPr>
        <w:t>询问及修改</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6.1任何要求对磋商文件进行询问的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供应商，均应在提交首次响应文件截止时间五日前按采购</w:t>
      </w:r>
      <w:r>
        <w:rPr>
          <w:rFonts w:hint="eastAsia" w:ascii="宋体" w:hAnsi="宋体"/>
          <w:color w:val="000000" w:themeColor="text1"/>
          <w:sz w:val="24"/>
          <w:szCs w:val="24"/>
          <w:highlight w:val="none"/>
          <w14:textFill>
            <w14:solidFill>
              <w14:schemeClr w14:val="tx1"/>
            </w14:solidFill>
          </w14:textFill>
        </w:rPr>
        <w:t>文件</w:t>
      </w:r>
      <w:r>
        <w:rPr>
          <w:rFonts w:ascii="宋体" w:hAnsi="宋体"/>
          <w:color w:val="000000" w:themeColor="text1"/>
          <w:sz w:val="24"/>
          <w:szCs w:val="24"/>
          <w:highlight w:val="none"/>
          <w14:textFill>
            <w14:solidFill>
              <w14:schemeClr w14:val="tx1"/>
            </w14:solidFill>
          </w14:textFill>
        </w:rPr>
        <w:t>中的通讯地址，向采购人或采购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提出。提交首次响应文件截止之日前，</w:t>
      </w:r>
      <w:r>
        <w:rPr>
          <w:rFonts w:hint="eastAsia" w:ascii="宋体" w:hAnsi="宋体"/>
          <w:color w:val="000000" w:themeColor="text1"/>
          <w:sz w:val="24"/>
          <w:szCs w:val="24"/>
          <w:highlight w:val="none"/>
          <w14:textFill>
            <w14:solidFill>
              <w14:schemeClr w14:val="tx1"/>
            </w14:solidFill>
          </w14:textFill>
        </w:rPr>
        <w:t>采购人</w:t>
      </w:r>
      <w:r>
        <w:rPr>
          <w:rFonts w:ascii="宋体" w:hAnsi="宋体"/>
          <w:color w:val="000000" w:themeColor="text1"/>
          <w:sz w:val="24"/>
          <w:szCs w:val="24"/>
          <w:highlight w:val="none"/>
          <w14:textFill>
            <w14:solidFill>
              <w14:schemeClr w14:val="tx1"/>
            </w14:solidFill>
          </w14:textFill>
        </w:rPr>
        <w:t>可以对已发出的磋商文件进行必要的澄清或者修改，澄清或者修改的内容作为磋商文件的组成部分。澄清或者修改的内容可能影响响应文件编制的，采购人将在提交首次响应文件截止时间至少五日前，在</w:t>
      </w:r>
      <w:r>
        <w:rPr>
          <w:rFonts w:hint="eastAsia" w:ascii="宋体" w:hAnsi="宋体"/>
          <w:color w:val="000000" w:themeColor="text1"/>
          <w:sz w:val="24"/>
          <w:szCs w:val="24"/>
          <w:highlight w:val="none"/>
          <w14:textFill>
            <w14:solidFill>
              <w14:schemeClr w14:val="tx1"/>
            </w14:solidFill>
          </w14:textFill>
        </w:rPr>
        <w:t>江苏医药职业学院</w:t>
      </w:r>
      <w:r>
        <w:rPr>
          <w:rFonts w:ascii="宋体" w:hAnsi="宋体"/>
          <w:color w:val="000000" w:themeColor="text1"/>
          <w:sz w:val="24"/>
          <w:szCs w:val="24"/>
          <w:highlight w:val="none"/>
          <w14:textFill>
            <w14:solidFill>
              <w14:schemeClr w14:val="tx1"/>
            </w14:solidFill>
          </w14:textFill>
        </w:rPr>
        <w:t>网上发布书面更正公告形式通知所有获取磋商文件的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供应商。不足五日的，采购人应当顺延提交首次响应文件截止时间。</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6.2采购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或采购人可以视采购项目的具体情况，组织</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供应商进行现场考察或召开磋商前答疑会，但不单独或分别组织只有一个</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供应商参加的现场考察和答疑会</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7、磋商文件的解释</w:t>
      </w:r>
    </w:p>
    <w:p>
      <w:pPr>
        <w:spacing w:line="480" w:lineRule="exact"/>
        <w:ind w:firstLine="480" w:firstLineChars="200"/>
        <w:rPr>
          <w:rFonts w:ascii="宋体" w:hAnsi="宋体"/>
          <w:bCs/>
          <w:color w:val="000000" w:themeColor="text1"/>
          <w:sz w:val="24"/>
          <w:szCs w:val="24"/>
          <w:highlight w:val="none"/>
          <w14:textFill>
            <w14:solidFill>
              <w14:schemeClr w14:val="tx1"/>
            </w14:solidFill>
          </w14:textFill>
        </w:rPr>
      </w:pPr>
      <w:r>
        <w:rPr>
          <w:rFonts w:ascii="宋体" w:hAnsi="宋体"/>
          <w:bCs/>
          <w:color w:val="000000" w:themeColor="text1"/>
          <w:sz w:val="24"/>
          <w:szCs w:val="24"/>
          <w:highlight w:val="none"/>
          <w14:textFill>
            <w14:solidFill>
              <w14:schemeClr w14:val="tx1"/>
            </w14:solidFill>
          </w14:textFill>
        </w:rPr>
        <w:t>7.1 本磋商文件由</w:t>
      </w:r>
      <w:r>
        <w:rPr>
          <w:rFonts w:ascii="宋体" w:hAnsi="宋体"/>
          <w:color w:val="000000" w:themeColor="text1"/>
          <w:sz w:val="24"/>
          <w:szCs w:val="24"/>
          <w:highlight w:val="none"/>
          <w14:textFill>
            <w14:solidFill>
              <w14:schemeClr w14:val="tx1"/>
            </w14:solidFill>
          </w14:textFill>
        </w:rPr>
        <w:t>采购</w:t>
      </w:r>
      <w:r>
        <w:rPr>
          <w:rFonts w:hint="eastAsia" w:ascii="宋体" w:hAnsi="宋体"/>
          <w:color w:val="000000" w:themeColor="text1"/>
          <w:sz w:val="24"/>
          <w:szCs w:val="24"/>
          <w:highlight w:val="none"/>
          <w14:textFill>
            <w14:solidFill>
              <w14:schemeClr w14:val="tx1"/>
            </w14:solidFill>
          </w14:textFill>
        </w:rPr>
        <w:t>人</w:t>
      </w:r>
      <w:r>
        <w:rPr>
          <w:rFonts w:ascii="宋体" w:hAnsi="宋体"/>
          <w:bCs/>
          <w:color w:val="000000" w:themeColor="text1"/>
          <w:sz w:val="24"/>
          <w:szCs w:val="24"/>
          <w:highlight w:val="none"/>
          <w14:textFill>
            <w14:solidFill>
              <w14:schemeClr w14:val="tx1"/>
            </w14:solidFill>
          </w14:textFill>
        </w:rPr>
        <w:t>负责解释。</w:t>
      </w:r>
      <w:bookmarkStart w:id="63" w:name="_Hlt26954828"/>
      <w:bookmarkEnd w:id="63"/>
      <w:bookmarkStart w:id="64" w:name="_Hlt26670354"/>
      <w:bookmarkEnd w:id="64"/>
      <w:bookmarkStart w:id="65" w:name="_Hlt26670348"/>
      <w:bookmarkEnd w:id="65"/>
      <w:bookmarkStart w:id="66" w:name="_Hlt26954832"/>
      <w:bookmarkEnd w:id="66"/>
      <w:bookmarkStart w:id="67" w:name="_Hlt26668969"/>
      <w:bookmarkEnd w:id="67"/>
      <w:bookmarkStart w:id="68" w:name="_Hlt26954830"/>
      <w:bookmarkEnd w:id="68"/>
      <w:bookmarkStart w:id="69" w:name="_Hlt26670345"/>
      <w:bookmarkEnd w:id="69"/>
      <w:bookmarkStart w:id="70" w:name="_Toc513029213"/>
      <w:bookmarkStart w:id="71" w:name="_Toc462564072"/>
      <w:bookmarkStart w:id="72" w:name="_Toc14577351"/>
      <w:bookmarkStart w:id="73" w:name="_Toc61149553"/>
    </w:p>
    <w:p>
      <w:pPr>
        <w:spacing w:line="480" w:lineRule="exact"/>
        <w:ind w:firstLine="480" w:firstLineChars="200"/>
        <w:rPr>
          <w:rFonts w:ascii="宋体" w:hAnsi="宋体"/>
          <w:bCs/>
          <w:color w:val="000000" w:themeColor="text1"/>
          <w:sz w:val="24"/>
          <w:szCs w:val="24"/>
          <w:highlight w:val="none"/>
          <w14:textFill>
            <w14:solidFill>
              <w14:schemeClr w14:val="tx1"/>
            </w14:solidFill>
          </w14:textFill>
        </w:rPr>
      </w:pPr>
      <w:r>
        <w:rPr>
          <w:rFonts w:hint="eastAsia" w:ascii="宋体" w:hAnsi="宋体"/>
          <w:bCs/>
          <w:color w:val="000000" w:themeColor="text1"/>
          <w:sz w:val="24"/>
          <w:szCs w:val="24"/>
          <w:highlight w:val="none"/>
          <w14:textFill>
            <w14:solidFill>
              <w14:schemeClr w14:val="tx1"/>
            </w14:solidFill>
          </w14:textFill>
        </w:rPr>
        <w:t>8、投标报名和获取招标文件方法</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特别提醒：</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招标人会根据招标需要，可能会不定期在“江苏医药职业学院网站”发布该项目补充答疑等澄清修改文件，请各投标人自行网上查寻，未能及时查阅响应而影响投标的，结果由投标人负责。</w:t>
      </w:r>
    </w:p>
    <w:p>
      <w:pPr>
        <w:spacing w:line="480" w:lineRule="exact"/>
        <w:ind w:firstLine="482" w:firstLineChars="200"/>
        <w:rPr>
          <w:rFonts w:ascii="宋体" w:hAnsi="宋体"/>
          <w:color w:val="000000" w:themeColor="text1"/>
          <w:sz w:val="24"/>
          <w:szCs w:val="24"/>
          <w:highlight w:val="non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二、磋商响应文件的编制</w:t>
      </w:r>
      <w:bookmarkEnd w:id="70"/>
      <w:bookmarkEnd w:id="71"/>
      <w:bookmarkEnd w:id="72"/>
      <w:bookmarkEnd w:id="73"/>
      <w:bookmarkStart w:id="74" w:name="_Toc14577361"/>
      <w:bookmarkStart w:id="75" w:name="_Toc61149561"/>
      <w:bookmarkStart w:id="76" w:name="_Toc513029223"/>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1、磋商响应文件份数和签署</w:t>
      </w:r>
      <w:bookmarkEnd w:id="74"/>
      <w:bookmarkEnd w:id="75"/>
      <w:bookmarkEnd w:id="76"/>
    </w:p>
    <w:p>
      <w:pPr>
        <w:spacing w:line="480" w:lineRule="exact"/>
        <w:ind w:firstLine="480" w:firstLineChars="200"/>
        <w:rPr>
          <w:rFonts w:ascii="宋体" w:hAnsi="宋体"/>
          <w:b/>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1.1磋商供应商应严格按照采购邀请要求准备磋商响应文件（以下简称响应文件），每份响应文件须清楚地标明“正本”或“副本”字样。</w:t>
      </w:r>
      <w:r>
        <w:rPr>
          <w:rFonts w:hint="eastAsia" w:ascii="宋体" w:hAnsi="宋体"/>
          <w:color w:val="000000" w:themeColor="text1"/>
          <w:sz w:val="24"/>
          <w:szCs w:val="24"/>
          <w:highlight w:val="none"/>
          <w14:textFill>
            <w14:solidFill>
              <w14:schemeClr w14:val="tx1"/>
            </w14:solidFill>
          </w14:textFill>
        </w:rPr>
        <w:t>正本份数：1份；副本份数：4份。</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响应文件的正本和所有的副本均需打印或复印。响应文件正本中，磋商文件要求提供原件的必须按照要求提供，文字材料需打印或用不褪色墨水书写，响应文件正本须经法定代表人或授权代表签字和加盖磋商供应商公章。本磋商文件所表述（指定）的公章是指刻有</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供应商法定名称的印章，不包括合同、财务、税务、发票等形式的业务专用章。</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 除磋商供应商对错处做必要修改外，响应文件不得行间插字、涂改或增删。如有修改错漏处，必须由响应文件签署人签字或盖章。</w:t>
      </w:r>
      <w:bookmarkStart w:id="77" w:name="_Hlt26954834"/>
      <w:bookmarkEnd w:id="77"/>
      <w:bookmarkStart w:id="78" w:name="_Toc61149555"/>
      <w:bookmarkStart w:id="79" w:name="_Toc513029215"/>
      <w:bookmarkStart w:id="80" w:name="_Toc14577353"/>
      <w:bookmarkStart w:id="81" w:name="_Toc462564074"/>
      <w:bookmarkStart w:id="82" w:name="_Toc462564073"/>
      <w:bookmarkStart w:id="83" w:name="_Toc61149554"/>
      <w:bookmarkStart w:id="84" w:name="_Toc14577352"/>
      <w:bookmarkStart w:id="85" w:name="_Toc513029214"/>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2、响应文件</w:t>
      </w:r>
      <w:bookmarkEnd w:id="78"/>
      <w:bookmarkEnd w:id="79"/>
      <w:bookmarkEnd w:id="80"/>
      <w:bookmarkEnd w:id="81"/>
      <w:r>
        <w:rPr>
          <w:rFonts w:ascii="宋体" w:hAnsi="宋体"/>
          <w:color w:val="000000" w:themeColor="text1"/>
          <w:sz w:val="24"/>
          <w:szCs w:val="24"/>
          <w:highlight w:val="none"/>
          <w14:textFill>
            <w14:solidFill>
              <w14:schemeClr w14:val="tx1"/>
            </w14:solidFill>
          </w14:textFill>
        </w:rPr>
        <w:t>编制要求</w:t>
      </w:r>
      <w:bookmarkEnd w:id="82"/>
      <w:bookmarkEnd w:id="83"/>
      <w:bookmarkEnd w:id="84"/>
      <w:bookmarkEnd w:id="85"/>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2.1磋商供应商提交的响应文件以及磋商供应商与采购人就有关磋商的所有来往函电均应使用简体中文。磋商文件中既有中文也有外文的，以中文意义为准。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2.2 除技术性能另有规定外，响应文件所使用的度量衡单位，均须采用国家法定计量单位。</w:t>
      </w:r>
      <w:bookmarkStart w:id="86" w:name="_Hlt26670357"/>
      <w:bookmarkEnd w:id="86"/>
      <w:bookmarkStart w:id="87" w:name="_Hlt26954836"/>
      <w:bookmarkEnd w:id="87"/>
      <w:bookmarkStart w:id="88" w:name="_Toc14577357"/>
      <w:bookmarkStart w:id="89" w:name="_Toc61149558"/>
      <w:bookmarkStart w:id="90" w:name="_Toc513029219"/>
      <w:bookmarkStart w:id="91" w:name="_Toc14577355"/>
      <w:bookmarkStart w:id="92" w:name="_Toc513029217"/>
      <w:bookmarkStart w:id="93" w:name="_Toc61149557"/>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3、参加磋商供应商资格的文件</w:t>
      </w:r>
      <w:bookmarkEnd w:id="88"/>
      <w:bookmarkEnd w:id="89"/>
      <w:bookmarkEnd w:id="90"/>
      <w:r>
        <w:rPr>
          <w:rFonts w:ascii="宋体" w:hAnsi="宋体"/>
          <w:color w:val="000000" w:themeColor="text1"/>
          <w:sz w:val="24"/>
          <w:szCs w:val="24"/>
          <w:highlight w:val="none"/>
          <w14:textFill>
            <w14:solidFill>
              <w14:schemeClr w14:val="tx1"/>
            </w14:solidFill>
          </w14:textFill>
        </w:rPr>
        <w:t>证明</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bookmarkStart w:id="94" w:name="_Hlt26668999"/>
      <w:bookmarkEnd w:id="94"/>
      <w:r>
        <w:rPr>
          <w:rFonts w:ascii="宋体" w:hAnsi="宋体"/>
          <w:color w:val="000000" w:themeColor="text1"/>
          <w:sz w:val="24"/>
          <w:szCs w:val="24"/>
          <w:highlight w:val="none"/>
          <w14:textFill>
            <w14:solidFill>
              <w14:schemeClr w14:val="tx1"/>
            </w14:solidFill>
          </w14:textFill>
        </w:rPr>
        <w:t>3.1磋商供应商应提交证明其有资格参加磋商和成交后有能力独立履行合同的文件，并作为其响应文件的一部分。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3.2磋商供应商除必须具有履行合同所需提供的服务能力外，还必须具备相应的财务、技术方面的能力。</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3.3磋商供应商应填写并提交磋商文件所附的“</w:t>
      </w:r>
      <w:r>
        <w:rPr>
          <w:rFonts w:ascii="宋体" w:hAnsi="宋体"/>
          <w:b/>
          <w:color w:val="000000" w:themeColor="text1"/>
          <w:sz w:val="24"/>
          <w:szCs w:val="24"/>
          <w:highlight w:val="none"/>
          <w14:textFill>
            <w14:solidFill>
              <w14:schemeClr w14:val="tx1"/>
            </w14:solidFill>
          </w14:textFill>
        </w:rPr>
        <w:t>资信证明文件</w:t>
      </w:r>
      <w:r>
        <w:rPr>
          <w:rFonts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4、磋商响应报价</w:t>
      </w:r>
      <w:bookmarkEnd w:id="91"/>
      <w:bookmarkEnd w:id="92"/>
      <w:bookmarkStart w:id="95" w:name="_Hlt26670373"/>
      <w:bookmarkEnd w:id="95"/>
      <w:r>
        <w:rPr>
          <w:rFonts w:ascii="宋体" w:hAnsi="宋体"/>
          <w:color w:val="000000" w:themeColor="text1"/>
          <w:sz w:val="24"/>
          <w:szCs w:val="24"/>
          <w:highlight w:val="none"/>
          <w14:textFill>
            <w14:solidFill>
              <w14:schemeClr w14:val="tx1"/>
            </w14:solidFill>
          </w14:textFill>
        </w:rPr>
        <w:t>表</w:t>
      </w:r>
      <w:bookmarkEnd w:id="93"/>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4.1磋商供应商应按照磋商文件规定格式填报磋商响应报价表（含分项报价）。每项服务只允许有一个报价，任何有选择的报价将不予接受，磋商文件中另有规定的按规定执行。</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4.2标的物</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详见项目需求。</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4.3有关费用处理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本次采购磋商供应商的总报价应包括磋商供应商为完成竞争性磋商文件所确定的招标范围内的全部服务工作内容所发生的一切费用。</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本次招标设一个包，不拆分细项。</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4.4其它费用处理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4.4.1</w:t>
      </w:r>
      <w:r>
        <w:rPr>
          <w:rFonts w:ascii="宋体" w:hAnsi="宋体"/>
          <w:color w:val="000000" w:themeColor="text1"/>
          <w:sz w:val="24"/>
          <w:szCs w:val="24"/>
          <w:highlight w:val="none"/>
          <w14:textFill>
            <w14:solidFill>
              <w14:schemeClr w14:val="tx1"/>
            </w14:solidFill>
          </w14:textFill>
        </w:rPr>
        <w:t>磋商文件未列明，而磋商供应商认为必须的费用也须列入报价。</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4.5报价采用的货币</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响应文件中的单价和总价，无特殊规定的采用人民币报价，以元为单位标注。磋商文件中另有规定的按规定执行。</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4.6 磋商响应报价表上的价格应按磋商文件规定填写。</w:t>
      </w:r>
      <w:bookmarkStart w:id="96" w:name="_Hlt26670482"/>
      <w:bookmarkEnd w:id="96"/>
      <w:bookmarkStart w:id="97" w:name="_Hlt26954731"/>
      <w:bookmarkEnd w:id="97"/>
      <w:bookmarkStart w:id="98" w:name="_Hlt26670425"/>
      <w:bookmarkEnd w:id="98"/>
      <w:bookmarkStart w:id="99" w:name="_Hlt26668983"/>
      <w:bookmarkEnd w:id="99"/>
      <w:bookmarkStart w:id="100" w:name="_Hlt26954848"/>
      <w:bookmarkEnd w:id="100"/>
      <w:bookmarkStart w:id="101" w:name="_Hlt26670486"/>
      <w:bookmarkEnd w:id="101"/>
      <w:bookmarkStart w:id="102" w:name="_Hlt26670403"/>
      <w:bookmarkEnd w:id="102"/>
      <w:bookmarkStart w:id="103" w:name="_Hlt26954846"/>
      <w:bookmarkEnd w:id="103"/>
      <w:bookmarkStart w:id="104" w:name="_Hlt26954842"/>
      <w:bookmarkEnd w:id="104"/>
      <w:bookmarkStart w:id="105" w:name="_Hlt26954844"/>
      <w:bookmarkEnd w:id="105"/>
      <w:bookmarkStart w:id="106" w:name="_Toc14577359"/>
      <w:bookmarkStart w:id="107" w:name="_Toc513029221"/>
      <w:bookmarkStart w:id="108" w:name="_Toc61149559"/>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5、项目需求响应方案</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5.1提供为完成本项目的总体实施方案。</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5.2对磋商文件中项目需求的技术与商务条款要求逐项作出应答，并提供依据或说明</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5.3磋商供应商认为需要的其他技术文件或说明。</w:t>
      </w:r>
    </w:p>
    <w:bookmarkEnd w:id="106"/>
    <w:bookmarkEnd w:id="107"/>
    <w:bookmarkEnd w:id="108"/>
    <w:p>
      <w:pPr>
        <w:spacing w:line="480" w:lineRule="exact"/>
        <w:ind w:firstLine="482" w:firstLineChars="200"/>
        <w:rPr>
          <w:rFonts w:ascii="宋体" w:hAnsi="宋体"/>
          <w:color w:val="000000" w:themeColor="text1"/>
          <w:sz w:val="24"/>
          <w:szCs w:val="24"/>
          <w:highlight w:val="none"/>
          <w14:textFill>
            <w14:solidFill>
              <w14:schemeClr w14:val="tx1"/>
            </w14:solidFill>
          </w14:textFill>
        </w:rPr>
      </w:pPr>
      <w:bookmarkStart w:id="109" w:name="_Toc61149562"/>
      <w:bookmarkStart w:id="110" w:name="_Toc513029224"/>
      <w:bookmarkStart w:id="111" w:name="_Toc14577362"/>
      <w:r>
        <w:rPr>
          <w:rFonts w:ascii="宋体" w:hAnsi="宋体"/>
          <w:b/>
          <w:color w:val="000000" w:themeColor="text1"/>
          <w:sz w:val="24"/>
          <w:szCs w:val="24"/>
          <w:highlight w:val="none"/>
          <w14:textFill>
            <w14:solidFill>
              <w14:schemeClr w14:val="tx1"/>
            </w14:solidFill>
          </w14:textFill>
        </w:rPr>
        <w:t>三、响应文件的递交</w:t>
      </w:r>
      <w:bookmarkEnd w:id="109"/>
      <w:bookmarkEnd w:id="110"/>
      <w:bookmarkEnd w:id="111"/>
      <w:bookmarkStart w:id="112" w:name="_Hlt26954856"/>
      <w:bookmarkEnd w:id="112"/>
      <w:bookmarkStart w:id="113" w:name="_Toc462564084"/>
      <w:bookmarkStart w:id="114" w:name="_Toc513029225"/>
      <w:bookmarkStart w:id="115" w:name="_Toc61149563"/>
      <w:bookmarkStart w:id="116" w:name="_Toc14577363"/>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1、响应文件</w:t>
      </w:r>
      <w:bookmarkStart w:id="117" w:name="_Hlt26954743"/>
      <w:bookmarkEnd w:id="117"/>
      <w:r>
        <w:rPr>
          <w:rFonts w:ascii="宋体" w:hAnsi="宋体"/>
          <w:color w:val="000000" w:themeColor="text1"/>
          <w:sz w:val="24"/>
          <w:szCs w:val="24"/>
          <w:highlight w:val="none"/>
          <w14:textFill>
            <w14:solidFill>
              <w14:schemeClr w14:val="tx1"/>
            </w14:solidFill>
          </w14:textFill>
        </w:rPr>
        <w:t>的密封和标记</w:t>
      </w:r>
      <w:bookmarkEnd w:id="113"/>
      <w:bookmarkEnd w:id="114"/>
      <w:bookmarkEnd w:id="115"/>
      <w:bookmarkEnd w:id="116"/>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1.1磋商供应商应严格按照采购邀请要求的份数准备响应文件，每份响应文件须清楚地标明“正本”或“副本”字样。一旦正本和副本不符，以正本为准。磋商供应商应将响应文件正本和所有副本密封。</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1.2密封的响应文件应：</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（1）按采购邀请中注明的地址送达规定地点；</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（2）注明参加磋商项目名称、磋商文件编号及参加的分包号；</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（3）密封包装上应写明磋商供应商名称。</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1.3如果密封包装未按要求密封和加写标记，采购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对误投或过早启封概不负责。对由此造成提前开封的响应文件，采购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将予以拒绝。</w:t>
      </w:r>
      <w:bookmarkStart w:id="118" w:name="_Hlt26954752"/>
      <w:bookmarkEnd w:id="118"/>
      <w:bookmarkStart w:id="119" w:name="_Hlt26954858"/>
      <w:bookmarkEnd w:id="119"/>
      <w:bookmarkStart w:id="120" w:name="_Hlt26670496"/>
      <w:bookmarkEnd w:id="120"/>
      <w:bookmarkStart w:id="121" w:name="_Toc14577364"/>
      <w:bookmarkStart w:id="122" w:name="_Toc513029226"/>
      <w:bookmarkStart w:id="123" w:name="_Toc61149564"/>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w:t>
      </w:r>
      <w:bookmarkEnd w:id="121"/>
      <w:bookmarkEnd w:id="122"/>
      <w:bookmarkEnd w:id="123"/>
      <w:r>
        <w:rPr>
          <w:rFonts w:ascii="宋体" w:hAnsi="宋体"/>
          <w:color w:val="000000" w:themeColor="text1"/>
          <w:sz w:val="24"/>
          <w:szCs w:val="24"/>
          <w:highlight w:val="none"/>
          <w14:textFill>
            <w14:solidFill>
              <w14:schemeClr w14:val="tx1"/>
            </w14:solidFill>
          </w14:textFill>
        </w:rPr>
        <w:t>响应文件开启时间</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收到响应文件的时间不得迟于本磋商文件规定的响应文件接收截止时间</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2.2采购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有权通过修改磋商文件推迟响应文件接收截止时间，在此情况下，磋商供应商的所有权利和义务以及受制的响应文件接收截止时间均应以延长后新的响应文件接收截止时间为准。</w:t>
      </w:r>
      <w:bookmarkStart w:id="124" w:name="_Hlt26954860"/>
      <w:bookmarkEnd w:id="124"/>
      <w:bookmarkStart w:id="125" w:name="_Toc61149565"/>
      <w:bookmarkStart w:id="126" w:name="_Toc14577365"/>
      <w:bookmarkStart w:id="127" w:name="_Toc513029227"/>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3、迟交的响应文件</w:t>
      </w:r>
      <w:bookmarkEnd w:id="125"/>
      <w:bookmarkEnd w:id="126"/>
      <w:bookmarkEnd w:id="127"/>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3.1采购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将拒绝在规定的响应文件接收截止时间后接收任何响应文件。</w:t>
      </w:r>
      <w:bookmarkStart w:id="128" w:name="_Hlt26954862"/>
      <w:bookmarkEnd w:id="128"/>
      <w:bookmarkStart w:id="129" w:name="_Hlt26954754"/>
      <w:bookmarkEnd w:id="129"/>
      <w:bookmarkStart w:id="130" w:name="_Toc513029228"/>
      <w:bookmarkStart w:id="131" w:name="_Toc14577366"/>
      <w:bookmarkStart w:id="132" w:name="_Toc61149566"/>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4、响应文件</w:t>
      </w:r>
      <w:bookmarkStart w:id="133" w:name="_Hlt26670588"/>
      <w:r>
        <w:rPr>
          <w:rFonts w:ascii="宋体" w:hAnsi="宋体"/>
          <w:color w:val="000000" w:themeColor="text1"/>
          <w:sz w:val="24"/>
          <w:szCs w:val="24"/>
          <w:highlight w:val="none"/>
          <w14:textFill>
            <w14:solidFill>
              <w14:schemeClr w14:val="tx1"/>
            </w14:solidFill>
          </w14:textFill>
        </w:rPr>
        <w:t>的修改</w:t>
      </w:r>
      <w:bookmarkEnd w:id="133"/>
      <w:r>
        <w:rPr>
          <w:rFonts w:ascii="宋体" w:hAnsi="宋体"/>
          <w:color w:val="000000" w:themeColor="text1"/>
          <w:sz w:val="24"/>
          <w:szCs w:val="24"/>
          <w:highlight w:val="none"/>
          <w14:textFill>
            <w14:solidFill>
              <w14:schemeClr w14:val="tx1"/>
            </w14:solidFill>
          </w14:textFill>
        </w:rPr>
        <w:t>和撤回</w:t>
      </w:r>
      <w:bookmarkEnd w:id="130"/>
      <w:bookmarkEnd w:id="131"/>
      <w:bookmarkEnd w:id="132"/>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4.1磋商供应商在递交响应文件后，可以修改或撤回其谈判响应文件，但这种修改和撤回，必须在规定的响应文件接收截止时间前，以书面形式送达指定地点。</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4.2磋商供应商的修改或撤回通知书，应按本文件规定进行编制、密封、标记和发送，并应在封套上加注“修改”和“撤回”字样。</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4.3 磋商供应商在提交最后报价之前，可以根据磋商情况退出磋商。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5、磋商响应有效期</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 磋商响应有效期为响应文件接收截止时间后</w:t>
      </w:r>
      <w:r>
        <w:rPr>
          <w:rFonts w:hint="eastAsia" w:ascii="宋体" w:hAnsi="宋体"/>
          <w:color w:val="000000" w:themeColor="text1"/>
          <w:sz w:val="24"/>
          <w:szCs w:val="24"/>
          <w:highlight w:val="none"/>
          <w14:textFill>
            <w14:solidFill>
              <w14:schemeClr w14:val="tx1"/>
            </w14:solidFill>
          </w14:textFill>
        </w:rPr>
        <w:t>三</w:t>
      </w:r>
      <w:r>
        <w:rPr>
          <w:rFonts w:ascii="宋体" w:hAnsi="宋体"/>
          <w:color w:val="000000" w:themeColor="text1"/>
          <w:sz w:val="24"/>
          <w:szCs w:val="24"/>
          <w:highlight w:val="none"/>
          <w14:textFill>
            <w14:solidFill>
              <w14:schemeClr w14:val="tx1"/>
            </w14:solidFill>
          </w14:textFill>
        </w:rPr>
        <w:t>十（</w:t>
      </w:r>
      <w:r>
        <w:rPr>
          <w:rFonts w:hint="eastAsia" w:ascii="宋体" w:hAnsi="宋体"/>
          <w:color w:val="000000" w:themeColor="text1"/>
          <w:sz w:val="24"/>
          <w:szCs w:val="24"/>
          <w:highlight w:val="none"/>
          <w14:textFill>
            <w14:solidFill>
              <w14:schemeClr w14:val="tx1"/>
            </w14:solidFill>
          </w14:textFill>
        </w:rPr>
        <w:t>3</w:t>
      </w:r>
      <w:r>
        <w:rPr>
          <w:rFonts w:ascii="宋体" w:hAnsi="宋体"/>
          <w:color w:val="000000" w:themeColor="text1"/>
          <w:sz w:val="24"/>
          <w:szCs w:val="24"/>
          <w:highlight w:val="none"/>
          <w14:textFill>
            <w14:solidFill>
              <w14:schemeClr w14:val="tx1"/>
            </w14:solidFill>
          </w14:textFill>
        </w:rPr>
        <w:t>0）天。磋商响应有效期比规定短的将被视为非实质性响应性而予以拒绝。</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 在特殊情况下，采购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于原磋商响应有效期满之前，可向磋商供应商提出延长磋商响应有效期的要求。这种要求与答复均应采用书面形式。磋商供应商可以拒绝采购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的这一要求而放弃磋商响应。同意延长磋商响应有效期的磋商供应商既不能要求也不允许修改其响应文件</w:t>
      </w: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同时受磋商响应有效期约束的所有权利与义务均延长至新的有效期。</w:t>
      </w:r>
      <w:bookmarkStart w:id="134" w:name="_Hlt26670523"/>
      <w:bookmarkEnd w:id="134"/>
      <w:bookmarkStart w:id="135" w:name="_Hlt26954864"/>
      <w:bookmarkEnd w:id="135"/>
    </w:p>
    <w:p>
      <w:pPr>
        <w:spacing w:line="480" w:lineRule="exact"/>
        <w:ind w:firstLine="482" w:firstLineChars="200"/>
        <w:rPr>
          <w:rFonts w:ascii="宋体" w:hAnsi="宋体"/>
          <w:color w:val="000000" w:themeColor="text1"/>
          <w:sz w:val="24"/>
          <w:szCs w:val="24"/>
          <w:highlight w:val="non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四、磋商与评审</w:t>
      </w:r>
      <w:bookmarkStart w:id="136" w:name="_Toc20823302"/>
      <w:bookmarkStart w:id="137" w:name="_Toc16938546"/>
      <w:bookmarkStart w:id="138" w:name="_Toc513029230"/>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bookmarkEnd w:id="136"/>
      <w:bookmarkEnd w:id="137"/>
      <w:bookmarkEnd w:id="138"/>
      <w:r>
        <w:rPr>
          <w:rFonts w:ascii="宋体" w:hAnsi="宋体"/>
          <w:color w:val="000000" w:themeColor="text1"/>
          <w:sz w:val="24"/>
          <w:szCs w:val="24"/>
          <w:highlight w:val="none"/>
          <w14:textFill>
            <w14:solidFill>
              <w14:schemeClr w14:val="tx1"/>
            </w14:solidFill>
          </w14:textFill>
        </w:rPr>
        <w:t>磋商仪式</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将在采购邀请中规定的时间和地点组织磋商开始仪式，仪式由采购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主持，磋商供应商应委派携带有效证件的代表准时参加，参加仪式的代表需签名以证明其出席。</w:t>
      </w:r>
      <w:bookmarkStart w:id="139" w:name="_Toc513029231"/>
      <w:bookmarkStart w:id="140" w:name="_Toc16938547"/>
      <w:bookmarkStart w:id="141" w:name="_Toc20823303"/>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2、磋商小组</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 磋商开始仪式结束后，采购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将立即组织磋商小组进行评审。</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2.2 </w:t>
      </w:r>
      <w:r>
        <w:rPr>
          <w:rFonts w:hint="eastAsia" w:ascii="宋体" w:hAnsi="宋体"/>
          <w:color w:val="000000" w:themeColor="text1"/>
          <w:sz w:val="24"/>
          <w:szCs w:val="24"/>
          <w:highlight w:val="none"/>
          <w14:textFill>
            <w14:solidFill>
              <w14:schemeClr w14:val="tx1"/>
            </w14:solidFill>
          </w14:textFill>
        </w:rPr>
        <w:t>磋商小组由政府采购评审专家、采购人代表组成，人数为五人，其中技术、经济等方面的专家不得少于成员总数的三分之二。</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3、磋商评审过程的保密</w:t>
      </w:r>
      <w:bookmarkEnd w:id="139"/>
      <w:bookmarkEnd w:id="140"/>
      <w:bookmarkEnd w:id="141"/>
      <w:r>
        <w:rPr>
          <w:rFonts w:ascii="宋体" w:hAnsi="宋体"/>
          <w:color w:val="000000" w:themeColor="text1"/>
          <w:sz w:val="24"/>
          <w:szCs w:val="24"/>
          <w:highlight w:val="none"/>
          <w14:textFill>
            <w14:solidFill>
              <w14:schemeClr w14:val="tx1"/>
            </w14:solidFill>
          </w14:textFill>
        </w:rPr>
        <w:t>与公正</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3.1磋商小组、采购人和采购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工作人员、相关监督人员等与评审工作有关的人员，对评审情况以及在评审过程中获悉的国家秘密、商业秘密负有保密责任。</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3.2在磋商评审过程中，磋商供应商不得以任何行为影响磋商评审过程，否则其响应文件将被作为无效响应文件。</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3.3磋商小组成员应当按照客观、公正、审慎的原则，根据磋商文件规定的评审程序、评审方法和评审标准进行独立评审。未实质性响应磋商文件的响应文件按无效响应处理，磋商小组应当告知提交响应文件的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w:t>
      </w:r>
      <w:bookmarkStart w:id="142" w:name="_Toc16938548"/>
      <w:bookmarkStart w:id="143" w:name="_Toc513029232"/>
      <w:bookmarkStart w:id="144" w:name="_Toc20823304"/>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4、评审过程的澄清</w:t>
      </w:r>
      <w:bookmarkEnd w:id="142"/>
      <w:bookmarkEnd w:id="143"/>
      <w:bookmarkEnd w:id="144"/>
      <w:r>
        <w:rPr>
          <w:rFonts w:ascii="宋体" w:hAnsi="宋体"/>
          <w:color w:val="000000" w:themeColor="text1"/>
          <w:sz w:val="24"/>
          <w:szCs w:val="24"/>
          <w:highlight w:val="none"/>
          <w14:textFill>
            <w14:solidFill>
              <w14:schemeClr w14:val="tx1"/>
            </w14:solidFill>
          </w14:textFill>
        </w:rPr>
        <w:t>、说明和更正</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4.1磋商小组在对响应文件的有效性、完整性和响应程度进行审查时，可以要求</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供应商对响应文件中含义不明确、同类问题表述不一致或者有明显文字和计算错误的内容等作出必要的澄清、说明或者更正。</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供应商的澄清、说明或者更正不得超出响应文件的范围或者改变响应文件的实质性内容。</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4.2接到磋商小组要求的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供应商应派人按磋商小组通知的时间和地点做出书面澄清、说明或更正。</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供应商的澄清、说明或者更正应当由法定代表人或授权代表签字或者加盖公章。由授权代表签字的，应当附法人授权书。</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供应商为自然人的，应当由本人签字并附身份证明。</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4.3 接到磋商小组澄清要求的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供应商如未按规定做出澄清，其风险由</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供应商自行承担。</w:t>
      </w:r>
      <w:bookmarkStart w:id="145" w:name="_Toc16938549"/>
      <w:bookmarkStart w:id="146" w:name="_Toc513029233"/>
      <w:bookmarkStart w:id="147" w:name="_Toc20823305"/>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5、对响应文件的初审</w:t>
      </w:r>
      <w:bookmarkEnd w:id="145"/>
      <w:bookmarkEnd w:id="146"/>
      <w:bookmarkEnd w:id="147"/>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5.1响应文件初审分为资格性检查和符合性检查。</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资格性检查：依据法律法规和磋商文件的规定，对响应文件中的资格证明文件进行审查，以确定</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供应商是否具备参加磋商的资格。</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磋商小组在进行资格性审查的同时，将在“信用中国”网站（www.creditchina.gov.cn）对</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供应商是否被列入失信被执行人、重大税收违法案件当事人名单、政府采购严重失信行为记录名单情况进行查询，以确定</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供应商是否具备参加磋商的资格。查询结果将以网页打印的形式留存并归档。</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接受联合体的项目，两个以上的自然人、法人或者其他组织组成一个联合体，以一个</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供应商的身份共同参加政府采购活动的，联合体成员存在不良信用记录的，视同联合体存在不良应用记录。</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符合性检查：依据磋商文件的规定，从响应文件的有效性、完整性和对磋商文件的响应程度进行审查，以确定是否对磋商文件的实质性要求作出响应。</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5.2在正式磋商之前，磋商小组将首先审查每份响应文件是否实质性响应了磋商文件的要求。实质性响应的响应文件应该是与磋商文件要求的条款、条件和规格相符，没有重大偏离或保留。</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所谓重大偏离或保留是指与磋商文件规定的实质性要求存在负偏离，或者在实质上与磋商文件不一致，而且限制了合同中买方和见证方的权利或</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供应商的义务，纠正这些偏离或保留将会对其他实质性响应要求的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供应商的竞争地位产生不公正的影响。是否属于重大偏离由谈判小组按照少数服从多数的原则作出结论。磋商小组决定响应文件的响应性只根据响应文件本身的内容，而不寻求外部的证据。</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5.3 被认定为未实质性响应磋商文件的响应文件的情形</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1</w:t>
      </w:r>
      <w:r>
        <w:rPr>
          <w:rFonts w:ascii="宋体" w:hAnsi="宋体"/>
          <w:color w:val="000000" w:themeColor="text1"/>
          <w:sz w:val="24"/>
          <w:szCs w:val="24"/>
          <w:highlight w:val="none"/>
          <w14:textFill>
            <w14:solidFill>
              <w14:schemeClr w14:val="tx1"/>
            </w14:solidFill>
          </w14:textFill>
        </w:rPr>
        <w:t>）未按照磋商文件规定要求密封、签署、盖章的；</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2</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供应商在报价时采用选择性报价；</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3</w:t>
      </w: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供应商不具备磋商文件中规定资格要求的；</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4</w:t>
      </w:r>
      <w:r>
        <w:rPr>
          <w:rFonts w:ascii="宋体" w:hAnsi="宋体"/>
          <w:color w:val="000000" w:themeColor="text1"/>
          <w:sz w:val="24"/>
          <w:szCs w:val="24"/>
          <w:highlight w:val="none"/>
          <w14:textFill>
            <w14:solidFill>
              <w14:schemeClr w14:val="tx1"/>
            </w14:solidFill>
          </w14:textFill>
        </w:rPr>
        <w:t>）不符合法律、法规和磋商文件中规定的其他实质性要求和条件的；</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w:t>
      </w:r>
      <w:r>
        <w:rPr>
          <w:rFonts w:hint="eastAsia" w:ascii="宋体" w:hAnsi="宋体"/>
          <w:color w:val="000000" w:themeColor="text1"/>
          <w:sz w:val="24"/>
          <w:szCs w:val="24"/>
          <w:highlight w:val="none"/>
          <w14:textFill>
            <w14:solidFill>
              <w14:schemeClr w14:val="tx1"/>
            </w14:solidFill>
          </w14:textFill>
        </w:rPr>
        <w:t>5</w:t>
      </w:r>
      <w:r>
        <w:rPr>
          <w:rFonts w:ascii="宋体" w:hAnsi="宋体"/>
          <w:color w:val="000000" w:themeColor="text1"/>
          <w:sz w:val="24"/>
          <w:szCs w:val="24"/>
          <w:highlight w:val="none"/>
          <w14:textFill>
            <w14:solidFill>
              <w14:schemeClr w14:val="tx1"/>
            </w14:solidFill>
          </w14:textFill>
        </w:rPr>
        <w:t>）其他法律、法规及本磋商文件规定的属未实质性响应的响应文件的情形。</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5.4 未实质性响应磋商文件的响应文件按无效响应处理，磋商小组将予以拒绝，</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供应商不得通过修改或撤销不合要求的偏离或保留而使其响应文件成为实质性响应的文件。</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5.5同一项目（项目未分包）或同一分包（项目有不同分包），如出现同一品牌同一型号的产品有多个</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供应商参加磋商时，磋商中在其他条件合格的前提下，选取首次报价最低的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供应商参加磋商最后报价，其他</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供应商作为无效响应处理。</w:t>
      </w:r>
      <w:bookmarkStart w:id="148" w:name="_Toc513029234"/>
      <w:bookmarkStart w:id="149" w:name="_Toc20823306"/>
      <w:bookmarkStart w:id="150" w:name="_Toc16938550"/>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w:t>
      </w:r>
      <w:bookmarkEnd w:id="148"/>
      <w:bookmarkEnd w:id="149"/>
      <w:bookmarkEnd w:id="150"/>
      <w:r>
        <w:rPr>
          <w:rFonts w:ascii="宋体" w:hAnsi="宋体"/>
          <w:color w:val="000000" w:themeColor="text1"/>
          <w:sz w:val="24"/>
          <w:szCs w:val="24"/>
          <w:highlight w:val="none"/>
          <w14:textFill>
            <w14:solidFill>
              <w14:schemeClr w14:val="tx1"/>
            </w14:solidFill>
          </w14:textFill>
        </w:rPr>
        <w:t>磋商程序及评审方法和标准</w:t>
      </w:r>
      <w:bookmarkStart w:id="151" w:name="_Toc16938551"/>
      <w:bookmarkStart w:id="152" w:name="_Toc513029235"/>
      <w:bookmarkStart w:id="153" w:name="_Toc20823307"/>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6.1磋商程序</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6.1.1 对于通过资格性和符合性审查的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供应商，磋商小组所有成员将集中与单一</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供应商分别进行磋商。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在磋商过程中，磋商小组可能根据磋商文件和磋商情况实质性变动的内容有：采购需求中的技术、服务要求以及合同草案条款。对磋商文件作出的实质性变动是磋商文件的有效组成部分，磋商小组将以书面形式同时通知所有参加磋商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供应商应当按照磋商文件的变动情况和磋商小组的要求重新提交响应文件，并由其法定代表人或授权代表签字或者加盖公章。</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 xml:space="preserve"> 6.1.2 磋商文件</w:t>
      </w:r>
      <w:r>
        <w:rPr>
          <w:rFonts w:hint="eastAsia" w:ascii="宋体" w:hAnsi="宋体"/>
          <w:color w:val="000000" w:themeColor="text1"/>
          <w:sz w:val="24"/>
          <w:szCs w:val="24"/>
          <w:highlight w:val="none"/>
          <w14:textFill>
            <w14:solidFill>
              <w14:schemeClr w14:val="tx1"/>
            </w14:solidFill>
          </w14:textFill>
        </w:rPr>
        <w:t>如</w:t>
      </w:r>
      <w:r>
        <w:rPr>
          <w:rFonts w:ascii="宋体" w:hAnsi="宋体"/>
          <w:color w:val="000000" w:themeColor="text1"/>
          <w:sz w:val="24"/>
          <w:szCs w:val="24"/>
          <w:highlight w:val="none"/>
          <w14:textFill>
            <w14:solidFill>
              <w14:schemeClr w14:val="tx1"/>
            </w14:solidFill>
          </w14:textFill>
        </w:rPr>
        <w:t>能够详细列明采购标的的技术、服务要求的，磋商结束后，磋商小组将要求所有实质性响应的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供应商在规定时间内提交最后报价。</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最后报价是</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供应商响应文件的有效组成部分。符合《政府采购竞争性磋商采购方式</w:t>
      </w:r>
      <w:r>
        <w:rPr>
          <w:rFonts w:hint="eastAsia" w:ascii="宋体" w:hAnsi="宋体" w:cs="宋体"/>
          <w:color w:val="000000" w:themeColor="text1"/>
          <w:sz w:val="24"/>
          <w:szCs w:val="24"/>
          <w:highlight w:val="none"/>
          <w14:textFill>
            <w14:solidFill>
              <w14:schemeClr w14:val="tx1"/>
            </w14:solidFill>
          </w14:textFill>
        </w:rPr>
        <w:t>管理暂行办法》第三条第四项及《财政部关于竞争性磋商采购方式管理暂行办法有关问题的补充通知》（财库[2015]124号）规定情形</w:t>
      </w:r>
      <w:r>
        <w:rPr>
          <w:rFonts w:ascii="宋体" w:hAnsi="宋体"/>
          <w:color w:val="000000" w:themeColor="text1"/>
          <w:sz w:val="24"/>
          <w:szCs w:val="24"/>
          <w:highlight w:val="none"/>
          <w14:textFill>
            <w14:solidFill>
              <w14:schemeClr w14:val="tx1"/>
            </w14:solidFill>
          </w14:textFill>
        </w:rPr>
        <w:t>的，提交最后报价的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供应商可以为2家</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磋商供应商未在磋商小组规定的时间内完成最后报价的视为放弃磋商，其磋商响应按无效响应处理。最后报价须由磋商供应商法定代表人或授权代表签字或者加盖公章。已提交响应文件的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供应商，在提交最后报价之前，可以根据磋商情况退出磋商。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6.1.4 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供应商最后报价结束后,如磋商小组认为最后最低的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供应商的报价明显低于其自身成本，涉嫌恶意竞争，有可能影响商品质量和不能诚信履约的，则有权要求其在规定的期限内提供书面文件予以说明理由，并提交相关证明材料。若该</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供应商拒绝说明或未在规定期限内提供书面说明，或虽有书面说明但仍无法证明其报价合理性的，则磋商小组有权取消其成交资格。</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6.2 评审方法和标准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6.2.1评审方法。</w:t>
      </w:r>
      <w:r>
        <w:rPr>
          <w:rFonts w:hint="eastAsia" w:ascii="宋体" w:hAnsi="宋体"/>
          <w:color w:val="000000" w:themeColor="text1"/>
          <w:sz w:val="24"/>
          <w:szCs w:val="24"/>
          <w:highlight w:val="none"/>
          <w14:textFill>
            <w14:solidFill>
              <w14:schemeClr w14:val="tx1"/>
            </w14:solidFill>
          </w14:textFill>
        </w:rPr>
        <w:t>经磋商确定最终采购需求后，由磋商小组采用综合评分法对提交最终解决方案和最后报价的磋商供应商的响应文件进行综合评分。</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综合评分法，是指响应文件满足磋商文件全部实质性要求且按评审因素的量化指标评审得分最高的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供应商为成交候选</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供应商的评审方法。评审时，磋商小组各成员独立对每个有效响应的文件进行评价、打分，然后汇总每个</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供应商每项评分因素的得分</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6.2.2评审标准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见本磋商文件第五章规定。</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6.3采购活动终止的情况</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出现下列情形之一的，本次竞争性磋商采购活动将被终止：</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（1）因情况变化，不再符合规定的竞争性磋商采购方式适用情形的；</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（2）出现影响采购公正的违法、违规行为的；</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（3）除本磋商文件第6.1.2条第三款规定的情形外，在采购过程中符合要求的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供应商或者报价未超过采购预算的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供应商不足3家的。</w:t>
      </w:r>
      <w:bookmarkEnd w:id="151"/>
      <w:bookmarkEnd w:id="152"/>
      <w:bookmarkEnd w:id="153"/>
    </w:p>
    <w:p>
      <w:pPr>
        <w:spacing w:line="480" w:lineRule="exact"/>
        <w:ind w:firstLine="482" w:firstLineChars="200"/>
        <w:rPr>
          <w:rFonts w:ascii="宋体" w:hAnsi="宋体"/>
          <w:color w:val="000000" w:themeColor="text1"/>
          <w:sz w:val="24"/>
          <w:szCs w:val="24"/>
          <w:highlight w:val="none"/>
          <w:u w:val="singl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五、成交</w:t>
      </w:r>
      <w:bookmarkStart w:id="154" w:name="_Toc513029238"/>
      <w:bookmarkStart w:id="155" w:name="_Toc16938554"/>
      <w:bookmarkStart w:id="156" w:name="_Toc20823310"/>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w:t>
      </w:r>
      <w:bookmarkEnd w:id="154"/>
      <w:r>
        <w:rPr>
          <w:rFonts w:ascii="宋体" w:hAnsi="宋体"/>
          <w:color w:val="000000" w:themeColor="text1"/>
          <w:sz w:val="24"/>
          <w:szCs w:val="24"/>
          <w:highlight w:val="none"/>
          <w14:textFill>
            <w14:solidFill>
              <w14:schemeClr w14:val="tx1"/>
            </w14:solidFill>
          </w14:textFill>
        </w:rPr>
        <w:t>确定</w:t>
      </w:r>
      <w:bookmarkEnd w:id="155"/>
      <w:bookmarkEnd w:id="156"/>
      <w:r>
        <w:rPr>
          <w:rFonts w:ascii="宋体" w:hAnsi="宋体"/>
          <w:color w:val="000000" w:themeColor="text1"/>
          <w:sz w:val="24"/>
          <w:szCs w:val="24"/>
          <w:highlight w:val="none"/>
          <w14:textFill>
            <w14:solidFill>
              <w14:schemeClr w14:val="tx1"/>
            </w14:solidFill>
          </w14:textFill>
        </w:rPr>
        <w:t>成交单位</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1.1 磋商小组根据综合评分情况，按照评审得分由高到低顺序推荐3名以上成交候选</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供应商，并编写评审报告。符合本文件第6.1.2条</w:t>
      </w:r>
      <w:r>
        <w:rPr>
          <w:rFonts w:hint="eastAsia" w:ascii="宋体" w:hAnsi="宋体"/>
          <w:color w:val="000000" w:themeColor="text1"/>
          <w:sz w:val="24"/>
          <w:szCs w:val="24"/>
          <w:highlight w:val="none"/>
          <w14:textFill>
            <w14:solidFill>
              <w14:schemeClr w14:val="tx1"/>
            </w14:solidFill>
          </w14:textFill>
        </w:rPr>
        <w:t>第三款</w:t>
      </w:r>
      <w:r>
        <w:rPr>
          <w:rFonts w:ascii="宋体" w:hAnsi="宋体"/>
          <w:color w:val="000000" w:themeColor="text1"/>
          <w:sz w:val="24"/>
          <w:szCs w:val="24"/>
          <w:highlight w:val="none"/>
          <w14:textFill>
            <w14:solidFill>
              <w14:schemeClr w14:val="tx1"/>
            </w14:solidFill>
          </w14:textFill>
        </w:rPr>
        <w:t>情形的，可以推荐2家成交候选</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供应商。评审得分相同的，按照最后报价由低到高的顺序推荐。评审得分且最后报价相同的，按照技术指标优劣顺序推荐。</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1.2采购人根据磋商小组推荐的成交候选人确定成交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供应商。采购人确定成交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供应商后，</w:t>
      </w:r>
      <w:r>
        <w:rPr>
          <w:rFonts w:hint="eastAsia" w:ascii="宋体" w:hAnsi="宋体"/>
          <w:color w:val="000000" w:themeColor="text1"/>
          <w:sz w:val="24"/>
          <w:szCs w:val="24"/>
          <w:highlight w:val="none"/>
          <w14:textFill>
            <w14:solidFill>
              <w14:schemeClr w14:val="tx1"/>
            </w14:solidFill>
          </w14:textFill>
        </w:rPr>
        <w:t>采购人</w:t>
      </w:r>
      <w:r>
        <w:rPr>
          <w:rFonts w:ascii="宋体" w:hAnsi="宋体"/>
          <w:color w:val="000000" w:themeColor="text1"/>
          <w:sz w:val="24"/>
          <w:szCs w:val="24"/>
          <w:highlight w:val="none"/>
          <w14:textFill>
            <w14:solidFill>
              <w14:schemeClr w14:val="tx1"/>
            </w14:solidFill>
          </w14:textFill>
        </w:rPr>
        <w:t>将在“</w:t>
      </w:r>
      <w:r>
        <w:rPr>
          <w:rFonts w:hint="eastAsia" w:ascii="宋体" w:hAnsi="宋体"/>
          <w:color w:val="000000" w:themeColor="text1"/>
          <w:sz w:val="24"/>
          <w:szCs w:val="24"/>
          <w:highlight w:val="none"/>
          <w14:textFill>
            <w14:solidFill>
              <w14:schemeClr w14:val="tx1"/>
            </w14:solidFill>
          </w14:textFill>
        </w:rPr>
        <w:t>江苏医药职业学院网</w:t>
      </w:r>
      <w:r>
        <w:rPr>
          <w:rFonts w:ascii="宋体" w:hAnsi="宋体"/>
          <w:color w:val="000000" w:themeColor="text1"/>
          <w:sz w:val="24"/>
          <w:szCs w:val="24"/>
          <w:highlight w:val="none"/>
          <w14:textFill>
            <w14:solidFill>
              <w14:schemeClr w14:val="tx1"/>
            </w14:solidFill>
          </w14:textFill>
        </w:rPr>
        <w:t>”发布成交结果公告，公告期限为一个工作日</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1.3若有充分证据证明，成交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供应商出现下列情况之一的，一经查实，将被取消成交资格：</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（1）提供虚假材料谋取成交的；</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（2）与评审专家、采购人、其他</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供应商或者采购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工作人员恶意串通的；</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（3）向评审专家、采购人或采购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工作人员行贿或者提供其他不正当利益的；</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（4）恶意竞争，最终总报价明显低于其自身合理成本且又无法提供证明的；</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（5）不满足本磋商文件规定的实质性要求，但在评审过程中又未被磋商小组发现的</w:t>
      </w:r>
      <w:r>
        <w:rPr>
          <w:rFonts w:hint="eastAsia" w:ascii="宋体" w:hAnsi="宋体"/>
          <w:color w:val="000000" w:themeColor="text1"/>
          <w:sz w:val="24"/>
          <w:szCs w:val="24"/>
          <w:highlight w:val="none"/>
          <w14:textFill>
            <w14:solidFill>
              <w14:schemeClr w14:val="tx1"/>
            </w14:solidFill>
          </w14:textFill>
        </w:rPr>
        <w:t>；</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（6）成交后无正当理由拒不与采购人签订政府采购合同或者未按照磋商文件确定的事项签订政府采购合同；</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（7）将政府采购合同转包；</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（8）法律、法规、规章规定的属于成交无效的其他情形。</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2、质疑处理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2.1磋商供应商认为磋商文件、采购过程和采购结果使自己的权益受到损害的，可以在知道或应知其权益受到损害之日起七个工作日内，以书面形式向采购</w:t>
      </w:r>
      <w:r>
        <w:rPr>
          <w:rFonts w:hint="eastAsia" w:ascii="宋体" w:hAnsi="宋体"/>
          <w:color w:val="000000" w:themeColor="text1"/>
          <w:sz w:val="24"/>
          <w:szCs w:val="24"/>
          <w:highlight w:val="none"/>
          <w14:textFill>
            <w14:solidFill>
              <w14:schemeClr w14:val="tx1"/>
            </w14:solidFill>
          </w14:textFill>
        </w:rPr>
        <w:t>代理机构</w:t>
      </w:r>
      <w:r>
        <w:rPr>
          <w:rFonts w:ascii="宋体" w:hAnsi="宋体"/>
          <w:color w:val="000000" w:themeColor="text1"/>
          <w:sz w:val="24"/>
          <w:szCs w:val="24"/>
          <w:highlight w:val="none"/>
          <w14:textFill>
            <w14:solidFill>
              <w14:schemeClr w14:val="tx1"/>
            </w14:solidFill>
          </w14:textFill>
        </w:rPr>
        <w:t>或采购人提出质疑。上述应知其权益受到损害之日，是指：</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（1）对可以质疑的磋商文件提出质疑的，为收到磋商文件之日或者磋商文件公告期限届满之日；</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（2）对采购过程提出质疑的，为各采购程序环节结束之日；</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（3）对成交结果提出质疑的，为成交结果公告期限届满之日。</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2.2质疑必须按《政府采购法》、《政府采购法实施条例》及《江苏省政府采购供应商监督管理暂行办法》的相关规定提交，未按上述要求提交的质疑函（含传真、电子邮件等）采购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有权不予受理。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2.3未参加磋商采购活动的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供应商或在磋商采购活动中自身权益未受到损害的</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供应商所提出的质疑不予受理。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2.4质疑函应当包括下列内容：</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2.4.1质疑</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供应商的名称、地址、邮编、联系人、联系电话；</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2.4.2具体的质疑事项及明确的请求；</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2.4.3认为自己合法权益受到损害或可能受到损害的相关证据材料；</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2.4.4提起质疑的日期；</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2.4.5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将不予受理。质疑人委托代理质疑的，应当向采购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提交授权委托书，并载明委托代理的具体权限和事项。</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2.5采购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收到质疑函后，将对质疑的形式和内容进行审查，如质疑函内容、格式不符合规定，采购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将告知质疑人进行补正。</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2.6质疑人应当在法定质疑期限内进行补正并重新提交质疑函，拒不补正或者在法定期限内未重新提交质疑函的，为无效质疑，采购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有权不予受理。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2.7对于内容、格式符合规定的质疑函，采购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将在收到参加谈判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供应商的书面质疑后七个工作日内作出答复，并以书面形式通知质疑</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供应商和其他相关</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供应商，答复的内容不涉及商业秘密。</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2.8</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供应商提出书面质疑必须有理、有据，不得恶意质疑或提交虚假质疑。否则，一经查实，采购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有权依据政府采购的有关规定，报请政府采购监管部门对该</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供应商进行相应的行政处罚。</w:t>
      </w:r>
      <w:bookmarkStart w:id="157" w:name="_Toc16938553"/>
      <w:bookmarkStart w:id="158" w:name="_Toc513029237"/>
      <w:bookmarkStart w:id="159" w:name="_Toc20823309"/>
    </w:p>
    <w:p>
      <w:pPr>
        <w:spacing w:line="480" w:lineRule="exact"/>
        <w:ind w:firstLine="482" w:firstLineChars="200"/>
        <w:rPr>
          <w:rFonts w:ascii="宋体" w:hAnsi="宋体"/>
          <w:color w:val="000000" w:themeColor="text1"/>
          <w:sz w:val="24"/>
          <w:szCs w:val="24"/>
          <w:highlight w:val="none"/>
          <w:u w:val="single"/>
          <w14:textFill>
            <w14:solidFill>
              <w14:schemeClr w14:val="tx1"/>
            </w14:solidFill>
          </w14:textFill>
        </w:rPr>
      </w:pPr>
      <w:r>
        <w:rPr>
          <w:rFonts w:ascii="宋体" w:hAnsi="宋体"/>
          <w:b/>
          <w:color w:val="000000" w:themeColor="text1"/>
          <w:sz w:val="24"/>
          <w:szCs w:val="24"/>
          <w:highlight w:val="none"/>
          <w14:textFill>
            <w14:solidFill>
              <w14:schemeClr w14:val="tx1"/>
            </w14:solidFill>
          </w14:textFill>
        </w:rPr>
        <w:t>六、合同签订相关事项</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1、签订合同</w:t>
      </w:r>
    </w:p>
    <w:p>
      <w:pPr>
        <w:spacing w:line="480" w:lineRule="exact"/>
        <w:ind w:firstLine="480" w:firstLineChars="200"/>
        <w:rPr>
          <w:rFonts w:ascii="宋体" w:hAnsi="宋体"/>
          <w:color w:val="000000" w:themeColor="text1"/>
          <w:sz w:val="24"/>
          <w:szCs w:val="24"/>
          <w:highlight w:val="none"/>
          <w:u w:val="singl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1.l成交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供应商确定后，采购</w:t>
      </w:r>
      <w:r>
        <w:rPr>
          <w:rFonts w:hint="eastAsia" w:ascii="宋体" w:hAnsi="宋体"/>
          <w:color w:val="000000" w:themeColor="text1"/>
          <w:sz w:val="24"/>
          <w:szCs w:val="24"/>
          <w:highlight w:val="none"/>
          <w14:textFill>
            <w14:solidFill>
              <w14:schemeClr w14:val="tx1"/>
            </w14:solidFill>
          </w14:textFill>
        </w:rPr>
        <w:t>人</w:t>
      </w:r>
      <w:r>
        <w:rPr>
          <w:rFonts w:ascii="宋体" w:hAnsi="宋体"/>
          <w:color w:val="000000" w:themeColor="text1"/>
          <w:sz w:val="24"/>
          <w:szCs w:val="24"/>
          <w:highlight w:val="none"/>
          <w14:textFill>
            <w14:solidFill>
              <w14:schemeClr w14:val="tx1"/>
            </w14:solidFill>
          </w14:textFill>
        </w:rPr>
        <w:t>将向成交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供应商发出中标通知书。成交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供应商应按成交通知书规定的时间、地点</w:t>
      </w:r>
      <w:r>
        <w:rPr>
          <w:rFonts w:hint="eastAsia" w:ascii="宋体" w:hAnsi="宋体"/>
          <w:color w:val="000000" w:themeColor="text1"/>
          <w:sz w:val="24"/>
          <w:szCs w:val="24"/>
          <w:highlight w:val="none"/>
          <w14:textFill>
            <w14:solidFill>
              <w14:schemeClr w14:val="tx1"/>
            </w14:solidFill>
          </w14:textFill>
        </w:rPr>
        <w:t>。</w:t>
      </w:r>
      <w:r>
        <w:rPr>
          <w:rFonts w:ascii="宋体" w:hAnsi="宋体"/>
          <w:color w:val="000000" w:themeColor="text1"/>
          <w:sz w:val="24"/>
          <w:szCs w:val="24"/>
          <w:highlight w:val="none"/>
          <w14:textFill>
            <w14:solidFill>
              <w14:schemeClr w14:val="tx1"/>
            </w14:solidFill>
          </w14:textFill>
        </w:rPr>
        <w:t>按照磋商文件确定的事项与采购人签订政府采购合同，且不得迟于成交通知书发出之日起三十日内，否则由此给采购人造成损失的，成交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供应商还应承担赔偿责任。</w:t>
      </w:r>
    </w:p>
    <w:p>
      <w:pPr>
        <w:spacing w:line="480" w:lineRule="exact"/>
        <w:ind w:firstLine="480" w:firstLineChars="200"/>
        <w:rPr>
          <w:rFonts w:ascii="宋体" w:hAnsi="宋体"/>
          <w:color w:val="000000" w:themeColor="text1"/>
          <w:sz w:val="24"/>
          <w:szCs w:val="24"/>
          <w:highlight w:val="none"/>
          <w14:textFill>
            <w14:solidFill>
              <w14:schemeClr w14:val="tx1"/>
            </w14:solidFill>
          </w14:textFill>
        </w:rPr>
      </w:pPr>
      <w:r>
        <w:rPr>
          <w:rFonts w:ascii="宋体" w:hAnsi="宋体"/>
          <w:color w:val="000000" w:themeColor="text1"/>
          <w:sz w:val="24"/>
          <w:szCs w:val="24"/>
          <w:highlight w:val="none"/>
          <w14:textFill>
            <w14:solidFill>
              <w14:schemeClr w14:val="tx1"/>
            </w14:solidFill>
          </w14:textFill>
        </w:rPr>
        <w:t>1.2 磋商文件、成交</w:t>
      </w:r>
      <w:r>
        <w:rPr>
          <w:rFonts w:hint="eastAsia" w:ascii="宋体" w:hAnsi="宋体"/>
          <w:color w:val="000000" w:themeColor="text1"/>
          <w:sz w:val="24"/>
          <w:szCs w:val="24"/>
          <w:highlight w:val="none"/>
          <w14:textFill>
            <w14:solidFill>
              <w14:schemeClr w14:val="tx1"/>
            </w14:solidFill>
          </w14:textFill>
        </w:rPr>
        <w:t>磋商</w:t>
      </w:r>
      <w:r>
        <w:rPr>
          <w:rFonts w:ascii="宋体" w:hAnsi="宋体"/>
          <w:color w:val="000000" w:themeColor="text1"/>
          <w:sz w:val="24"/>
          <w:szCs w:val="24"/>
          <w:highlight w:val="none"/>
          <w14:textFill>
            <w14:solidFill>
              <w14:schemeClr w14:val="tx1"/>
            </w14:solidFill>
          </w14:textFill>
        </w:rPr>
        <w:t>供应商的响应文件及磋商采购过程中有关澄清、承诺文件均应作为合同附件。</w:t>
      </w:r>
    </w:p>
    <w:p>
      <w:pPr>
        <w:tabs>
          <w:tab w:val="left" w:pos="900"/>
        </w:tabs>
        <w:spacing w:after="145" w:afterLines="50" w:line="480" w:lineRule="exact"/>
        <w:ind w:firstLine="477" w:firstLineChars="199"/>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1.3 签订合同后，成交供应商不得将成交产品或服务进行转包。未经采购人同意，成交供应商也不得采用分包的形式履行合同，否则采购人有权终止合同，成交供应商的履约保证金将不予退还。转包或分包造成采购人损失的，成交供应商应承担相应赔偿责任。</w:t>
      </w:r>
    </w:p>
    <w:bookmarkEnd w:id="157"/>
    <w:bookmarkEnd w:id="158"/>
    <w:bookmarkEnd w:id="159"/>
    <w:p>
      <w:pPr>
        <w:pStyle w:val="24"/>
        <w:spacing w:line="480" w:lineRule="exact"/>
        <w:ind w:firstLine="241" w:firstLineChars="100"/>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七、履约保证金</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1.1在签订合同前，中标人需向招标人交纳履约保证金（请将履约保证金汇款凭证发送至QQ邮箱：532223373@qq.com），具体金额为中标价的5%。拟中标人应当按照招标人的要求及时、足额缴纳履约保证金，履约保证金待项目验收结束后无质量问题</w:t>
      </w:r>
      <w:r>
        <w:rPr>
          <w:rFonts w:asciiTheme="majorEastAsia" w:hAnsiTheme="majorEastAsia" w:eastAsiaTheme="majorEastAsia"/>
          <w:bCs/>
          <w:color w:val="000000" w:themeColor="text1"/>
          <w:sz w:val="24"/>
          <w:highlight w:val="none"/>
          <w14:textFill>
            <w14:solidFill>
              <w14:schemeClr w14:val="tx1"/>
            </w14:solidFill>
          </w14:textFill>
        </w:rPr>
        <w:t>一次性无息退还</w:t>
      </w:r>
      <w:r>
        <w:rPr>
          <w:rFonts w:hint="eastAsia" w:asciiTheme="majorEastAsia" w:hAnsiTheme="majorEastAsia" w:eastAsiaTheme="majorEastAsia"/>
          <w:bCs/>
          <w:color w:val="000000" w:themeColor="text1"/>
          <w:sz w:val="24"/>
          <w:highlight w:val="none"/>
          <w14:textFill>
            <w14:solidFill>
              <w14:schemeClr w14:val="tx1"/>
            </w14:solidFill>
          </w14:textFill>
        </w:rPr>
        <w:t>。</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1.2履约保证金专户帐户信息。</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单位名称：江苏医药职业学院</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开户行名称：建行盐城市城南支行</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银行帐号：32001735038052500575</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地址：江苏省盐城市解放南路283号</w:t>
      </w:r>
    </w:p>
    <w:p>
      <w:pPr>
        <w:spacing w:line="48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电话：0515-88550311</w:t>
      </w:r>
    </w:p>
    <w:p>
      <w:pPr>
        <w:pStyle w:val="24"/>
        <w:spacing w:line="480" w:lineRule="exact"/>
        <w:ind w:firstLine="360" w:firstLineChars="15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1</w:t>
      </w:r>
      <w:r>
        <w:rPr>
          <w:rFonts w:asciiTheme="majorEastAsia" w:hAnsiTheme="majorEastAsia" w:eastAsiaTheme="majorEastAsia"/>
          <w:bCs/>
          <w:color w:val="000000" w:themeColor="text1"/>
          <w:sz w:val="24"/>
          <w:highlight w:val="none"/>
          <w14:textFill>
            <w14:solidFill>
              <w14:schemeClr w14:val="tx1"/>
            </w14:solidFill>
          </w14:textFill>
        </w:rPr>
        <w:t>.</w:t>
      </w:r>
      <w:r>
        <w:rPr>
          <w:rFonts w:hint="eastAsia" w:asciiTheme="majorEastAsia" w:hAnsiTheme="majorEastAsia" w:eastAsiaTheme="majorEastAsia"/>
          <w:bCs/>
          <w:color w:val="000000" w:themeColor="text1"/>
          <w:sz w:val="24"/>
          <w:highlight w:val="none"/>
          <w14:textFill>
            <w14:solidFill>
              <w14:schemeClr w14:val="tx1"/>
            </w14:solidFill>
          </w14:textFill>
        </w:rPr>
        <w:t>3如果拟中标人没有在规定的时间内交纳履约保证金，或对招标项目的质疑（投诉）成立，或拒绝遵守招标文件规定、响应承诺，或拒绝签订合同，或虽签署合同但不予履行等，则取消（拟）中标人资格，已经缴纳的履约保证金作为违约金不予退还。</w:t>
      </w:r>
    </w:p>
    <w:p>
      <w:pPr>
        <w:pStyle w:val="24"/>
        <w:spacing w:line="480" w:lineRule="exact"/>
        <w:ind w:firstLine="360" w:firstLineChars="15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1</w:t>
      </w:r>
      <w:r>
        <w:rPr>
          <w:rFonts w:asciiTheme="majorEastAsia" w:hAnsiTheme="majorEastAsia" w:eastAsiaTheme="majorEastAsia"/>
          <w:bCs/>
          <w:color w:val="000000" w:themeColor="text1"/>
          <w:sz w:val="24"/>
          <w:highlight w:val="none"/>
          <w14:textFill>
            <w14:solidFill>
              <w14:schemeClr w14:val="tx1"/>
            </w14:solidFill>
          </w14:textFill>
        </w:rPr>
        <w:t>.</w:t>
      </w:r>
      <w:r>
        <w:rPr>
          <w:rFonts w:hint="eastAsia" w:asciiTheme="majorEastAsia" w:hAnsiTheme="majorEastAsia" w:eastAsiaTheme="majorEastAsia"/>
          <w:bCs/>
          <w:color w:val="000000" w:themeColor="text1"/>
          <w:sz w:val="24"/>
          <w:highlight w:val="none"/>
          <w14:textFill>
            <w14:solidFill>
              <w14:schemeClr w14:val="tx1"/>
            </w14:solidFill>
          </w14:textFill>
        </w:rPr>
        <w:t>4履约保证金退还：中标人缴纳的履约保证金待项目验收结束后无质量问题</w:t>
      </w:r>
      <w:r>
        <w:rPr>
          <w:rFonts w:asciiTheme="majorEastAsia" w:hAnsiTheme="majorEastAsia" w:eastAsiaTheme="majorEastAsia"/>
          <w:bCs/>
          <w:color w:val="000000" w:themeColor="text1"/>
          <w:sz w:val="24"/>
          <w:highlight w:val="none"/>
          <w14:textFill>
            <w14:solidFill>
              <w14:schemeClr w14:val="tx1"/>
            </w14:solidFill>
          </w14:textFill>
        </w:rPr>
        <w:t>一次性无息退还</w:t>
      </w:r>
      <w:r>
        <w:rPr>
          <w:rFonts w:hint="eastAsia" w:asciiTheme="majorEastAsia" w:hAnsiTheme="majorEastAsia" w:eastAsiaTheme="majorEastAsia"/>
          <w:bCs/>
          <w:color w:val="000000" w:themeColor="text1"/>
          <w:sz w:val="24"/>
          <w:highlight w:val="none"/>
          <w14:textFill>
            <w14:solidFill>
              <w14:schemeClr w14:val="tx1"/>
            </w14:solidFill>
          </w14:textFill>
        </w:rPr>
        <w:t>，（凭“保证金请退函”到学校国资处办理退款手续）。如果中标人不履行合同约定的义务，未能完全履行合同规定的义务或其履行不符合合同的约定，招标人有权扣除履约保证金取得补偿。</w:t>
      </w:r>
    </w:p>
    <w:p>
      <w:pPr>
        <w:pStyle w:val="24"/>
        <w:spacing w:line="480" w:lineRule="exact"/>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八、招标代理服务费</w:t>
      </w:r>
    </w:p>
    <w:p>
      <w:pPr>
        <w:spacing w:line="48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1.1 招标代理服务组织费：中标人须按发改价格[2011]534号文件中“服务类”招标收费标准32%的金额向盐城市天平建设监理有限公司支付招标代理服务费，不足2000元按2000元收取，并一次性付清，此项费用含在投标报价中不得单列，招标人不再另行支付。</w:t>
      </w:r>
    </w:p>
    <w:p>
      <w:pPr>
        <w:spacing w:line="480" w:lineRule="exact"/>
        <w:ind w:firstLine="480" w:firstLineChars="2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1.2</w:t>
      </w:r>
      <w:r>
        <w:rPr>
          <w:rFonts w:cs="宋体" w:asciiTheme="majorEastAsia" w:hAnsiTheme="majorEastAsia" w:eastAsiaTheme="majorEastAsia"/>
          <w:color w:val="000000" w:themeColor="text1"/>
          <w:sz w:val="24"/>
          <w:szCs w:val="24"/>
          <w:highlight w:val="none"/>
          <w14:textFill>
            <w14:solidFill>
              <w14:schemeClr w14:val="tx1"/>
            </w14:solidFill>
          </w14:textFill>
        </w:rPr>
        <w:t>招标代理服务收费按差额定率累进法计算</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。以中标通知书中确定的中标金额作为收费的计算依据执行收取。中标金额的各部分费率如下表：</w:t>
      </w:r>
    </w:p>
    <w:p>
      <w:pPr>
        <w:pStyle w:val="2"/>
        <w:rPr>
          <w:color w:val="000000" w:themeColor="text1"/>
          <w:highlight w:val="none"/>
          <w14:textFill>
            <w14:solidFill>
              <w14:schemeClr w14:val="tx1"/>
            </w14:solidFill>
          </w14:textFill>
        </w:rPr>
      </w:pPr>
    </w:p>
    <w:tbl>
      <w:tblPr>
        <w:tblStyle w:val="46"/>
        <w:tblpPr w:leftFromText="180" w:rightFromText="180" w:vertAnchor="page" w:horzAnchor="margin" w:tblpY="9880"/>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2410"/>
        <w:gridCol w:w="1985"/>
        <w:gridCol w:w="2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restart"/>
            <w:vAlign w:val="center"/>
          </w:tcPr>
          <w:p>
            <w:pPr>
              <w:spacing w:line="480" w:lineRule="exact"/>
              <w:ind w:firstLine="316" w:firstLineChars="150"/>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中标金额(万元)</w:t>
            </w:r>
          </w:p>
        </w:tc>
        <w:tc>
          <w:tcPr>
            <w:tcW w:w="6913" w:type="dxa"/>
            <w:gridSpan w:val="3"/>
            <w:vAlign w:val="center"/>
          </w:tcPr>
          <w:p>
            <w:pPr>
              <w:spacing w:line="480" w:lineRule="exac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服务类型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Merge w:val="continue"/>
            <w:vAlign w:val="center"/>
          </w:tcPr>
          <w:p>
            <w:pPr>
              <w:tabs>
                <w:tab w:val="right" w:pos="1914"/>
              </w:tabs>
              <w:spacing w:line="480" w:lineRule="exact"/>
              <w:ind w:firstLine="316" w:firstLineChars="150"/>
              <w:jc w:val="center"/>
              <w:rPr>
                <w:rFonts w:asciiTheme="majorEastAsia" w:hAnsiTheme="majorEastAsia" w:eastAsiaTheme="majorEastAsia"/>
                <w:b/>
                <w:color w:val="000000" w:themeColor="text1"/>
                <w:highlight w:val="none"/>
                <w14:textFill>
                  <w14:solidFill>
                    <w14:schemeClr w14:val="tx1"/>
                  </w14:solidFill>
                </w14:textFill>
              </w:rPr>
            </w:pPr>
          </w:p>
        </w:tc>
        <w:tc>
          <w:tcPr>
            <w:tcW w:w="2410" w:type="dxa"/>
            <w:vAlign w:val="center"/>
          </w:tcPr>
          <w:p>
            <w:pPr>
              <w:spacing w:line="480" w:lineRule="exac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货物招标</w:t>
            </w:r>
          </w:p>
        </w:tc>
        <w:tc>
          <w:tcPr>
            <w:tcW w:w="1985" w:type="dxa"/>
            <w:vAlign w:val="center"/>
          </w:tcPr>
          <w:p>
            <w:pPr>
              <w:spacing w:line="480" w:lineRule="exac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服务招标</w:t>
            </w:r>
          </w:p>
        </w:tc>
        <w:tc>
          <w:tcPr>
            <w:tcW w:w="2518" w:type="dxa"/>
            <w:vAlign w:val="center"/>
          </w:tcPr>
          <w:p>
            <w:pPr>
              <w:spacing w:line="480" w:lineRule="exac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工程招标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100以下</w:t>
            </w:r>
          </w:p>
        </w:tc>
        <w:tc>
          <w:tcPr>
            <w:tcW w:w="2410"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1.5%</w:t>
            </w:r>
          </w:p>
        </w:tc>
        <w:tc>
          <w:tcPr>
            <w:tcW w:w="1985"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1.5%</w:t>
            </w:r>
          </w:p>
        </w:tc>
        <w:tc>
          <w:tcPr>
            <w:tcW w:w="2518"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409"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100-500</w:t>
            </w:r>
          </w:p>
        </w:tc>
        <w:tc>
          <w:tcPr>
            <w:tcW w:w="2410"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1.1%</w:t>
            </w:r>
          </w:p>
        </w:tc>
        <w:tc>
          <w:tcPr>
            <w:tcW w:w="1985"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0.8%</w:t>
            </w:r>
          </w:p>
        </w:tc>
        <w:tc>
          <w:tcPr>
            <w:tcW w:w="2518" w:type="dxa"/>
            <w:vAlign w:val="center"/>
          </w:tcPr>
          <w:p>
            <w:pPr>
              <w:spacing w:line="480" w:lineRule="exact"/>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0.7%</w:t>
            </w:r>
          </w:p>
        </w:tc>
      </w:tr>
    </w:tbl>
    <w:p>
      <w:pPr>
        <w:pStyle w:val="2"/>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rFonts w:asciiTheme="majorEastAsia" w:hAnsiTheme="majorEastAsia" w:eastAsiaTheme="majorEastAsia"/>
          <w:b/>
          <w:color w:val="000000" w:themeColor="text1"/>
          <w:sz w:val="44"/>
          <w:szCs w:val="44"/>
          <w:highlight w:val="none"/>
          <w14:textFill>
            <w14:solidFill>
              <w14:schemeClr w14:val="tx1"/>
            </w14:solidFill>
          </w14:textFill>
        </w:rPr>
      </w:pPr>
    </w:p>
    <w:p>
      <w:pPr>
        <w:pStyle w:val="24"/>
        <w:rPr>
          <w:rFonts w:asciiTheme="majorEastAsia" w:hAnsiTheme="majorEastAsia" w:eastAsiaTheme="majorEastAsia"/>
          <w:b/>
          <w:color w:val="000000" w:themeColor="text1"/>
          <w:sz w:val="44"/>
          <w:szCs w:val="44"/>
          <w:highlight w:val="none"/>
          <w14:textFill>
            <w14:solidFill>
              <w14:schemeClr w14:val="tx1"/>
            </w14:solidFill>
          </w14:textFill>
        </w:rPr>
      </w:pPr>
    </w:p>
    <w:p>
      <w:pPr>
        <w:pStyle w:val="24"/>
        <w:rPr>
          <w:rFonts w:asciiTheme="majorEastAsia" w:hAnsiTheme="majorEastAsia" w:eastAsiaTheme="majorEastAsia"/>
          <w:b/>
          <w:color w:val="000000" w:themeColor="text1"/>
          <w:sz w:val="44"/>
          <w:szCs w:val="44"/>
          <w:highlight w:val="none"/>
          <w14:textFill>
            <w14:solidFill>
              <w14:schemeClr w14:val="tx1"/>
            </w14:solidFill>
          </w14:textFill>
        </w:rPr>
      </w:pPr>
    </w:p>
    <w:p>
      <w:pPr>
        <w:pStyle w:val="24"/>
        <w:rPr>
          <w:rFonts w:asciiTheme="majorEastAsia" w:hAnsiTheme="majorEastAsia" w:eastAsiaTheme="majorEastAsia"/>
          <w:b/>
          <w:color w:val="000000" w:themeColor="text1"/>
          <w:sz w:val="44"/>
          <w:szCs w:val="44"/>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第三章  合同条款及</w:t>
      </w:r>
      <w:bookmarkEnd w:id="46"/>
      <w:bookmarkEnd w:id="47"/>
      <w:bookmarkEnd w:id="48"/>
      <w:bookmarkEnd w:id="49"/>
      <w:bookmarkEnd w:id="50"/>
      <w:r>
        <w:rPr>
          <w:rFonts w:hint="eastAsia" w:asciiTheme="majorEastAsia" w:hAnsiTheme="majorEastAsia" w:eastAsiaTheme="majorEastAsia"/>
          <w:b/>
          <w:color w:val="000000" w:themeColor="text1"/>
          <w:sz w:val="44"/>
          <w:szCs w:val="44"/>
          <w:highlight w:val="none"/>
          <w14:textFill>
            <w14:solidFill>
              <w14:schemeClr w14:val="tx1"/>
            </w14:solidFill>
          </w14:textFill>
        </w:rPr>
        <w:t>格式</w:t>
      </w:r>
    </w:p>
    <w:p>
      <w:pPr>
        <w:pStyle w:val="2"/>
        <w:rPr>
          <w:rFonts w:asciiTheme="majorEastAsia" w:hAnsiTheme="majorEastAsia" w:eastAsiaTheme="majorEastAsia"/>
          <w:color w:val="000000" w:themeColor="text1"/>
          <w:highlight w:val="none"/>
          <w14:textFill>
            <w14:solidFill>
              <w14:schemeClr w14:val="tx1"/>
            </w14:solidFill>
          </w14:textFill>
        </w:rPr>
      </w:pPr>
    </w:p>
    <w:p>
      <w:pPr>
        <w:spacing w:line="480" w:lineRule="exact"/>
        <w:ind w:firstLine="480" w:firstLineChars="200"/>
        <w:rPr>
          <w:rFonts w:asciiTheme="majorEastAsia" w:hAnsiTheme="majorEastAsia" w:eastAsiaTheme="majorEastAsia"/>
          <w:color w:val="000000" w:themeColor="text1"/>
          <w:kern w:val="0"/>
          <w:sz w:val="24"/>
          <w:highlight w:val="none"/>
          <w14:textFill>
            <w14:solidFill>
              <w14:schemeClr w14:val="tx1"/>
            </w14:solidFill>
          </w14:textFill>
        </w:rPr>
      </w:pPr>
      <w:bookmarkStart w:id="160" w:name="_Toc20823346"/>
      <w:bookmarkStart w:id="161" w:name="_Toc120614244"/>
      <w:bookmarkStart w:id="162" w:name="_Toc16938590"/>
      <w:bookmarkStart w:id="163" w:name="_Hlt16619350"/>
      <w:bookmarkStart w:id="164" w:name="_Toc120614281"/>
      <w:bookmarkStart w:id="165" w:name="_Toc462564139"/>
      <w:bookmarkStart w:id="166" w:name="_Toc49090575"/>
      <w:bookmarkStart w:id="167" w:name="_Toc26554093"/>
      <w:bookmarkStart w:id="168" w:name="_Toc479757211"/>
      <w:r>
        <w:rPr>
          <w:rFonts w:hint="eastAsia" w:asciiTheme="majorEastAsia" w:hAnsiTheme="majorEastAsia" w:eastAsiaTheme="majorEastAsia"/>
          <w:color w:val="000000" w:themeColor="text1"/>
          <w:kern w:val="0"/>
          <w:sz w:val="24"/>
          <w:highlight w:val="none"/>
          <w14:textFill>
            <w14:solidFill>
              <w14:schemeClr w14:val="tx1"/>
            </w14:solidFill>
          </w14:textFill>
        </w:rPr>
        <w:t>以下为成交后签定本项目合同的通用条款，中标人不得提出实质性的修改，关于专用条款将由招标人与中标人结合本项目具体情况协商后签订。</w:t>
      </w:r>
    </w:p>
    <w:p>
      <w:pPr>
        <w:pStyle w:val="24"/>
        <w:spacing w:line="480" w:lineRule="exact"/>
        <w:rPr>
          <w:rFonts w:asciiTheme="majorEastAsia" w:hAnsiTheme="majorEastAsia" w:eastAsiaTheme="majorEastAsia"/>
          <w:color w:val="000000" w:themeColor="text1"/>
          <w:highlight w:val="none"/>
          <w14:textFill>
            <w14:solidFill>
              <w14:schemeClr w14:val="tx1"/>
            </w14:solidFill>
          </w14:textFill>
        </w:rPr>
      </w:pPr>
    </w:p>
    <w:p>
      <w:pPr>
        <w:pStyle w:val="24"/>
        <w:spacing w:line="480" w:lineRule="exact"/>
        <w:jc w:val="center"/>
        <w:rPr>
          <w:rFonts w:asciiTheme="majorEastAsia" w:hAnsiTheme="majorEastAsia" w:eastAsiaTheme="majorEastAsia"/>
          <w:color w:val="000000" w:themeColor="text1"/>
          <w:sz w:val="44"/>
          <w:szCs w:val="32"/>
          <w:highlight w:val="none"/>
          <w14:textFill>
            <w14:solidFill>
              <w14:schemeClr w14:val="tx1"/>
            </w14:solidFill>
          </w14:textFill>
        </w:rPr>
      </w:pPr>
      <w:r>
        <w:rPr>
          <w:rFonts w:hint="eastAsia" w:asciiTheme="majorEastAsia" w:hAnsiTheme="majorEastAsia" w:eastAsiaTheme="majorEastAsia"/>
          <w:color w:val="000000" w:themeColor="text1"/>
          <w:sz w:val="44"/>
          <w:szCs w:val="32"/>
          <w:highlight w:val="none"/>
          <w14:textFill>
            <w14:solidFill>
              <w14:schemeClr w14:val="tx1"/>
            </w14:solidFill>
          </w14:textFill>
        </w:rPr>
        <w:t>政府采购合同</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一、采购标的</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 xml:space="preserve">1.1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产品</w:t>
      </w:r>
      <w:r>
        <w:rPr>
          <w:rFonts w:cs="宋体" w:asciiTheme="majorEastAsia" w:hAnsiTheme="majorEastAsia" w:eastAsiaTheme="majorEastAsia"/>
          <w:color w:val="000000" w:themeColor="text1"/>
          <w:sz w:val="24"/>
          <w:szCs w:val="24"/>
          <w:highlight w:val="none"/>
          <w14:textFill>
            <w14:solidFill>
              <w14:schemeClr w14:val="tx1"/>
            </w14:solidFill>
          </w14:textFill>
        </w:rPr>
        <w:t>/</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服务内容：</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 xml:space="preserve">1.2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服务期：</w:t>
      </w:r>
      <w:r>
        <w:rPr>
          <w:rFonts w:cs="宋体" w:asciiTheme="majorEastAsia" w:hAnsiTheme="majorEastAsia" w:eastAsiaTheme="majorEastAsia"/>
          <w:color w:val="000000" w:themeColor="text1"/>
          <w:sz w:val="24"/>
          <w:szCs w:val="24"/>
          <w:highlight w:val="none"/>
          <w14:textFill>
            <w14:solidFill>
              <w14:schemeClr w14:val="tx1"/>
            </w14:solidFill>
          </w14:textFill>
        </w:rPr>
        <w:t>三年，合同一年一签，按上年服务的考核结果，由学校主张是否可以续签一年。</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 xml:space="preserve">1.3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质量：符合国家相关规定及招标文件规定的标准执行。</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二、合同金额及履约担保</w:t>
      </w:r>
    </w:p>
    <w:p>
      <w:pPr>
        <w:autoSpaceDE w:val="0"/>
        <w:autoSpaceDN w:val="0"/>
        <w:adjustRightInd w:val="0"/>
        <w:spacing w:line="440" w:lineRule="exact"/>
        <w:ind w:firstLine="48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cs="宋体" w:asciiTheme="majorEastAsia" w:hAnsiTheme="majorEastAsia" w:eastAsiaTheme="majorEastAsia"/>
          <w:color w:val="000000" w:themeColor="text1"/>
          <w:sz w:val="24"/>
          <w:szCs w:val="24"/>
          <w:highlight w:val="none"/>
          <w14:textFill>
            <w14:solidFill>
              <w14:schemeClr w14:val="tx1"/>
            </w14:solidFill>
          </w14:textFill>
        </w:rPr>
        <w:t xml:space="preserve">2.1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本合同金额为（大写）：</w:t>
      </w:r>
      <w:r>
        <w:rPr>
          <w:rFonts w:cs="宋体" w:asciiTheme="majorEastAsia" w:hAnsiTheme="majorEastAsia" w:eastAsiaTheme="majorEastAsia"/>
          <w:color w:val="000000" w:themeColor="text1"/>
          <w:sz w:val="24"/>
          <w:szCs w:val="24"/>
          <w:highlight w:val="none"/>
          <w14:textFill>
            <w14:solidFill>
              <w14:schemeClr w14:val="tx1"/>
            </w14:solidFill>
          </w14:textFill>
        </w:rPr>
        <w:t>_______</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元（</w:t>
      </w:r>
      <w:r>
        <w:rPr>
          <w:rFonts w:cs="宋体" w:asciiTheme="majorEastAsia" w:hAnsiTheme="majorEastAsia" w:eastAsiaTheme="majorEastAsia"/>
          <w:color w:val="000000" w:themeColor="text1"/>
          <w:sz w:val="24"/>
          <w:szCs w:val="24"/>
          <w:highlight w:val="none"/>
          <w14:textFill>
            <w14:solidFill>
              <w14:schemeClr w14:val="tx1"/>
            </w14:solidFill>
          </w14:textFill>
        </w:rPr>
        <w:t>________</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元）人民币。本合同总价款是完成本项目所发生的所有含税费用、支付给员工的工资和国家强制缴纳的各种社会保障资金，以及甲方认为需要的其他费用等，甲方在上述合同价款之外不再向乙方支付其他任何费用。</w:t>
      </w:r>
    </w:p>
    <w:p>
      <w:pPr>
        <w:autoSpaceDE w:val="0"/>
        <w:autoSpaceDN w:val="0"/>
        <w:adjustRightInd w:val="0"/>
        <w:spacing w:line="440" w:lineRule="exact"/>
        <w:ind w:firstLine="48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cs="宋体" w:asciiTheme="majorEastAsia" w:hAnsiTheme="majorEastAsia" w:eastAsiaTheme="majorEastAsia"/>
          <w:color w:val="000000" w:themeColor="text1"/>
          <w:sz w:val="24"/>
          <w:szCs w:val="24"/>
          <w:highlight w:val="none"/>
          <w14:textFill>
            <w14:solidFill>
              <w14:schemeClr w14:val="tx1"/>
            </w14:solidFill>
          </w14:textFill>
        </w:rPr>
        <w:t>2.2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在签订合同前，中标人需向招标人交纳人民币_______元作为本合同的履约保证金（具体金额为中标价的5%）。履约保证金以转帐或电汇或网汇形式汇转至招标人指定帐户并存于招标人处，待项目验收结束后无质量问题一次性无息退还。</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三、付款：本项目按形象进度付款，具体付款</w:t>
      </w:r>
      <w:r>
        <w:rPr>
          <w:rFonts w:hint="eastAsia" w:asciiTheme="majorEastAsia" w:hAnsiTheme="majorEastAsia" w:eastAsiaTheme="majorEastAsia"/>
          <w:b/>
          <w:color w:val="000000" w:themeColor="text1"/>
          <w:kern w:val="0"/>
          <w:sz w:val="24"/>
          <w:highlight w:val="none"/>
          <w14:textFill>
            <w14:solidFill>
              <w14:schemeClr w14:val="tx1"/>
            </w14:solidFill>
          </w14:textFill>
        </w:rPr>
        <w:t>进</w:t>
      </w: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度如下：</w:t>
      </w:r>
    </w:p>
    <w:p>
      <w:pPr>
        <w:pStyle w:val="2"/>
        <w:spacing w:line="440" w:lineRule="exact"/>
        <w:ind w:firstLine="48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所有新形态出版教材不预付款，正式出版后，供应商</w:t>
      </w:r>
      <w:r>
        <w:rPr>
          <w:rFonts w:cs="宋体" w:asciiTheme="majorEastAsia" w:hAnsiTheme="majorEastAsia" w:eastAsiaTheme="majorEastAsia"/>
          <w:color w:val="000000" w:themeColor="text1"/>
          <w:sz w:val="24"/>
          <w:szCs w:val="24"/>
          <w:highlight w:val="none"/>
          <w14:textFill>
            <w14:solidFill>
              <w14:schemeClr w14:val="tx1"/>
            </w14:solidFill>
          </w14:textFill>
        </w:rPr>
        <w:t>按中标</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金额出具发票，由学校一次性统一支付结算费用</w:t>
      </w:r>
      <w:r>
        <w:rPr>
          <w:rFonts w:cs="宋体" w:asciiTheme="majorEastAsia" w:hAnsiTheme="majorEastAsia" w:eastAsiaTheme="majorEastAsia"/>
          <w:color w:val="000000" w:themeColor="text1"/>
          <w:sz w:val="24"/>
          <w:szCs w:val="24"/>
          <w:highlight w:val="none"/>
          <w14:textFill>
            <w14:solidFill>
              <w14:schemeClr w14:val="tx1"/>
            </w14:solidFill>
          </w14:textFill>
        </w:rPr>
        <w:t xml:space="preserve">。 </w:t>
      </w:r>
    </w:p>
    <w:p>
      <w:pPr>
        <w:pStyle w:val="2"/>
        <w:spacing w:line="440" w:lineRule="exact"/>
        <w:ind w:firstLine="48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以上付款均以人民币通过银行支付, 付款前需提供我院财务处认可的增值税发票（仪器设备须开增值税专用发票）。</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四、技术资料</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4.1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乙方应按招标文件规定的时间向甲方提供有关技术资料。</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4.2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没有甲方事先书面同意，乙方不得将由甲方提供的有关合同或任何合同条文、规格、计划、图纸、样品或资料提供给与履行本合同无关的任何其他人。即使向履行本合同有关的人员提供，也应注意保密并限于履行合同的必需范围。</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五、知识产权</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乙方应保证甲方在使用、接受本合同中产品和服务或其任何一部分时不受第三方提出侵犯其专利权、版权、商标权和工业设计权等知识产权的起诉。一旦出现侵权，由乙方负全部责任，包括但不限于民事赔偿责任，如果甲方被索赔，乙方应赔偿由此造成甲方的诉讼费、保全费、律师代理费、调查取证费、公证费、车旅费等一切经济损失。</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六、产权担保</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乙方保证所交付标的的所有权完全属于乙方且无任何抵押、查封等产权瑕疵。</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七、转包或分包</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7.1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本合同范围内产品和服务，应由乙方直接供应，不得转包他人供应。</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7.2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除非得到甲方的书面同意，乙方不得部分分包给他人供应。</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八、</w:t>
      </w:r>
      <w:r>
        <w:rPr>
          <w:rFonts w:hint="eastAsia" w:asciiTheme="majorEastAsia" w:hAnsiTheme="majorEastAsia" w:eastAsiaTheme="majorEastAsia"/>
          <w:b/>
          <w:color w:val="000000" w:themeColor="text1"/>
          <w:kern w:val="0"/>
          <w:sz w:val="24"/>
          <w:highlight w:val="none"/>
          <w14:textFill>
            <w14:solidFill>
              <w14:schemeClr w14:val="tx1"/>
            </w14:solidFill>
          </w14:textFill>
        </w:rPr>
        <w:t>质量保证</w:t>
      </w:r>
    </w:p>
    <w:p>
      <w:pPr>
        <w:autoSpaceDE w:val="0"/>
        <w:autoSpaceDN w:val="0"/>
        <w:adjustRightInd w:val="0"/>
        <w:spacing w:line="440" w:lineRule="exact"/>
        <w:ind w:firstLine="48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乙方所提供的服务的技术规格应与采购文件规定的技术规格及所附的</w:t>
      </w:r>
      <w:r>
        <w:rPr>
          <w:rFonts w:cs="宋体" w:asciiTheme="majorEastAsia" w:hAnsiTheme="majorEastAsia" w:eastAsiaTheme="majorEastAsia"/>
          <w:color w:val="000000" w:themeColor="text1"/>
          <w:sz w:val="24"/>
          <w:szCs w:val="24"/>
          <w:highlight w:val="none"/>
          <w14:textFill>
            <w14:solidFill>
              <w14:schemeClr w14:val="tx1"/>
            </w14:solidFill>
          </w14:textFill>
        </w:rPr>
        <w:t>“</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技术条款偏离表</w:t>
      </w:r>
      <w:r>
        <w:rPr>
          <w:rFonts w:cs="宋体" w:asciiTheme="majorEastAsia" w:hAnsiTheme="majorEastAsia" w:eastAsiaTheme="majorEastAsia"/>
          <w:color w:val="000000" w:themeColor="text1"/>
          <w:sz w:val="24"/>
          <w:szCs w:val="24"/>
          <w:highlight w:val="none"/>
          <w14:textFill>
            <w14:solidFill>
              <w14:schemeClr w14:val="tx1"/>
            </w14:solidFill>
          </w14:textFill>
        </w:rPr>
        <w:t>”</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相一致；若技术性能无特殊说明，则按国家有关部门最新颁布的标准及规范为准。</w:t>
      </w:r>
    </w:p>
    <w:p>
      <w:pPr>
        <w:autoSpaceDE w:val="0"/>
        <w:autoSpaceDN w:val="0"/>
        <w:adjustRightInd w:val="0"/>
        <w:spacing w:line="440" w:lineRule="exact"/>
        <w:ind w:firstLine="480"/>
        <w:jc w:val="left"/>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九、税费</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本合同执行中相关的一切税费均由乙方负担。</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十、验收</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0</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甲方对乙方提交的产品和服务依据招标文件中项目需求要求、乙方响应文件及本合同中的相关约定进行验收。</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0</w:t>
      </w:r>
      <w:r>
        <w:rPr>
          <w:rFonts w:cs="宋体" w:asciiTheme="majorEastAsia" w:hAnsiTheme="majorEastAsia" w:eastAsiaTheme="majorEastAsia"/>
          <w:color w:val="000000" w:themeColor="text1"/>
          <w:sz w:val="24"/>
          <w:szCs w:val="24"/>
          <w:highlight w:val="none"/>
          <w14:textFill>
            <w14:solidFill>
              <w14:schemeClr w14:val="tx1"/>
            </w14:solidFill>
          </w14:textFill>
        </w:rPr>
        <w:t>.2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乙方提请项目验收前应对产品和服务作出全面检查和对验收文件进行整理，并列出清单，作为甲方验收和使用的技术条件依据，检验的结果提交甲方。</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0</w:t>
      </w:r>
      <w:r>
        <w:rPr>
          <w:rFonts w:cs="宋体" w:asciiTheme="majorEastAsia" w:hAnsiTheme="majorEastAsia" w:eastAsiaTheme="majorEastAsia"/>
          <w:color w:val="000000" w:themeColor="text1"/>
          <w:sz w:val="24"/>
          <w:szCs w:val="24"/>
          <w:highlight w:val="none"/>
          <w14:textFill>
            <w14:solidFill>
              <w14:schemeClr w14:val="tx1"/>
            </w14:solidFill>
          </w14:textFill>
        </w:rPr>
        <w:t>.3</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验收时乙方必须在现场，验收完毕后作出验收意见。</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十一、合同内容的交付</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乙方应保证合同标的安全运达甲方指定地点。</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w:t>
      </w:r>
      <w:r>
        <w:rPr>
          <w:rFonts w:cs="宋体" w:asciiTheme="majorEastAsia" w:hAnsiTheme="majorEastAsia" w:eastAsiaTheme="majorEastAsia"/>
          <w:color w:val="000000" w:themeColor="text1"/>
          <w:sz w:val="24"/>
          <w:szCs w:val="24"/>
          <w:highlight w:val="none"/>
          <w14:textFill>
            <w14:solidFill>
              <w14:schemeClr w14:val="tx1"/>
            </w14:solidFill>
          </w14:textFill>
        </w:rPr>
        <w:t>.2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使用说明书、质量检验证明书一并提交甲方。</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w:t>
      </w:r>
      <w:r>
        <w:rPr>
          <w:rFonts w:cs="宋体" w:asciiTheme="majorEastAsia" w:hAnsiTheme="majorEastAsia" w:eastAsiaTheme="majorEastAsia"/>
          <w:color w:val="000000" w:themeColor="text1"/>
          <w:sz w:val="24"/>
          <w:szCs w:val="24"/>
          <w:highlight w:val="none"/>
          <w14:textFill>
            <w14:solidFill>
              <w14:schemeClr w14:val="tx1"/>
            </w14:solidFill>
          </w14:textFill>
        </w:rPr>
        <w:t>.3</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乙方在合同标的交付甲方</w:t>
      </w:r>
      <w:r>
        <w:rPr>
          <w:rFonts w:cs="宋体" w:asciiTheme="majorEastAsia" w:hAnsiTheme="majorEastAsia" w:eastAsiaTheme="majorEastAsia"/>
          <w:color w:val="000000" w:themeColor="text1"/>
          <w:sz w:val="24"/>
          <w:szCs w:val="24"/>
          <w:highlight w:val="none"/>
          <w14:textFill>
            <w14:solidFill>
              <w14:schemeClr w14:val="tx1"/>
            </w14:solidFill>
          </w14:textFill>
        </w:rPr>
        <w:t>48</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小时前通知甲方准备接收。</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w:t>
      </w:r>
      <w:r>
        <w:rPr>
          <w:rFonts w:cs="宋体" w:asciiTheme="majorEastAsia" w:hAnsiTheme="majorEastAsia" w:eastAsiaTheme="majorEastAsia"/>
          <w:color w:val="000000" w:themeColor="text1"/>
          <w:sz w:val="24"/>
          <w:szCs w:val="24"/>
          <w:highlight w:val="none"/>
          <w14:textFill>
            <w14:solidFill>
              <w14:schemeClr w14:val="tx1"/>
            </w14:solidFill>
          </w14:textFill>
        </w:rPr>
        <w:t>.4</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xml:space="preserve"> 合同标的在交付甲方前发生的风险均由乙方负责。</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十二、违约责任</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2</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合同生效后，甲方或乙方如有违约，应按《中华人民共和国民法典》承担其违约责任，赔偿因其违约给对方造成的损失。具体由双方在合同中约定赔偿损失的计算方法或者约定支付违约金的数额或计算方法。</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2</w:t>
      </w:r>
      <w:r>
        <w:rPr>
          <w:rFonts w:cs="宋体" w:asciiTheme="majorEastAsia" w:hAnsiTheme="majorEastAsia" w:eastAsiaTheme="majorEastAsia"/>
          <w:color w:val="000000" w:themeColor="text1"/>
          <w:sz w:val="24"/>
          <w:szCs w:val="24"/>
          <w:highlight w:val="none"/>
          <w14:textFill>
            <w14:solidFill>
              <w14:schemeClr w14:val="tx1"/>
            </w14:solidFill>
          </w14:textFill>
        </w:rPr>
        <w:t>.2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乙方所交的产品和服务不符合招标文件项目需求要求、乙方响应文件承诺的，甲方有权拒收，乙方愿意更换但逾期交付的，按乙方逾期交付处理。乙方拒绝更换的，甲方可单方面解除合同，并由乙方赔偿由此造成的甲方全部损失，包括但不限于由此产生的甲方的诉讼费、保全费、律师代理费、调查取证费、公证费、车旅费等一切经济损失。</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十三、不可抗力事件处理</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在合同有效期内，任何一方因不可抗力事件导致不能履行合同，则合同履行期延长，其延长期与不可抗力影响期相同。</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w:t>
      </w:r>
      <w:r>
        <w:rPr>
          <w:rFonts w:cs="宋体" w:asciiTheme="majorEastAsia" w:hAnsiTheme="majorEastAsia" w:eastAsiaTheme="majorEastAsia"/>
          <w:color w:val="000000" w:themeColor="text1"/>
          <w:sz w:val="24"/>
          <w:szCs w:val="24"/>
          <w:highlight w:val="none"/>
          <w14:textFill>
            <w14:solidFill>
              <w14:schemeClr w14:val="tx1"/>
            </w14:solidFill>
          </w14:textFill>
        </w:rPr>
        <w:t>.2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不可抗力事件发生后，应立即通知对方，并寄送有关权威机构出具的证明。</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3</w:t>
      </w:r>
      <w:r>
        <w:rPr>
          <w:rFonts w:cs="宋体" w:asciiTheme="majorEastAsia" w:hAnsiTheme="majorEastAsia" w:eastAsiaTheme="majorEastAsia"/>
          <w:color w:val="000000" w:themeColor="text1"/>
          <w:sz w:val="24"/>
          <w:szCs w:val="24"/>
          <w:highlight w:val="none"/>
          <w14:textFill>
            <w14:solidFill>
              <w14:schemeClr w14:val="tx1"/>
            </w14:solidFill>
          </w14:textFill>
        </w:rPr>
        <w:t>.3</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不可抗力事件延续</w:t>
      </w:r>
      <w:r>
        <w:rPr>
          <w:rFonts w:cs="宋体" w:asciiTheme="majorEastAsia" w:hAnsiTheme="majorEastAsia" w:eastAsiaTheme="majorEastAsia"/>
          <w:color w:val="000000" w:themeColor="text1"/>
          <w:sz w:val="24"/>
          <w:szCs w:val="24"/>
          <w:highlight w:val="none"/>
          <w14:textFill>
            <w14:solidFill>
              <w14:schemeClr w14:val="tx1"/>
            </w14:solidFill>
          </w14:textFill>
        </w:rPr>
        <w:t>120</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天以上，双方应通过友好协商，确定是否继续履行合同。</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十四、争议解决方式</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因本合同发生的一切争议，双方友好协商。如协商不成，可向甲方住所地法院起诉。</w:t>
      </w:r>
    </w:p>
    <w:p>
      <w:pPr>
        <w:snapToGrid w:val="0"/>
        <w:spacing w:before="120" w:after="120" w:line="440" w:lineRule="exact"/>
        <w:ind w:firstLine="482" w:firstLineChars="200"/>
        <w:rPr>
          <w:rFonts w:asciiTheme="majorEastAsia" w:hAnsiTheme="majorEastAsia" w:eastAsiaTheme="majorEastAsia"/>
          <w:b/>
          <w:color w:val="000000" w:themeColor="text1"/>
          <w:kern w:val="0"/>
          <w:sz w:val="24"/>
          <w:highlight w:val="none"/>
          <w:lang w:val="zh-CN"/>
          <w14:textFill>
            <w14:solidFill>
              <w14:schemeClr w14:val="tx1"/>
            </w14:solidFill>
          </w14:textFill>
        </w:rPr>
      </w:pPr>
      <w:r>
        <w:rPr>
          <w:rFonts w:hint="eastAsia" w:asciiTheme="majorEastAsia" w:hAnsiTheme="majorEastAsia" w:eastAsiaTheme="majorEastAsia"/>
          <w:b/>
          <w:color w:val="000000" w:themeColor="text1"/>
          <w:kern w:val="0"/>
          <w:sz w:val="24"/>
          <w:highlight w:val="none"/>
          <w:lang w:val="zh-CN"/>
          <w14:textFill>
            <w14:solidFill>
              <w14:schemeClr w14:val="tx1"/>
            </w14:solidFill>
          </w14:textFill>
        </w:rPr>
        <w:t>十五、合同生效及其它</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5</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合同经双方法定代表人或授权委托代表人签字并加盖单位公章之日起生效。</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5</w:t>
      </w:r>
      <w:r>
        <w:rPr>
          <w:rFonts w:cs="宋体" w:asciiTheme="majorEastAsia" w:hAnsiTheme="majorEastAsia" w:eastAsiaTheme="majorEastAsia"/>
          <w:color w:val="000000" w:themeColor="text1"/>
          <w:sz w:val="24"/>
          <w:szCs w:val="24"/>
          <w:highlight w:val="none"/>
          <w14:textFill>
            <w14:solidFill>
              <w14:schemeClr w14:val="tx1"/>
            </w14:solidFill>
          </w14:textFill>
        </w:rPr>
        <w:t>.2</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本合同未尽事宜，遵照《中华人民共和国民法典》有关条文执行。</w:t>
      </w:r>
    </w:p>
    <w:p>
      <w:pPr>
        <w:autoSpaceDE w:val="0"/>
        <w:autoSpaceDN w:val="0"/>
        <w:adjustRightInd w:val="0"/>
        <w:spacing w:line="440" w:lineRule="exact"/>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　　</w:t>
      </w:r>
      <w:r>
        <w:rPr>
          <w:rFonts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5</w:t>
      </w:r>
      <w:r>
        <w:rPr>
          <w:rFonts w:cs="宋体" w:asciiTheme="majorEastAsia" w:hAnsiTheme="majorEastAsia" w:eastAsiaTheme="majorEastAsia"/>
          <w:color w:val="000000" w:themeColor="text1"/>
          <w:sz w:val="24"/>
          <w:szCs w:val="24"/>
          <w:highlight w:val="none"/>
          <w14:textFill>
            <w14:solidFill>
              <w14:schemeClr w14:val="tx1"/>
            </w14:solidFill>
          </w14:textFill>
        </w:rPr>
        <w:t>.3</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本合同正本一式四份，具有同等法律效力，甲方、乙方各执两份。副本按双方需求执行。</w:t>
      </w:r>
    </w:p>
    <w:p>
      <w:pPr>
        <w:pStyle w:val="2"/>
        <w:spacing w:line="440" w:lineRule="exact"/>
        <w:rPr>
          <w:rFonts w:asciiTheme="majorEastAsia" w:hAnsiTheme="majorEastAsia" w:eastAsiaTheme="majorEastAsia"/>
          <w:color w:val="000000" w:themeColor="text1"/>
          <w:highlight w:val="none"/>
          <w14:textFill>
            <w14:solidFill>
              <w14:schemeClr w14:val="tx1"/>
            </w14:solidFill>
          </w14:textFill>
        </w:rPr>
      </w:pPr>
    </w:p>
    <w:p>
      <w:pPr>
        <w:pStyle w:val="2"/>
        <w:spacing w:line="440" w:lineRule="exact"/>
        <w:rPr>
          <w:rFonts w:asciiTheme="majorEastAsia" w:hAnsiTheme="majorEastAsia" w:eastAsiaTheme="majorEastAsia"/>
          <w:color w:val="000000" w:themeColor="text1"/>
          <w:highlight w:val="none"/>
          <w14:textFill>
            <w14:solidFill>
              <w14:schemeClr w14:val="tx1"/>
            </w14:solidFill>
          </w14:textFill>
        </w:rPr>
      </w:pPr>
    </w:p>
    <w:p>
      <w:pPr>
        <w:pStyle w:val="24"/>
        <w:snapToGrid w:val="0"/>
        <w:spacing w:before="120" w:after="120"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szCs w:val="22"/>
          <w:highlight w:val="none"/>
          <w14:textFill>
            <w14:solidFill>
              <w14:schemeClr w14:val="tx1"/>
            </w14:solidFill>
          </w14:textFill>
        </w:rPr>
        <w:t>甲方：</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 xml:space="preserve">乙方： </w:t>
      </w:r>
    </w:p>
    <w:p>
      <w:pPr>
        <w:pStyle w:val="24"/>
        <w:snapToGrid w:val="0"/>
        <w:spacing w:before="120" w:after="120"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szCs w:val="22"/>
          <w:highlight w:val="none"/>
          <w14:textFill>
            <w14:solidFill>
              <w14:schemeClr w14:val="tx1"/>
            </w14:solidFill>
          </w14:textFill>
        </w:rPr>
        <w:t>地址：</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地址：</w:t>
      </w:r>
    </w:p>
    <w:p>
      <w:pPr>
        <w:pStyle w:val="24"/>
        <w:snapToGrid w:val="0"/>
        <w:spacing w:before="120" w:after="120"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szCs w:val="22"/>
          <w:highlight w:val="none"/>
          <w14:textFill>
            <w14:solidFill>
              <w14:schemeClr w14:val="tx1"/>
            </w14:solidFill>
          </w14:textFill>
        </w:rPr>
        <w:t>法定代表人或授权代表：</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法定代表人或授权代表：</w:t>
      </w:r>
    </w:p>
    <w:p>
      <w:pPr>
        <w:pStyle w:val="24"/>
        <w:snapToGrid w:val="0"/>
        <w:spacing w:before="120" w:after="120"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szCs w:val="22"/>
          <w:highlight w:val="none"/>
          <w14:textFill>
            <w14:solidFill>
              <w14:schemeClr w14:val="tx1"/>
            </w14:solidFill>
          </w14:textFill>
        </w:rPr>
        <w:t>联系电话：</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联系电话：</w:t>
      </w:r>
    </w:p>
    <w:p>
      <w:pPr>
        <w:pStyle w:val="24"/>
        <w:snapToGrid w:val="0"/>
        <w:spacing w:before="120" w:after="120" w:line="480" w:lineRule="exact"/>
        <w:jc w:val="right"/>
        <w:rPr>
          <w:rFonts w:asciiTheme="majorEastAsia" w:hAnsiTheme="majorEastAsia" w:eastAsiaTheme="majorEastAsia"/>
          <w:color w:val="000000" w:themeColor="text1"/>
          <w:sz w:val="24"/>
          <w:szCs w:val="22"/>
          <w:highlight w:val="none"/>
          <w14:textFill>
            <w14:solidFill>
              <w14:schemeClr w14:val="tx1"/>
            </w14:solidFill>
          </w14:textFill>
        </w:rPr>
      </w:pPr>
    </w:p>
    <w:p>
      <w:pPr>
        <w:pStyle w:val="24"/>
        <w:snapToGrid w:val="0"/>
        <w:spacing w:before="120" w:after="120" w:line="480" w:lineRule="exact"/>
        <w:jc w:val="right"/>
        <w:rPr>
          <w:rFonts w:asciiTheme="majorEastAsia" w:hAnsiTheme="majorEastAsia" w:eastAsiaTheme="majorEastAsia"/>
          <w:color w:val="000000" w:themeColor="text1"/>
          <w:sz w:val="24"/>
          <w:szCs w:val="22"/>
          <w:highlight w:val="none"/>
          <w14:textFill>
            <w14:solidFill>
              <w14:schemeClr w14:val="tx1"/>
            </w14:solidFill>
          </w14:textFill>
        </w:rPr>
      </w:pPr>
    </w:p>
    <w:p>
      <w:pPr>
        <w:pStyle w:val="24"/>
        <w:tabs>
          <w:tab w:val="left" w:pos="9356"/>
        </w:tabs>
        <w:snapToGrid w:val="0"/>
        <w:spacing w:before="120" w:after="120" w:line="480" w:lineRule="exact"/>
        <w:ind w:right="424"/>
        <w:jc w:val="center"/>
        <w:rPr>
          <w:rFonts w:asciiTheme="majorEastAsia" w:hAnsiTheme="majorEastAsia" w:eastAsiaTheme="majorEastAsia"/>
          <w:color w:val="000000" w:themeColor="text1"/>
          <w:sz w:val="24"/>
          <w:highlight w:val="none"/>
          <w14:textFill>
            <w14:solidFill>
              <w14:schemeClr w14:val="tx1"/>
            </w14:solidFill>
          </w14:textFill>
        </w:rPr>
        <w:sectPr>
          <w:headerReference r:id="rId3" w:type="default"/>
          <w:footerReference r:id="rId4" w:type="default"/>
          <w:pgSz w:w="11906" w:h="16838"/>
          <w:pgMar w:top="1134" w:right="1134" w:bottom="1134" w:left="1134" w:header="851" w:footer="680" w:gutter="0"/>
          <w:pgNumType w:fmt="numberInDash"/>
          <w:cols w:space="720" w:num="1"/>
          <w:docGrid w:type="lines" w:linePitch="290" w:charSpace="0"/>
        </w:sectPr>
      </w:pP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 xml:space="preserve">签订日期： </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年</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月</w:t>
      </w:r>
      <w:r>
        <w:rPr>
          <w:rFonts w:hint="eastAsia" w:asciiTheme="majorEastAsia" w:hAnsiTheme="majorEastAsia" w:eastAsiaTheme="majorEastAsia"/>
          <w:color w:val="000000" w:themeColor="text1"/>
          <w:sz w:val="24"/>
          <w:szCs w:val="22"/>
          <w:highlight w:val="none"/>
          <w14:textFill>
            <w14:solidFill>
              <w14:schemeClr w14:val="tx1"/>
            </w14:solidFill>
          </w14:textFill>
        </w:rPr>
        <w:t xml:space="preserve">  </w:t>
      </w:r>
      <w:r>
        <w:rPr>
          <w:rFonts w:asciiTheme="majorEastAsia" w:hAnsiTheme="majorEastAsia" w:eastAsiaTheme="majorEastAsia"/>
          <w:color w:val="000000" w:themeColor="text1"/>
          <w:sz w:val="24"/>
          <w:szCs w:val="22"/>
          <w:highlight w:val="none"/>
          <w14:textFill>
            <w14:solidFill>
              <w14:schemeClr w14:val="tx1"/>
            </w14:solidFill>
          </w14:textFill>
        </w:rPr>
        <w:t>日</w:t>
      </w:r>
      <w:bookmarkEnd w:id="160"/>
      <w:bookmarkEnd w:id="161"/>
      <w:bookmarkEnd w:id="162"/>
      <w:bookmarkEnd w:id="163"/>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 xml:space="preserve">第四章  项目需求 </w:t>
      </w:r>
    </w:p>
    <w:p>
      <w:pPr>
        <w:spacing w:before="240" w:beforeLines="100" w:after="240" w:afterLines="100" w:line="260" w:lineRule="exact"/>
        <w:jc w:val="center"/>
        <w:rPr>
          <w:rFonts w:ascii="黑体" w:hAnsi="宋体" w:eastAsia="黑体"/>
          <w:color w:val="000000" w:themeColor="text1"/>
          <w:sz w:val="28"/>
          <w:szCs w:val="28"/>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江苏医药职业学院</w:t>
      </w:r>
    </w:p>
    <w:p>
      <w:pPr>
        <w:spacing w:before="240" w:beforeLines="100" w:after="240" w:afterLines="100" w:line="260" w:lineRule="exact"/>
        <w:jc w:val="center"/>
        <w:rPr>
          <w:rFonts w:ascii="黑体" w:hAnsi="宋体" w:eastAsia="黑体"/>
          <w:color w:val="000000" w:themeColor="text1"/>
          <w:sz w:val="32"/>
          <w:szCs w:val="32"/>
          <w:highlight w:val="none"/>
          <w14:textFill>
            <w14:solidFill>
              <w14:schemeClr w14:val="tx1"/>
            </w14:solidFill>
          </w14:textFill>
        </w:rPr>
      </w:pPr>
      <w:r>
        <w:rPr>
          <w:rFonts w:hint="eastAsia" w:ascii="黑体" w:hAnsi="宋体" w:eastAsia="黑体"/>
          <w:color w:val="000000" w:themeColor="text1"/>
          <w:sz w:val="28"/>
          <w:szCs w:val="28"/>
          <w:highlight w:val="none"/>
          <w14:textFill>
            <w14:solidFill>
              <w14:schemeClr w14:val="tx1"/>
            </w14:solidFill>
          </w14:textFill>
        </w:rPr>
        <w:t>2021-2024学年新形态教材出版招标项目实施方案</w:t>
      </w:r>
    </w:p>
    <w:p>
      <w:pPr>
        <w:jc w:val="left"/>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一、服务范围：</w:t>
      </w:r>
    </w:p>
    <w:p>
      <w:pPr>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拟出版以下8本教材（以最终教材名称为准）:</w:t>
      </w:r>
    </w:p>
    <w:tbl>
      <w:tblPr>
        <w:tblStyle w:val="46"/>
        <w:tblW w:w="3818" w:type="pct"/>
        <w:tblInd w:w="1138" w:type="dxa"/>
        <w:tblLayout w:type="autofit"/>
        <w:tblCellMar>
          <w:top w:w="0" w:type="dxa"/>
          <w:left w:w="0" w:type="dxa"/>
          <w:bottom w:w="0" w:type="dxa"/>
          <w:right w:w="0" w:type="dxa"/>
        </w:tblCellMar>
      </w:tblPr>
      <w:tblGrid>
        <w:gridCol w:w="691"/>
        <w:gridCol w:w="3436"/>
        <w:gridCol w:w="1984"/>
        <w:gridCol w:w="1275"/>
      </w:tblGrid>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kern w:val="0"/>
                <w:sz w:val="24"/>
                <w:szCs w:val="24"/>
                <w:highlight w:val="none"/>
                <w:lang w:bidi="ar"/>
                <w14:textFill>
                  <w14:solidFill>
                    <w14:schemeClr w14:val="tx1"/>
                  </w14:solidFill>
                </w14:textFill>
              </w:rPr>
              <w:t>序号</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kern w:val="0"/>
                <w:sz w:val="24"/>
                <w:szCs w:val="24"/>
                <w:highlight w:val="none"/>
                <w:lang w:bidi="ar"/>
                <w14:textFill>
                  <w14:solidFill>
                    <w14:schemeClr w14:val="tx1"/>
                  </w14:solidFill>
                </w14:textFill>
              </w:rPr>
              <w:t>教材名称</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kern w:val="0"/>
                <w:sz w:val="24"/>
                <w:szCs w:val="24"/>
                <w:highlight w:val="none"/>
                <w:lang w:bidi="ar"/>
                <w14:textFill>
                  <w14:solidFill>
                    <w14:schemeClr w14:val="tx1"/>
                  </w14:solidFill>
                </w14:textFill>
              </w:rPr>
              <w:t>部门</w:t>
            </w:r>
          </w:p>
        </w:tc>
        <w:tc>
          <w:tcPr>
            <w:tcW w:w="86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b/>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b/>
                <w:color w:val="000000" w:themeColor="text1"/>
                <w:kern w:val="0"/>
                <w:sz w:val="24"/>
                <w:szCs w:val="24"/>
                <w:highlight w:val="none"/>
                <w:lang w:bidi="ar"/>
                <w14:textFill>
                  <w14:solidFill>
                    <w14:schemeClr w14:val="tx1"/>
                  </w14:solidFill>
                </w14:textFill>
              </w:rPr>
              <w:t>类别</w:t>
            </w: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1</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基层卫生适宜技术</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医学院</w:t>
            </w:r>
          </w:p>
        </w:tc>
        <w:tc>
          <w:tcPr>
            <w:tcW w:w="863"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活页式</w:t>
            </w: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2</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医药信息检索</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药学院</w:t>
            </w:r>
          </w:p>
        </w:tc>
        <w:tc>
          <w:tcPr>
            <w:tcW w:w="86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ajorEastAsia" w:hAnsiTheme="majorEastAsia" w:eastAsiaTheme="majorEastAsia"/>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3</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成人神经系统疾病康复综合实训</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康复医学院</w:t>
            </w:r>
          </w:p>
        </w:tc>
        <w:tc>
          <w:tcPr>
            <w:tcW w:w="863"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ajorEastAsia" w:hAnsiTheme="majorEastAsia" w:eastAsiaTheme="majorEastAsia"/>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4</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基础医学课程思政百例</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基础医学部</w:t>
            </w: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立体式</w:t>
            </w: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5</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吞咽障碍康复技术</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康复医学院</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ajorEastAsia" w:hAnsiTheme="majorEastAsia" w:eastAsiaTheme="majorEastAsia"/>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6</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康复评定技术</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康复医学院</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ajorEastAsia" w:hAnsiTheme="majorEastAsia" w:eastAsiaTheme="majorEastAsia"/>
                <w:color w:val="000000" w:themeColor="text1"/>
                <w:sz w:val="24"/>
                <w:szCs w:val="24"/>
                <w:highlight w:val="none"/>
                <w14:textFill>
                  <w14:solidFill>
                    <w14:schemeClr w14:val="tx1"/>
                  </w14:solidFill>
                </w14:textFill>
              </w:rPr>
            </w:pP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7</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诊断学实训手册</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医学院</w:t>
            </w:r>
          </w:p>
        </w:tc>
        <w:tc>
          <w:tcPr>
            <w:tcW w:w="863"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手册式</w:t>
            </w:r>
          </w:p>
        </w:tc>
      </w:tr>
      <w:tr>
        <w:tblPrEx>
          <w:tblCellMar>
            <w:top w:w="0" w:type="dxa"/>
            <w:left w:w="0" w:type="dxa"/>
            <w:bottom w:w="0" w:type="dxa"/>
            <w:right w:w="0" w:type="dxa"/>
          </w:tblCellMar>
        </w:tblPrEx>
        <w:trPr>
          <w:trHeight w:val="600" w:hRule="atLeast"/>
        </w:trPr>
        <w:tc>
          <w:tcPr>
            <w:tcW w:w="468"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8</w:t>
            </w:r>
          </w:p>
        </w:tc>
        <w:tc>
          <w:tcPr>
            <w:tcW w:w="23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计算机网络实训手册</w:t>
            </w:r>
          </w:p>
        </w:tc>
        <w:tc>
          <w:tcPr>
            <w:tcW w:w="1343"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kern w:val="0"/>
                <w:sz w:val="24"/>
                <w:szCs w:val="24"/>
                <w:highlight w:val="none"/>
                <w:lang w:bidi="ar"/>
                <w14:textFill>
                  <w14:solidFill>
                    <w14:schemeClr w14:val="tx1"/>
                  </w14:solidFill>
                </w14:textFill>
              </w:rPr>
              <w:t>医技学院</w:t>
            </w:r>
          </w:p>
        </w:tc>
        <w:tc>
          <w:tcPr>
            <w:tcW w:w="863"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cs="宋体" w:asciiTheme="majorEastAsia" w:hAnsiTheme="majorEastAsia" w:eastAsiaTheme="majorEastAsia"/>
                <w:color w:val="000000" w:themeColor="text1"/>
                <w:sz w:val="24"/>
                <w:szCs w:val="24"/>
                <w:highlight w:val="none"/>
                <w14:textFill>
                  <w14:solidFill>
                    <w14:schemeClr w14:val="tx1"/>
                  </w14:solidFill>
                </w14:textFill>
              </w:rPr>
            </w:pPr>
          </w:p>
        </w:tc>
      </w:tr>
    </w:tbl>
    <w:p>
      <w:pPr>
        <w:spacing w:line="440" w:lineRule="exact"/>
        <w:ind w:firstLine="482" w:firstLineChars="200"/>
        <w:jc w:val="left"/>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二、出版要求：</w:t>
      </w:r>
    </w:p>
    <w:p>
      <w:pPr>
        <w:spacing w:line="440" w:lineRule="exact"/>
        <w:ind w:firstLine="482" w:firstLineChars="200"/>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（一）具体要求</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1.公开出版，正式ISBN书号；</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2.需提供编审、设计和校对服务；</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3.设计精美、排版美观、规范，保证印刷质量，不出偏差；</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4.按照采购单位的新型活页式、立体式、手册式等教材编写需求，与采购单位编写人员沟通顺畅，按要求时间完成出版；</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5.出版社要有8名以上医药专业背景的编辑人员。</w:t>
      </w:r>
    </w:p>
    <w:p>
      <w:pPr>
        <w:spacing w:line="440" w:lineRule="exact"/>
        <w:ind w:firstLine="482" w:firstLineChars="200"/>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（二）具体参数</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1.书号：采用国家统一书号。</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2.开本：16开本（成品尺寸：185mm×260mm）。</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3.内文：</w:t>
      </w:r>
      <w:r>
        <w:rPr>
          <w:rFonts w:hint="eastAsia" w:asciiTheme="majorEastAsia" w:hAnsiTheme="majorEastAsia" w:eastAsiaTheme="majorEastAsia"/>
          <w:color w:val="000000" w:themeColor="text1"/>
          <w:sz w:val="24"/>
          <w:szCs w:val="24"/>
          <w:highlight w:val="none"/>
          <w14:textFill>
            <w14:solidFill>
              <w14:schemeClr w14:val="tx1"/>
            </w14:solidFill>
          </w14:textFill>
        </w:rPr>
        <w:t>60g以上书写纸印刷。</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4.封面：封面230g铜版纸覆膜彩色印刷。</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5.装订方式：立体式、手册式：胶平订；活页式：卡扣（可拆卸）。</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6.印刷装订质量：必须符合国家出版行业标准《书刊印刷标准CY/T1～3－91，CY/T7.1～7.9－91，CY/T12～17－95》的规定。</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7.纸张要求：不低于采购单位要求的克数，厚薄均匀，色度、韧性度好，整书墨色均匀。书本整洁，无污垢，坚实牢固。</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8.文字编校：须达到国家新闻出版总署制定的图书编校质量标准。</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9.数字化资源载体：版权归学校主编，按照教材主编要求在纸质图书上预留入口（以二维码形式呈现）或提供网络平台承载教材配套的数字化资源。</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10.每种教材免费提供10本。</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11.组建专家团队，负责对教材的政治方向、意识形态、价值导向进行审核，负责对教材编写过程中的职业教育理念与课程思政内容进行指导。</w:t>
      </w:r>
    </w:p>
    <w:p>
      <w:pPr>
        <w:spacing w:line="440" w:lineRule="exact"/>
        <w:ind w:firstLine="354" w:firstLineChars="147"/>
        <w:jc w:val="left"/>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三、教材质量要求：</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1.图书装帧设计办法：为树立学校建设规划教材的整体形象，供应商中标后与采购人协商确定教材的徽标、封面、版式体例等，单位按统一要求安排每种教材的具体装帧制作、编校、发行工作。</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2.装帧设计内容：装帧设计内容包括：封面（包括教材徽标、教材名称、作者、单位名称）、封底、书脊（书名和单位名称），编委会名单页、书名页、总序言页、前言页、目录页、正文、参考文献页的形式。每种教材必须包括以上各部分内容，供应商中标后均不得随意增减，也不得随意更改版式、颜色、图案等。</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3.贯彻国标：在编辑加工过程中必须严格贯彻国家标准；在国家标准没有明确规定的时候，应遵照执行行业标准。</w:t>
      </w:r>
    </w:p>
    <w:p>
      <w:pPr>
        <w:spacing w:line="440" w:lineRule="exact"/>
        <w:ind w:firstLine="472" w:firstLineChars="196"/>
        <w:jc w:val="left"/>
        <w:rPr>
          <w:rFonts w:asciiTheme="majorEastAsia" w:hAnsiTheme="majorEastAsia" w:eastAsiaTheme="majorEastAsia"/>
          <w:b/>
          <w:bCs/>
          <w:color w:val="000000" w:themeColor="text1"/>
          <w:sz w:val="24"/>
          <w:szCs w:val="24"/>
          <w:highlight w:val="none"/>
          <w14:textFill>
            <w14:solidFill>
              <w14:schemeClr w14:val="tx1"/>
            </w14:solidFill>
          </w14:textFill>
        </w:rPr>
      </w:pPr>
      <w:r>
        <w:rPr>
          <w:rFonts w:hint="eastAsia" w:asciiTheme="majorEastAsia" w:hAnsiTheme="majorEastAsia" w:eastAsiaTheme="majorEastAsia"/>
          <w:b/>
          <w:bCs/>
          <w:color w:val="000000" w:themeColor="text1"/>
          <w:sz w:val="24"/>
          <w:szCs w:val="24"/>
          <w:highlight w:val="none"/>
          <w14:textFill>
            <w14:solidFill>
              <w14:schemeClr w14:val="tx1"/>
            </w14:solidFill>
          </w14:textFill>
        </w:rPr>
        <w:t>四、其他</w:t>
      </w:r>
    </w:p>
    <w:p>
      <w:pPr>
        <w:spacing w:line="440" w:lineRule="exact"/>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★文字和数字化资源版权归属学校主编。</w:t>
      </w:r>
    </w:p>
    <w:p>
      <w:pPr>
        <w:pStyle w:val="2"/>
        <w:ind w:firstLine="560"/>
        <w:jc w:val="left"/>
        <w:rPr>
          <w:color w:val="000000" w:themeColor="text1"/>
          <w:sz w:val="28"/>
          <w:szCs w:val="28"/>
          <w:highlight w:val="none"/>
          <w14:textFill>
            <w14:solidFill>
              <w14:schemeClr w14:val="tx1"/>
            </w14:solidFill>
          </w14:textFill>
        </w:rPr>
        <w:sectPr>
          <w:headerReference r:id="rId5" w:type="default"/>
          <w:footerReference r:id="rId6" w:type="default"/>
          <w:pgSz w:w="11910" w:h="16840"/>
          <w:pgMar w:top="1134" w:right="1134" w:bottom="1134" w:left="1134" w:header="624" w:footer="567" w:gutter="0"/>
          <w:cols w:space="720" w:num="1"/>
        </w:sectPr>
      </w:pPr>
    </w:p>
    <w:p>
      <w:pPr>
        <w:pStyle w:val="24"/>
        <w:rPr>
          <w:color w:val="000000" w:themeColor="text1"/>
          <w:highlight w:val="none"/>
          <w14:textFill>
            <w14:solidFill>
              <w14:schemeClr w14:val="tx1"/>
            </w14:solidFill>
          </w14:textFill>
        </w:rPr>
      </w:pPr>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第五章  评标方法与评标标准</w:t>
      </w:r>
    </w:p>
    <w:p>
      <w:pPr>
        <w:rPr>
          <w:rFonts w:asciiTheme="majorEastAsia" w:hAnsiTheme="majorEastAsia" w:eastAsiaTheme="majorEastAsia"/>
          <w:color w:val="000000" w:themeColor="text1"/>
          <w:highlight w:val="none"/>
          <w14:textFill>
            <w14:solidFill>
              <w14:schemeClr w14:val="tx1"/>
            </w14:solidFill>
          </w14:textFill>
        </w:rPr>
      </w:pPr>
    </w:p>
    <w:p>
      <w:pPr>
        <w:pStyle w:val="2"/>
        <w:spacing w:line="480" w:lineRule="exact"/>
        <w:ind w:firstLine="482"/>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一、评标方法与定标原则</w:t>
      </w:r>
    </w:p>
    <w:p>
      <w:pPr>
        <w:pStyle w:val="2"/>
        <w:spacing w:line="480" w:lineRule="exact"/>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经磋商确定最终采购需求和提交最后报价的供应商后，由磋商小组采用综合评分法对提交最后报价的供应商的响应文件和最后报价进行综合评分，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2"/>
        <w:spacing w:line="480" w:lineRule="exact"/>
        <w:ind w:firstLine="482"/>
        <w:rPr>
          <w:rFonts w:asciiTheme="majorEastAsia" w:hAnsiTheme="majorEastAsia" w:eastAsiaTheme="majorEastAsia"/>
          <w:b/>
          <w:color w:val="000000" w:themeColor="text1"/>
          <w:sz w:val="24"/>
          <w:szCs w:val="24"/>
          <w:highlight w:val="none"/>
          <w14:textFill>
            <w14:solidFill>
              <w14:schemeClr w14:val="tx1"/>
            </w14:solidFill>
          </w14:textFill>
        </w:rPr>
      </w:pPr>
      <w:r>
        <w:rPr>
          <w:rFonts w:asciiTheme="majorEastAsia" w:hAnsiTheme="majorEastAsia" w:eastAsiaTheme="majorEastAsia"/>
          <w:b/>
          <w:color w:val="000000" w:themeColor="text1"/>
          <w:sz w:val="24"/>
          <w:szCs w:val="24"/>
          <w:highlight w:val="none"/>
          <w14:textFill>
            <w14:solidFill>
              <w14:schemeClr w14:val="tx1"/>
            </w14:solidFill>
          </w14:textFill>
        </w:rPr>
        <w:t>二、</w:t>
      </w:r>
      <w:r>
        <w:rPr>
          <w:rFonts w:hint="eastAsia" w:asciiTheme="majorEastAsia" w:hAnsiTheme="majorEastAsia" w:eastAsiaTheme="majorEastAsia"/>
          <w:b/>
          <w:color w:val="000000" w:themeColor="text1"/>
          <w:sz w:val="24"/>
          <w:szCs w:val="24"/>
          <w:highlight w:val="none"/>
          <w14:textFill>
            <w14:solidFill>
              <w14:schemeClr w14:val="tx1"/>
            </w14:solidFill>
          </w14:textFill>
        </w:rPr>
        <w:t>政府采购政策功能落实</w:t>
      </w:r>
    </w:p>
    <w:p>
      <w:pPr>
        <w:pStyle w:val="2"/>
        <w:spacing w:line="480" w:lineRule="exact"/>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为进一步贯彻落实《省财政厅关于新冠肺炎疫情防控期间加大政府采购支持中小微企业力度的通知》（苏财购【2020】19号）、（盐财购【2020】7号）文件精神，结合《关于印发中小企业划型标准规定的通知》（工信部联企业【2011】300号）要求，本项目现对小型和微型企业服务的价格给予6%的扣除，用扣除后的价格参与评审。参加政府采购活动的中小企业如实提供《中小企业声明函》。</w:t>
      </w:r>
    </w:p>
    <w:p>
      <w:pPr>
        <w:pStyle w:val="2"/>
        <w:spacing w:line="480" w:lineRule="exact"/>
        <w:ind w:firstLine="482"/>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szCs w:val="24"/>
          <w:highlight w:val="none"/>
          <w14:textFill>
            <w14:solidFill>
              <w14:schemeClr w14:val="tx1"/>
            </w14:solidFill>
          </w14:textFill>
        </w:rPr>
        <w:t>三、评标标准</w:t>
      </w:r>
    </w:p>
    <w:p>
      <w:pPr>
        <w:pStyle w:val="2"/>
        <w:spacing w:line="480" w:lineRule="exact"/>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（一）评委将以招标文件为评标依据，对投标人的投标报价、技术文件及商务文件等方面按百分制打分。</w:t>
      </w:r>
    </w:p>
    <w:p>
      <w:pPr>
        <w:pStyle w:val="2"/>
        <w:spacing w:line="480" w:lineRule="exact"/>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（二）成交标准：评标小组将根据总得分高低排列各投标人次序（评审得分相同的，按照报价由低到高的顺序推荐。评审得分且报价相同的，按照服务方案优劣顺序推荐），并依照次序确定成交供应商。</w:t>
      </w:r>
    </w:p>
    <w:p>
      <w:pPr>
        <w:tabs>
          <w:tab w:val="left" w:pos="900"/>
        </w:tabs>
        <w:spacing w:line="480" w:lineRule="exact"/>
        <w:ind w:firstLine="354" w:firstLineChars="147"/>
        <w:rPr>
          <w:rFonts w:cs="Courier New" w:asciiTheme="majorEastAsia" w:hAnsiTheme="majorEastAsia" w:eastAsiaTheme="majorEastAsia"/>
          <w:b/>
          <w:color w:val="000000" w:themeColor="text1"/>
          <w:sz w:val="24"/>
          <w:szCs w:val="24"/>
          <w:highlight w:val="none"/>
          <w14:textFill>
            <w14:solidFill>
              <w14:schemeClr w14:val="tx1"/>
            </w14:solidFill>
          </w14:textFill>
        </w:rPr>
      </w:pPr>
      <w:r>
        <w:rPr>
          <w:rFonts w:hint="eastAsia" w:cs="Courier New" w:asciiTheme="majorEastAsia" w:hAnsiTheme="majorEastAsia" w:eastAsiaTheme="majorEastAsia"/>
          <w:b/>
          <w:color w:val="000000" w:themeColor="text1"/>
          <w:sz w:val="24"/>
          <w:szCs w:val="24"/>
          <w:highlight w:val="none"/>
          <w14:textFill>
            <w14:solidFill>
              <w14:schemeClr w14:val="tx1"/>
            </w14:solidFill>
          </w14:textFill>
        </w:rPr>
        <w:t>（三）计分标准：（按四舍五入取至小数点后二位）</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pStyle w:val="2"/>
        <w:ind w:firstLine="0" w:firstLineChars="0"/>
        <w:rPr>
          <w:color w:val="000000" w:themeColor="text1"/>
          <w:highlight w:val="none"/>
          <w14:textFill>
            <w14:solidFill>
              <w14:schemeClr w14:val="tx1"/>
            </w14:solidFill>
          </w14:textFill>
        </w:rPr>
      </w:pPr>
    </w:p>
    <w:p>
      <w:pPr>
        <w:pStyle w:val="2"/>
        <w:ind w:firstLine="0" w:firstLineChars="0"/>
        <w:rPr>
          <w:color w:val="000000" w:themeColor="text1"/>
          <w:highlight w:val="none"/>
          <w14:textFill>
            <w14:solidFill>
              <w14:schemeClr w14:val="tx1"/>
            </w14:solidFill>
          </w14:textFill>
        </w:rPr>
      </w:pPr>
    </w:p>
    <w:p>
      <w:pPr>
        <w:pStyle w:val="2"/>
        <w:ind w:firstLine="0" w:firstLineChars="0"/>
        <w:rPr>
          <w:color w:val="000000" w:themeColor="text1"/>
          <w:highlight w:val="none"/>
          <w14:textFill>
            <w14:solidFill>
              <w14:schemeClr w14:val="tx1"/>
            </w14:solidFill>
          </w14:textFill>
        </w:rPr>
      </w:pPr>
    </w:p>
    <w:p>
      <w:pPr>
        <w:pStyle w:val="2"/>
        <w:ind w:firstLine="0" w:firstLineChars="0"/>
        <w:rPr>
          <w:color w:val="000000" w:themeColor="text1"/>
          <w:highlight w:val="none"/>
          <w14:textFill>
            <w14:solidFill>
              <w14:schemeClr w14:val="tx1"/>
            </w14:solidFill>
          </w14:textFill>
        </w:rPr>
      </w:pPr>
    </w:p>
    <w:tbl>
      <w:tblPr>
        <w:tblStyle w:val="46"/>
        <w:tblpPr w:leftFromText="180" w:rightFromText="180" w:vertAnchor="text" w:horzAnchor="margin" w:tblpY="873"/>
        <w:tblOverlap w:val="never"/>
        <w:tblW w:w="100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08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242"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highlight w:val="none"/>
                <w14:textFill>
                  <w14:solidFill>
                    <w14:schemeClr w14:val="tx1"/>
                  </w14:solidFill>
                </w14:textFill>
              </w:rPr>
              <w:t>评分因素</w:t>
            </w:r>
          </w:p>
        </w:tc>
        <w:tc>
          <w:tcPr>
            <w:tcW w:w="8080" w:type="dxa"/>
            <w:tcBorders>
              <w:top w:val="single" w:color="auto" w:sz="4" w:space="0"/>
              <w:left w:val="single" w:color="auto" w:sz="4" w:space="0"/>
              <w:bottom w:val="single" w:color="auto" w:sz="4" w:space="0"/>
              <w:right w:val="single" w:color="auto" w:sz="4" w:space="0"/>
            </w:tcBorders>
            <w:vAlign w:val="center"/>
          </w:tcPr>
          <w:p>
            <w:pPr>
              <w:ind w:firstLine="240"/>
              <w:jc w:val="center"/>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highlight w:val="none"/>
                <w14:textFill>
                  <w14:solidFill>
                    <w14:schemeClr w14:val="tx1"/>
                  </w14:solidFill>
                </w14:textFill>
              </w:rPr>
              <w:t>评分细则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color w:val="000000" w:themeColor="text1"/>
                <w:sz w:val="24"/>
                <w:szCs w:val="24"/>
                <w:highlight w:val="none"/>
                <w14:textFill>
                  <w14:solidFill>
                    <w14:schemeClr w14:val="tx1"/>
                  </w14:solidFill>
                </w14:textFill>
              </w:rPr>
            </w:pPr>
            <w:r>
              <w:rPr>
                <w:rFonts w:hint="eastAsia" w:asciiTheme="majorEastAsia" w:hAnsiTheme="majorEastAsia" w:eastAsiaTheme="majorEastAsia"/>
                <w:b/>
                <w:color w:val="000000" w:themeColor="text1"/>
                <w:sz w:val="24"/>
                <w:highlight w:val="none"/>
                <w14:textFill>
                  <w14:solidFill>
                    <w14:schemeClr w14:val="tx1"/>
                  </w14:solidFill>
                </w14:textFill>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1242" w:type="dxa"/>
            <w:tcBorders>
              <w:top w:val="single" w:color="auto" w:sz="4" w:space="0"/>
              <w:left w:val="single" w:color="auto" w:sz="4" w:space="0"/>
              <w:bottom w:val="single" w:color="auto" w:sz="4" w:space="0"/>
              <w:right w:val="single" w:color="auto" w:sz="4" w:space="0"/>
            </w:tcBorders>
          </w:tcPr>
          <w:p>
            <w:pPr>
              <w:jc w:val="center"/>
              <w:rPr>
                <w:rFonts w:ascii="宋体" w:hAnsi="宋体" w:cs="宋体"/>
                <w:color w:val="000000" w:themeColor="text1"/>
                <w:sz w:val="24"/>
                <w:highlight w:val="none"/>
                <w14:textFill>
                  <w14:solidFill>
                    <w14:schemeClr w14:val="tx1"/>
                  </w14:solidFill>
                </w14:textFill>
              </w:rPr>
            </w:pPr>
          </w:p>
          <w:p>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价格分</w:t>
            </w:r>
          </w:p>
          <w:p>
            <w:pPr>
              <w:jc w:val="center"/>
              <w:rPr>
                <w:rFonts w:ascii="宋体" w:hAnsi="宋体" w:cs="宋体"/>
                <w:color w:val="000000" w:themeColor="text1"/>
                <w:sz w:val="24"/>
                <w:highlight w:val="none"/>
                <w14:textFill>
                  <w14:solidFill>
                    <w14:schemeClr w14:val="tx1"/>
                  </w14:solidFill>
                </w14:textFill>
              </w:rPr>
            </w:pPr>
          </w:p>
        </w:tc>
        <w:tc>
          <w:tcPr>
            <w:tcW w:w="8080" w:type="dxa"/>
            <w:tcBorders>
              <w:top w:val="single" w:color="auto" w:sz="4" w:space="0"/>
              <w:left w:val="single" w:color="auto" w:sz="4" w:space="0"/>
              <w:bottom w:val="single" w:color="auto" w:sz="4" w:space="0"/>
              <w:right w:val="single" w:color="auto" w:sz="4" w:space="0"/>
            </w:tcBorders>
          </w:tcPr>
          <w:p>
            <w:pPr>
              <w:tabs>
                <w:tab w:val="left" w:pos="-540"/>
                <w:tab w:val="left" w:pos="2880"/>
                <w:tab w:val="left" w:pos="3600"/>
                <w:tab w:val="left" w:pos="4320"/>
                <w:tab w:val="center" w:pos="4433"/>
              </w:tabs>
              <w:autoSpaceDE w:val="0"/>
              <w:autoSpaceDN w:val="0"/>
              <w:adjustRightInd w:val="0"/>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以满足招标文件要求且投标价格最低的投标报价为评标基准价，其价格分为满分20分，其他投标人的价格分按照下列公式计算：投标报价得分=（评标基准价/投标报价）×20%×100。</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242" w:type="dxa"/>
            <w:tcBorders>
              <w:top w:val="single" w:color="auto" w:sz="4" w:space="0"/>
              <w:left w:val="single" w:color="auto" w:sz="4" w:space="0"/>
              <w:right w:val="single" w:color="auto" w:sz="4" w:space="0"/>
            </w:tcBorders>
            <w:vAlign w:val="center"/>
          </w:tcPr>
          <w:p>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w:t>
            </w:r>
          </w:p>
          <w:p>
            <w:pPr>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信誉</w:t>
            </w:r>
          </w:p>
        </w:tc>
        <w:tc>
          <w:tcPr>
            <w:tcW w:w="8080"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1、投标人具有有效期内的质量管理体系ISO9001认证证书、环境管理体系ISO14001认证证书、职业健康安全管理体系ISO45001认证证书和五星售后服务GB/T27922-2011认证证书，每提供1个得1分，最高得4分。</w:t>
            </w:r>
          </w:p>
          <w:p>
            <w:pPr>
              <w:tabs>
                <w:tab w:val="left" w:pos="-540"/>
                <w:tab w:val="left" w:pos="2880"/>
                <w:tab w:val="left" w:pos="3600"/>
                <w:tab w:val="left" w:pos="4320"/>
                <w:tab w:val="center" w:pos="4433"/>
              </w:tabs>
              <w:autoSpaceDE w:val="0"/>
              <w:autoSpaceDN w:val="0"/>
              <w:adjustRightInd w:val="0"/>
              <w:ind w:firstLine="482" w:firstLineChars="200"/>
              <w:jc w:val="left"/>
              <w:rPr>
                <w:rFonts w:asciiTheme="majorEastAsia" w:hAnsiTheme="majorEastAsia" w:eastAsiaTheme="majorEastAsia"/>
                <w:b/>
                <w:color w:val="000000" w:themeColor="text1"/>
                <w:sz w:val="24"/>
                <w:highlight w:val="none"/>
                <w14:textFill>
                  <w14:solidFill>
                    <w14:schemeClr w14:val="tx1"/>
                  </w14:solidFill>
                </w14:textFill>
              </w:rPr>
            </w:pPr>
            <w:r>
              <w:rPr>
                <w:rFonts w:asciiTheme="majorEastAsia" w:hAnsiTheme="majorEastAsia" w:eastAsiaTheme="majorEastAsia"/>
                <w:b/>
                <w:color w:val="000000" w:themeColor="text1"/>
                <w:sz w:val="24"/>
                <w:highlight w:val="none"/>
                <w14:textFill>
                  <w14:solidFill>
                    <w14:schemeClr w14:val="tx1"/>
                  </w14:solidFill>
                </w14:textFill>
              </w:rPr>
              <w:t>提供认证证书复印件并加盖公章，且在国家认可监督管理委员会官网查询认证完整页面截图，</w:t>
            </w:r>
            <w:r>
              <w:rPr>
                <w:rFonts w:hint="eastAsia" w:asciiTheme="majorEastAsia" w:hAnsiTheme="majorEastAsia" w:eastAsiaTheme="majorEastAsia"/>
                <w:b/>
                <w:color w:val="000000" w:themeColor="text1"/>
                <w:sz w:val="24"/>
                <w:highlight w:val="none"/>
                <w14:textFill>
                  <w14:solidFill>
                    <w14:schemeClr w14:val="tx1"/>
                  </w14:solidFill>
                </w14:textFill>
              </w:rPr>
              <w:t>不提供不得分，原件备查。</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1242" w:type="dxa"/>
            <w:tcBorders>
              <w:top w:val="single" w:color="auto" w:sz="4" w:space="0"/>
              <w:left w:val="single" w:color="auto" w:sz="4" w:space="0"/>
              <w:right w:val="single" w:color="auto" w:sz="4" w:space="0"/>
            </w:tcBorders>
            <w:vAlign w:val="center"/>
          </w:tcPr>
          <w:p>
            <w:pPr>
              <w:jc w:val="center"/>
              <w:rPr>
                <w:rFonts w:asci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项目业绩</w:t>
            </w:r>
          </w:p>
        </w:tc>
        <w:tc>
          <w:tcPr>
            <w:tcW w:w="8080"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ind w:firstLine="480" w:firstLineChars="200"/>
              <w:jc w:val="left"/>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投标人自2018年1月1日以来（以合同签订时间为准）同类项目业绩（以提供的完整合同或中标通知书复印件为准）：每提供</w:t>
            </w:r>
            <w:r>
              <w:rPr>
                <w:rFonts w:ascii="宋体"/>
                <w:color w:val="000000" w:themeColor="text1"/>
                <w:sz w:val="24"/>
                <w:szCs w:val="24"/>
                <w:highlight w:val="none"/>
                <w14:textFill>
                  <w14:solidFill>
                    <w14:schemeClr w14:val="tx1"/>
                  </w14:solidFill>
                </w14:textFill>
              </w:rPr>
              <w:t>1</w:t>
            </w:r>
            <w:r>
              <w:rPr>
                <w:rFonts w:hint="eastAsia" w:ascii="宋体"/>
                <w:color w:val="000000" w:themeColor="text1"/>
                <w:sz w:val="24"/>
                <w:szCs w:val="24"/>
                <w:highlight w:val="none"/>
                <w14:textFill>
                  <w14:solidFill>
                    <w14:schemeClr w14:val="tx1"/>
                  </w14:solidFill>
                </w14:textFill>
              </w:rPr>
              <w:t>份合同业绩得</w:t>
            </w:r>
            <w:r>
              <w:rPr>
                <w:rFonts w:ascii="宋体"/>
                <w:color w:val="000000" w:themeColor="text1"/>
                <w:sz w:val="24"/>
                <w:szCs w:val="24"/>
                <w:highlight w:val="none"/>
                <w14:textFill>
                  <w14:solidFill>
                    <w14:schemeClr w14:val="tx1"/>
                  </w14:solidFill>
                </w14:textFill>
              </w:rPr>
              <w:t>1</w:t>
            </w:r>
            <w:r>
              <w:rPr>
                <w:rFonts w:hint="eastAsia" w:ascii="宋体"/>
                <w:color w:val="000000" w:themeColor="text1"/>
                <w:sz w:val="24"/>
                <w:szCs w:val="24"/>
                <w:highlight w:val="none"/>
                <w14:textFill>
                  <w14:solidFill>
                    <w14:schemeClr w14:val="tx1"/>
                  </w14:solidFill>
                </w14:textFill>
              </w:rPr>
              <w:t>分，最高得5分。没有不得分。</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242" w:type="dxa"/>
            <w:tcBorders>
              <w:left w:val="single" w:color="auto" w:sz="4" w:space="0"/>
              <w:right w:val="single" w:color="auto" w:sz="4" w:space="0"/>
            </w:tcBorders>
            <w:vAlign w:val="center"/>
          </w:tcPr>
          <w:p>
            <w:pPr>
              <w:jc w:val="center"/>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highlight w:val="none"/>
                <w14:textFill>
                  <w14:solidFill>
                    <w14:schemeClr w14:val="tx1"/>
                  </w14:solidFill>
                </w14:textFill>
              </w:rPr>
              <w:t>获奖情况</w:t>
            </w:r>
          </w:p>
        </w:tc>
        <w:tc>
          <w:tcPr>
            <w:tcW w:w="8080"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ind w:firstLine="480" w:firstLineChars="200"/>
              <w:jc w:val="left"/>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投标人获得过全国版权示范单位称号的，得</w:t>
            </w:r>
            <w:r>
              <w:rPr>
                <w:rFonts w:asciiTheme="majorEastAsia" w:hAnsiTheme="majorEastAsia" w:eastAsiaTheme="majorEastAsia"/>
                <w:color w:val="000000" w:themeColor="text1"/>
                <w:sz w:val="24"/>
                <w:highlight w:val="none"/>
                <w14:textFill>
                  <w14:solidFill>
                    <w14:schemeClr w14:val="tx1"/>
                  </w14:solidFill>
                </w14:textFill>
              </w:rPr>
              <w:t>2</w:t>
            </w:r>
            <w:r>
              <w:rPr>
                <w:rFonts w:hint="eastAsia" w:asciiTheme="majorEastAsia" w:hAnsiTheme="majorEastAsia" w:eastAsiaTheme="majorEastAsia"/>
                <w:color w:val="000000" w:themeColor="text1"/>
                <w:sz w:val="24"/>
                <w:highlight w:val="none"/>
                <w14:textFill>
                  <w14:solidFill>
                    <w14:schemeClr w14:val="tx1"/>
                  </w14:solidFill>
                </w14:textFill>
              </w:rPr>
              <w:t>分，获得过省级版权示范单位称号的，得</w:t>
            </w:r>
            <w:r>
              <w:rPr>
                <w:rFonts w:asciiTheme="majorEastAsia" w:hAnsiTheme="majorEastAsia" w:eastAsiaTheme="majorEastAsia"/>
                <w:color w:val="000000" w:themeColor="text1"/>
                <w:sz w:val="24"/>
                <w:highlight w:val="none"/>
                <w14:textFill>
                  <w14:solidFill>
                    <w14:schemeClr w14:val="tx1"/>
                  </w14:solidFill>
                </w14:textFill>
              </w:rPr>
              <w:t>1</w:t>
            </w:r>
            <w:r>
              <w:rPr>
                <w:rFonts w:hint="eastAsia" w:asciiTheme="majorEastAsia" w:hAnsiTheme="majorEastAsia" w:eastAsiaTheme="majorEastAsia"/>
                <w:color w:val="000000" w:themeColor="text1"/>
                <w:sz w:val="24"/>
                <w:highlight w:val="none"/>
                <w14:textFill>
                  <w14:solidFill>
                    <w14:schemeClr w14:val="tx1"/>
                  </w14:solidFill>
                </w14:textFill>
              </w:rPr>
              <w:t>分，最高得4分，无此项不得分（不累计得分）。</w:t>
            </w:r>
          </w:p>
          <w:p>
            <w:pPr>
              <w:pStyle w:val="2"/>
              <w:spacing w:line="240" w:lineRule="auto"/>
              <w:ind w:firstLine="480"/>
              <w:rPr>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投标人每获得</w:t>
            </w:r>
            <w:r>
              <w:rPr>
                <w:rFonts w:asciiTheme="majorEastAsia" w:hAnsiTheme="majorEastAsia" w:eastAsiaTheme="majorEastAsia"/>
                <w:color w:val="000000" w:themeColor="text1"/>
                <w:sz w:val="24"/>
                <w:highlight w:val="none"/>
                <w14:textFill>
                  <w14:solidFill>
                    <w14:schemeClr w14:val="tx1"/>
                  </w14:solidFill>
                </w14:textFill>
              </w:rPr>
              <w:t>1</w:t>
            </w:r>
            <w:r>
              <w:rPr>
                <w:rFonts w:hint="eastAsia" w:asciiTheme="majorEastAsia" w:hAnsiTheme="majorEastAsia" w:eastAsiaTheme="majorEastAsia"/>
                <w:color w:val="000000" w:themeColor="text1"/>
                <w:sz w:val="24"/>
                <w:highlight w:val="none"/>
                <w14:textFill>
                  <w14:solidFill>
                    <w14:schemeClr w14:val="tx1"/>
                  </w14:solidFill>
                </w14:textFill>
              </w:rPr>
              <w:t>个国家级图书出版奖项得2分，每提供</w:t>
            </w:r>
            <w:r>
              <w:rPr>
                <w:rFonts w:asciiTheme="majorEastAsia" w:hAnsiTheme="majorEastAsia" w:eastAsiaTheme="majorEastAsia"/>
                <w:color w:val="000000" w:themeColor="text1"/>
                <w:sz w:val="24"/>
                <w:highlight w:val="none"/>
                <w14:textFill>
                  <w14:solidFill>
                    <w14:schemeClr w14:val="tx1"/>
                  </w14:solidFill>
                </w14:textFill>
              </w:rPr>
              <w:t>1</w:t>
            </w:r>
            <w:r>
              <w:rPr>
                <w:rFonts w:hint="eastAsia" w:asciiTheme="majorEastAsia" w:hAnsiTheme="majorEastAsia" w:eastAsiaTheme="majorEastAsia"/>
                <w:color w:val="000000" w:themeColor="text1"/>
                <w:sz w:val="24"/>
                <w:highlight w:val="none"/>
                <w14:textFill>
                  <w14:solidFill>
                    <w14:schemeClr w14:val="tx1"/>
                  </w14:solidFill>
                </w14:textFill>
              </w:rPr>
              <w:t>个省级图书出版奖项得</w:t>
            </w:r>
            <w:r>
              <w:rPr>
                <w:rFonts w:asciiTheme="majorEastAsia" w:hAnsiTheme="majorEastAsia" w:eastAsiaTheme="majorEastAsia"/>
                <w:color w:val="000000" w:themeColor="text1"/>
                <w:sz w:val="24"/>
                <w:highlight w:val="none"/>
                <w14:textFill>
                  <w14:solidFill>
                    <w14:schemeClr w14:val="tx1"/>
                  </w14:solidFill>
                </w14:textFill>
              </w:rPr>
              <w:t>1</w:t>
            </w:r>
            <w:r>
              <w:rPr>
                <w:rFonts w:hint="eastAsia" w:asciiTheme="majorEastAsia" w:hAnsiTheme="majorEastAsia" w:eastAsiaTheme="majorEastAsia"/>
                <w:color w:val="000000" w:themeColor="text1"/>
                <w:sz w:val="24"/>
                <w:highlight w:val="none"/>
                <w14:textFill>
                  <w14:solidFill>
                    <w14:schemeClr w14:val="tx1"/>
                  </w14:solidFill>
                </w14:textFill>
              </w:rPr>
              <w:t>分，最高得4分，无此项不得分（不累计得分）。</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242" w:type="dxa"/>
            <w:tcBorders>
              <w:top w:val="single" w:color="auto" w:sz="4" w:space="0"/>
              <w:left w:val="single" w:color="auto" w:sz="4" w:space="0"/>
              <w:right w:val="single" w:color="auto" w:sz="4" w:space="0"/>
            </w:tcBorders>
            <w:vAlign w:val="center"/>
          </w:tcPr>
          <w:p>
            <w:pPr>
              <w:widowControl/>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asciiTheme="majorEastAsia" w:hAnsiTheme="majorEastAsia" w:eastAsiaTheme="majorEastAsia"/>
                <w:color w:val="000000" w:themeColor="text1"/>
                <w:sz w:val="24"/>
                <w:szCs w:val="24"/>
                <w:highlight w:val="none"/>
                <w14:textFill>
                  <w14:solidFill>
                    <w14:schemeClr w14:val="tx1"/>
                  </w14:solidFill>
                </w14:textFill>
              </w:rPr>
              <w:t>响应程度</w:t>
            </w:r>
          </w:p>
        </w:tc>
        <w:tc>
          <w:tcPr>
            <w:tcW w:w="8080" w:type="dxa"/>
            <w:tcBorders>
              <w:top w:val="single" w:color="auto" w:sz="4" w:space="0"/>
              <w:left w:val="single" w:color="auto" w:sz="4" w:space="0"/>
              <w:bottom w:val="single" w:color="auto" w:sz="4" w:space="0"/>
              <w:right w:val="single" w:color="auto" w:sz="4" w:space="0"/>
            </w:tcBorders>
            <w:vAlign w:val="center"/>
          </w:tcPr>
          <w:p>
            <w:pPr>
              <w:ind w:right="-21" w:rightChars="-10"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投标人对采购需求中的要求逐项响应，完全满足采购文件要求的得18分，其他条款不满足每条扣1分，扣完18分为止。</w:t>
            </w:r>
          </w:p>
        </w:tc>
        <w:tc>
          <w:tcPr>
            <w:tcW w:w="709" w:type="dxa"/>
            <w:tcBorders>
              <w:top w:val="single" w:color="auto" w:sz="4" w:space="0"/>
              <w:left w:val="single" w:color="auto" w:sz="4" w:space="0"/>
              <w:bottom w:val="single" w:color="auto" w:sz="4" w:space="0"/>
              <w:right w:val="single" w:color="auto" w:sz="4" w:space="0"/>
            </w:tcBorders>
            <w:vAlign w:val="center"/>
          </w:tcPr>
          <w:p>
            <w:pPr>
              <w:ind w:right="-21" w:rightChars="-1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242" w:type="dxa"/>
            <w:tcBorders>
              <w:left w:val="single" w:color="auto" w:sz="4" w:space="0"/>
              <w:right w:val="single" w:color="auto" w:sz="4" w:space="0"/>
            </w:tcBorders>
            <w:vAlign w:val="center"/>
          </w:tcPr>
          <w:p>
            <w:pPr>
              <w:widowControl/>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项目实施</w:t>
            </w:r>
          </w:p>
          <w:p>
            <w:pPr>
              <w:widowControl/>
              <w:jc w:val="center"/>
              <w:rPr>
                <w:rFonts w:ascii="宋体"/>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方案</w:t>
            </w:r>
          </w:p>
        </w:tc>
        <w:tc>
          <w:tcPr>
            <w:tcW w:w="80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宋体" w:cs="宋体"/>
                <w:color w:val="000000" w:themeColor="text1"/>
                <w:kern w:val="0"/>
                <w:sz w:val="24"/>
                <w:szCs w:val="24"/>
                <w:highlight w:val="none"/>
                <w14:textFill>
                  <w14:solidFill>
                    <w14:schemeClr w14:val="tx1"/>
                  </w14:solidFill>
                </w14:textFill>
              </w:rPr>
            </w:pPr>
            <w:r>
              <w:rPr>
                <w:rFonts w:hint="eastAsia" w:ascii="宋体" w:cs="宋体"/>
                <w:color w:val="000000" w:themeColor="text1"/>
                <w:kern w:val="0"/>
                <w:sz w:val="24"/>
                <w:szCs w:val="24"/>
                <w:highlight w:val="none"/>
                <w14:textFill>
                  <w14:solidFill>
                    <w14:schemeClr w14:val="tx1"/>
                  </w14:solidFill>
                </w14:textFill>
              </w:rPr>
              <w:t>项目实施方案的科学性和完整性。优得4.1-5分，良得3.1-4分，差得2.1-3分，未提供得0分，最高得5分；</w:t>
            </w:r>
          </w:p>
          <w:p>
            <w:pPr>
              <w:autoSpaceDE w:val="0"/>
              <w:autoSpaceDN w:val="0"/>
              <w:adjustRightInd w:val="0"/>
              <w:ind w:firstLine="480" w:firstLineChars="200"/>
              <w:rPr>
                <w:rFonts w:ascii="宋体" w:cs="宋体"/>
                <w:color w:val="000000" w:themeColor="text1"/>
                <w:kern w:val="0"/>
                <w:sz w:val="24"/>
                <w:szCs w:val="24"/>
                <w:highlight w:val="none"/>
                <w14:textFill>
                  <w14:solidFill>
                    <w14:schemeClr w14:val="tx1"/>
                  </w14:solidFill>
                </w14:textFill>
              </w:rPr>
            </w:pPr>
            <w:r>
              <w:rPr>
                <w:rFonts w:hint="eastAsia" w:ascii="宋体" w:cs="宋体"/>
                <w:color w:val="000000" w:themeColor="text1"/>
                <w:kern w:val="0"/>
                <w:sz w:val="24"/>
                <w:szCs w:val="24"/>
                <w:highlight w:val="none"/>
                <w14:textFill>
                  <w14:solidFill>
                    <w14:schemeClr w14:val="tx1"/>
                  </w14:solidFill>
                </w14:textFill>
              </w:rPr>
              <w:t>项目实施方案总体设计、排版设计、编辑、校对、审稿、印刷、装订、出版、成品运输的整个流程。优得4.1-5分，良得3.1-4分，差得2.1-3分，未提供得0分，最高得5分；</w:t>
            </w:r>
          </w:p>
          <w:p>
            <w:pPr>
              <w:autoSpaceDE w:val="0"/>
              <w:autoSpaceDN w:val="0"/>
              <w:adjustRightInd w:val="0"/>
              <w:ind w:firstLine="480" w:firstLineChars="200"/>
              <w:rPr>
                <w:rFonts w:ascii="宋体" w:cs="宋体"/>
                <w:color w:val="000000" w:themeColor="text1"/>
                <w:kern w:val="0"/>
                <w:sz w:val="24"/>
                <w:szCs w:val="24"/>
                <w:highlight w:val="none"/>
                <w14:textFill>
                  <w14:solidFill>
                    <w14:schemeClr w14:val="tx1"/>
                  </w14:solidFill>
                </w14:textFill>
              </w:rPr>
            </w:pPr>
            <w:r>
              <w:rPr>
                <w:rFonts w:hint="eastAsia" w:ascii="宋体" w:cs="宋体"/>
                <w:color w:val="000000" w:themeColor="text1"/>
                <w:kern w:val="0"/>
                <w:sz w:val="24"/>
                <w:szCs w:val="24"/>
                <w:highlight w:val="none"/>
                <w14:textFill>
                  <w14:solidFill>
                    <w14:schemeClr w14:val="tx1"/>
                  </w14:solidFill>
                </w14:textFill>
              </w:rPr>
              <w:t>详细阐述实现思路和关键技术，以及对功能设计和实施计划的建议。优得4.1-5分，良得3.1-4分，差得2.1-3分，未提供得0分，最高得5分。</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242" w:type="dxa"/>
            <w:vMerge w:val="restart"/>
            <w:tcBorders>
              <w:left w:val="single" w:color="auto" w:sz="4" w:space="0"/>
              <w:right w:val="single" w:color="auto" w:sz="4" w:space="0"/>
            </w:tcBorders>
            <w:vAlign w:val="center"/>
          </w:tcPr>
          <w:p>
            <w:pPr>
              <w:widowControl/>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出版管理</w:t>
            </w:r>
          </w:p>
          <w:p>
            <w:pPr>
              <w:widowControl/>
              <w:jc w:val="center"/>
              <w:rPr>
                <w:rFonts w:ascii="宋体"/>
                <w:color w:val="000000" w:themeColor="text1"/>
                <w:sz w:val="24"/>
                <w:szCs w:val="24"/>
                <w:highlight w:val="none"/>
                <w14:textFill>
                  <w14:solidFill>
                    <w14:schemeClr w14:val="tx1"/>
                  </w14:solidFill>
                </w14:textFill>
              </w:rPr>
            </w:pPr>
            <w:r>
              <w:rPr>
                <w:rFonts w:hint="eastAsia" w:ascii="宋体"/>
                <w:color w:val="000000" w:themeColor="text1"/>
                <w:sz w:val="24"/>
                <w:szCs w:val="24"/>
                <w:highlight w:val="none"/>
                <w14:textFill>
                  <w14:solidFill>
                    <w14:schemeClr w14:val="tx1"/>
                  </w14:solidFill>
                </w14:textFill>
              </w:rPr>
              <w:t>方案</w:t>
            </w:r>
          </w:p>
        </w:tc>
        <w:tc>
          <w:tcPr>
            <w:tcW w:w="80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480" w:firstLineChars="200"/>
              <w:rPr>
                <w:rFonts w:ascii="宋体" w:cs="宋体"/>
                <w:color w:val="000000" w:themeColor="text1"/>
                <w:kern w:val="0"/>
                <w:sz w:val="24"/>
                <w:szCs w:val="24"/>
                <w:highlight w:val="none"/>
                <w14:textFill>
                  <w14:solidFill>
                    <w14:schemeClr w14:val="tx1"/>
                  </w14:solidFill>
                </w14:textFill>
              </w:rPr>
            </w:pPr>
            <w:r>
              <w:rPr>
                <w:rFonts w:hint="eastAsia" w:ascii="宋体" w:cs="宋体"/>
                <w:color w:val="000000" w:themeColor="text1"/>
                <w:kern w:val="0"/>
                <w:sz w:val="24"/>
                <w:szCs w:val="24"/>
                <w:highlight w:val="none"/>
                <w14:textFill>
                  <w14:solidFill>
                    <w14:schemeClr w14:val="tx1"/>
                  </w14:solidFill>
                </w14:textFill>
              </w:rPr>
              <w:t>针对本项目管理、质量保证（包括保证出版图书内容质量的把关等）所作的承诺的完整性、合理性、可行性进行综合评审。</w:t>
            </w:r>
            <w:r>
              <w:rPr>
                <w:rFonts w:hint="eastAsia" w:ascii="宋体" w:hAnsi="宋体" w:cs="宋体"/>
                <w:color w:val="000000" w:themeColor="text1"/>
                <w:sz w:val="24"/>
                <w:highlight w:val="none"/>
                <w14:textFill>
                  <w14:solidFill>
                    <w14:schemeClr w14:val="tx1"/>
                  </w14:solidFill>
                </w14:textFill>
              </w:rPr>
              <w:t>优得7.1-10分，良得4.1-7分，差得1.1-4分，未提供得0分；</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1242" w:type="dxa"/>
            <w:vMerge w:val="continue"/>
            <w:tcBorders>
              <w:left w:val="single" w:color="auto" w:sz="4" w:space="0"/>
              <w:right w:val="single" w:color="auto" w:sz="4" w:space="0"/>
            </w:tcBorders>
            <w:vAlign w:val="center"/>
          </w:tcPr>
          <w:p>
            <w:pPr>
              <w:widowControl/>
              <w:jc w:val="center"/>
              <w:rPr>
                <w:rFonts w:ascii="宋体"/>
                <w:color w:val="000000" w:themeColor="text1"/>
                <w:sz w:val="24"/>
                <w:szCs w:val="24"/>
                <w:highlight w:val="none"/>
                <w14:textFill>
                  <w14:solidFill>
                    <w14:schemeClr w14:val="tx1"/>
                  </w14:solidFill>
                </w14:textFill>
              </w:rPr>
            </w:pPr>
          </w:p>
        </w:tc>
        <w:tc>
          <w:tcPr>
            <w:tcW w:w="8080" w:type="dxa"/>
            <w:tcBorders>
              <w:top w:val="single" w:color="auto" w:sz="4" w:space="0"/>
              <w:left w:val="single" w:color="auto" w:sz="4" w:space="0"/>
              <w:bottom w:val="single" w:color="auto" w:sz="4" w:space="0"/>
              <w:right w:val="single" w:color="auto" w:sz="4" w:space="0"/>
            </w:tcBorders>
            <w:vAlign w:val="center"/>
          </w:tcPr>
          <w:p>
            <w:pPr>
              <w:ind w:firstLine="480" w:firstLineChars="200"/>
              <w:rPr>
                <w:rFonts w:ascii="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针对售后质量服务承诺（包括交货后出现不合格印刷品、装订出错、颜色偏差较大或者裁切失误等问题）所采取的措施，有效期内上门服务及服务承诺的可能性、完整性，服务承诺落实保障措施等，根据投标人提供服务承诺方案的合理性和完善程度进行综合评审。优得7.1-10分，良得4.1-7分，差得1.1-4分，未提供得0分。</w:t>
            </w:r>
          </w:p>
        </w:tc>
        <w:tc>
          <w:tcPr>
            <w:tcW w:w="709"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242" w:type="dxa"/>
            <w:vMerge w:val="restart"/>
            <w:tcBorders>
              <w:left w:val="single" w:color="auto" w:sz="4" w:space="0"/>
              <w:right w:val="single" w:color="auto" w:sz="4" w:space="0"/>
            </w:tcBorders>
            <w:vAlign w:val="center"/>
          </w:tcPr>
          <w:p>
            <w:pPr>
              <w:widowControl/>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asciiTheme="majorEastAsia" w:hAnsiTheme="majorEastAsia" w:eastAsiaTheme="majorEastAsia"/>
                <w:color w:val="000000" w:themeColor="text1"/>
                <w:sz w:val="24"/>
                <w:szCs w:val="24"/>
                <w:highlight w:val="none"/>
                <w14:textFill>
                  <w14:solidFill>
                    <w14:schemeClr w14:val="tx1"/>
                  </w14:solidFill>
                </w14:textFill>
              </w:rPr>
              <w:t>优惠及</w:t>
            </w:r>
          </w:p>
          <w:p>
            <w:pPr>
              <w:widowControl/>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asciiTheme="majorEastAsia" w:hAnsiTheme="majorEastAsia" w:eastAsiaTheme="majorEastAsia"/>
                <w:color w:val="000000" w:themeColor="text1"/>
                <w:sz w:val="24"/>
                <w:szCs w:val="24"/>
                <w:highlight w:val="none"/>
                <w14:textFill>
                  <w14:solidFill>
                    <w14:schemeClr w14:val="tx1"/>
                  </w14:solidFill>
                </w14:textFill>
              </w:rPr>
              <w:t>建议</w:t>
            </w:r>
          </w:p>
        </w:tc>
        <w:tc>
          <w:tcPr>
            <w:tcW w:w="8080" w:type="dxa"/>
            <w:tcBorders>
              <w:top w:val="single" w:color="auto" w:sz="4" w:space="0"/>
              <w:left w:val="single" w:color="auto" w:sz="4" w:space="0"/>
              <w:bottom w:val="single" w:color="auto" w:sz="4" w:space="0"/>
              <w:right w:val="single" w:color="auto" w:sz="4" w:space="0"/>
            </w:tcBorders>
            <w:vAlign w:val="center"/>
          </w:tcPr>
          <w:p>
            <w:pPr>
              <w:ind w:right="-21" w:rightChars="-10"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根据投标人承诺的各种优惠有利于项目实施的条件及其可实现程度以及针对本次招标的其他特殊优惠承诺等综合评价，打分区间0-5分。</w:t>
            </w:r>
          </w:p>
        </w:tc>
        <w:tc>
          <w:tcPr>
            <w:tcW w:w="709" w:type="dxa"/>
            <w:tcBorders>
              <w:top w:val="single" w:color="auto" w:sz="4" w:space="0"/>
              <w:left w:val="single" w:color="auto" w:sz="4" w:space="0"/>
              <w:bottom w:val="single" w:color="auto" w:sz="4" w:space="0"/>
              <w:right w:val="single" w:color="auto" w:sz="4" w:space="0"/>
            </w:tcBorders>
            <w:vAlign w:val="center"/>
          </w:tcPr>
          <w:p>
            <w:pPr>
              <w:ind w:right="-21" w:rightChars="-1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trPr>
        <w:tc>
          <w:tcPr>
            <w:tcW w:w="1242" w:type="dxa"/>
            <w:vMerge w:val="continue"/>
            <w:tcBorders>
              <w:left w:val="single" w:color="auto" w:sz="4" w:space="0"/>
              <w:right w:val="single" w:color="auto" w:sz="4" w:space="0"/>
            </w:tcBorders>
            <w:vAlign w:val="center"/>
          </w:tcPr>
          <w:p>
            <w:pPr>
              <w:widowControl/>
              <w:jc w:val="center"/>
              <w:rPr>
                <w:rFonts w:asciiTheme="majorEastAsia" w:hAnsiTheme="majorEastAsia" w:eastAsiaTheme="majorEastAsia"/>
                <w:b/>
                <w:color w:val="000000" w:themeColor="text1"/>
                <w:sz w:val="24"/>
                <w:szCs w:val="24"/>
                <w:highlight w:val="none"/>
                <w14:textFill>
                  <w14:solidFill>
                    <w14:schemeClr w14:val="tx1"/>
                  </w14:solidFill>
                </w14:textFill>
              </w:rPr>
            </w:pPr>
          </w:p>
        </w:tc>
        <w:tc>
          <w:tcPr>
            <w:tcW w:w="8080" w:type="dxa"/>
            <w:tcBorders>
              <w:top w:val="single" w:color="auto" w:sz="4" w:space="0"/>
              <w:left w:val="single" w:color="auto" w:sz="4" w:space="0"/>
              <w:bottom w:val="single" w:color="auto" w:sz="4" w:space="0"/>
              <w:right w:val="single" w:color="auto" w:sz="4" w:space="0"/>
            </w:tcBorders>
            <w:vAlign w:val="center"/>
          </w:tcPr>
          <w:p>
            <w:pPr>
              <w:tabs>
                <w:tab w:val="left" w:pos="-540"/>
                <w:tab w:val="left" w:pos="2880"/>
                <w:tab w:val="left" w:pos="3600"/>
                <w:tab w:val="left" w:pos="4320"/>
                <w:tab w:val="center" w:pos="4433"/>
              </w:tabs>
              <w:autoSpaceDE w:val="0"/>
              <w:autoSpaceDN w:val="0"/>
              <w:adjustRightInd w:val="0"/>
              <w:ind w:firstLine="480" w:firstLineChars="200"/>
              <w:jc w:val="left"/>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根据投标人提供的针对本项目的理解，结合自身专业优势，提出的合理化建议，根据其提出的建议的可行性、有效性等方面进行综合打分，打分区间0-5分。</w:t>
            </w:r>
          </w:p>
        </w:tc>
        <w:tc>
          <w:tcPr>
            <w:tcW w:w="709" w:type="dxa"/>
            <w:tcBorders>
              <w:top w:val="single" w:color="auto" w:sz="4" w:space="0"/>
              <w:left w:val="single" w:color="auto" w:sz="4" w:space="0"/>
              <w:bottom w:val="single" w:color="auto" w:sz="4" w:space="0"/>
              <w:right w:val="single" w:color="auto" w:sz="4" w:space="0"/>
            </w:tcBorders>
            <w:vAlign w:val="center"/>
          </w:tcPr>
          <w:p>
            <w:pPr>
              <w:ind w:right="-21" w:rightChars="-10"/>
              <w:jc w:val="center"/>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5分</w:t>
            </w:r>
          </w:p>
        </w:tc>
      </w:tr>
    </w:tbl>
    <w:p>
      <w:pPr>
        <w:pStyle w:val="2"/>
        <w:ind w:firstLine="0" w:firstLineChars="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（四）本项目评分总分值为100分。</w:t>
      </w:r>
    </w:p>
    <w:p>
      <w:pPr>
        <w:pStyle w:val="2"/>
        <w:rPr>
          <w:color w:val="000000" w:themeColor="text1"/>
          <w:highlight w:val="none"/>
          <w14:textFill>
            <w14:solidFill>
              <w14:schemeClr w14:val="tx1"/>
            </w14:solidFill>
          </w14:textFill>
        </w:rPr>
      </w:pPr>
    </w:p>
    <w:p>
      <w:pPr>
        <w:pStyle w:val="2"/>
        <w:rPr>
          <w:color w:val="000000" w:themeColor="text1"/>
          <w:highlight w:val="none"/>
          <w14:textFill>
            <w14:solidFill>
              <w14:schemeClr w14:val="tx1"/>
            </w14:solidFill>
          </w14:textFill>
        </w:rPr>
      </w:pPr>
    </w:p>
    <w:bookmarkEnd w:id="164"/>
    <w:bookmarkEnd w:id="165"/>
    <w:bookmarkEnd w:id="166"/>
    <w:bookmarkEnd w:id="167"/>
    <w:bookmarkEnd w:id="168"/>
    <w:p>
      <w:pPr>
        <w:pStyle w:val="2"/>
        <w:rPr>
          <w:color w:val="000000" w:themeColor="text1"/>
          <w:highlight w:val="none"/>
          <w14:textFill>
            <w14:solidFill>
              <w14:schemeClr w14:val="tx1"/>
            </w14:solidFill>
          </w14:textFill>
        </w:rPr>
      </w:pPr>
    </w:p>
    <w:p>
      <w:pPr>
        <w:pStyle w:val="5"/>
        <w:rPr>
          <w:rFonts w:asciiTheme="majorEastAsia" w:hAnsiTheme="majorEastAsia" w:eastAsiaTheme="majorEastAsia"/>
          <w:b/>
          <w:color w:val="000000" w:themeColor="text1"/>
          <w:sz w:val="44"/>
          <w:szCs w:val="44"/>
          <w:highlight w:val="none"/>
          <w14:textFill>
            <w14:solidFill>
              <w14:schemeClr w14:val="tx1"/>
            </w14:solidFill>
          </w14:textFill>
        </w:rPr>
      </w:pPr>
      <w:r>
        <w:rPr>
          <w:rFonts w:hint="eastAsia" w:asciiTheme="majorEastAsia" w:hAnsiTheme="majorEastAsia" w:eastAsiaTheme="majorEastAsia"/>
          <w:b/>
          <w:color w:val="000000" w:themeColor="text1"/>
          <w:sz w:val="44"/>
          <w:szCs w:val="44"/>
          <w:highlight w:val="none"/>
          <w14:textFill>
            <w14:solidFill>
              <w14:schemeClr w14:val="tx1"/>
            </w14:solidFill>
          </w14:textFill>
        </w:rPr>
        <w:t>第六章  竞争性磋商响应格式</w:t>
      </w:r>
    </w:p>
    <w:p>
      <w:pPr>
        <w:jc w:val="center"/>
        <w:rPr>
          <w:rFonts w:asciiTheme="majorEastAsia" w:hAnsiTheme="majorEastAsia" w:eastAsiaTheme="majorEastAsia"/>
          <w:b/>
          <w:color w:val="000000" w:themeColor="text1"/>
          <w:sz w:val="72"/>
          <w:highlight w:val="none"/>
          <w14:textFill>
            <w14:solidFill>
              <w14:schemeClr w14:val="tx1"/>
            </w14:solidFill>
          </w14:textFill>
        </w:rPr>
      </w:pPr>
      <w:bookmarkStart w:id="169" w:name="_Hlt26671244"/>
      <w:bookmarkEnd w:id="169"/>
      <w:bookmarkStart w:id="170" w:name="_Hlt26955039"/>
      <w:bookmarkEnd w:id="170"/>
    </w:p>
    <w:p>
      <w:pPr>
        <w:jc w:val="center"/>
        <w:rPr>
          <w:rFonts w:asciiTheme="majorEastAsia" w:hAnsiTheme="majorEastAsia" w:eastAsiaTheme="majorEastAsia"/>
          <w:b/>
          <w:color w:val="000000" w:themeColor="text1"/>
          <w:sz w:val="72"/>
          <w:highlight w:val="none"/>
          <w14:textFill>
            <w14:solidFill>
              <w14:schemeClr w14:val="tx1"/>
            </w14:solidFill>
          </w14:textFill>
        </w:rPr>
      </w:pPr>
      <w:r>
        <w:rPr>
          <w:rFonts w:hint="eastAsia" w:asciiTheme="majorEastAsia" w:hAnsiTheme="majorEastAsia" w:eastAsiaTheme="majorEastAsia"/>
          <w:b/>
          <w:color w:val="000000" w:themeColor="text1"/>
          <w:sz w:val="72"/>
          <w:highlight w:val="none"/>
          <w14:textFill>
            <w14:solidFill>
              <w14:schemeClr w14:val="tx1"/>
            </w14:solidFill>
          </w14:textFill>
        </w:rPr>
        <w:t>竞争性磋商响应文件</w:t>
      </w:r>
    </w:p>
    <w:p>
      <w:pPr>
        <w:jc w:val="center"/>
        <w:rPr>
          <w:rFonts w:asciiTheme="majorEastAsia" w:hAnsiTheme="majorEastAsia" w:eastAsiaTheme="majorEastAsia"/>
          <w:b/>
          <w:color w:val="000000" w:themeColor="text1"/>
          <w:sz w:val="72"/>
          <w:highlight w:val="none"/>
          <w14:textFill>
            <w14:solidFill>
              <w14:schemeClr w14:val="tx1"/>
            </w14:solidFill>
          </w14:textFill>
        </w:rPr>
      </w:pPr>
      <w:r>
        <w:rPr>
          <w:rFonts w:hint="eastAsia" w:asciiTheme="majorEastAsia" w:hAnsiTheme="majorEastAsia" w:eastAsiaTheme="majorEastAsia"/>
          <w:b/>
          <w:color w:val="000000" w:themeColor="text1"/>
          <w:sz w:val="36"/>
          <w:highlight w:val="none"/>
          <w14:textFill>
            <w14:solidFill>
              <w14:schemeClr w14:val="tx1"/>
            </w14:solidFill>
          </w14:textFill>
        </w:rPr>
        <w:t>（正或副本）</w:t>
      </w:r>
    </w:p>
    <w:p>
      <w:pPr>
        <w:jc w:val="center"/>
        <w:rPr>
          <w:rFonts w:asciiTheme="majorEastAsia" w:hAnsiTheme="majorEastAsia" w:eastAsiaTheme="majorEastAsia"/>
          <w:b/>
          <w:color w:val="000000" w:themeColor="text1"/>
          <w:sz w:val="72"/>
          <w:highlight w:val="none"/>
          <w14:textFill>
            <w14:solidFill>
              <w14:schemeClr w14:val="tx1"/>
            </w14:solidFill>
          </w14:textFill>
        </w:rPr>
      </w:pPr>
    </w:p>
    <w:p>
      <w:pPr>
        <w:jc w:val="center"/>
        <w:rPr>
          <w:rFonts w:asciiTheme="majorEastAsia" w:hAnsiTheme="majorEastAsia" w:eastAsiaTheme="majorEastAsia"/>
          <w:b/>
          <w:color w:val="000000" w:themeColor="text1"/>
          <w:sz w:val="36"/>
          <w:highlight w:val="none"/>
          <w14:textFill>
            <w14:solidFill>
              <w14:schemeClr w14:val="tx1"/>
            </w14:solidFill>
          </w14:textFill>
        </w:rPr>
      </w:pPr>
    </w:p>
    <w:p>
      <w:pPr>
        <w:jc w:val="center"/>
        <w:rPr>
          <w:rFonts w:asciiTheme="majorEastAsia" w:hAnsiTheme="majorEastAsia" w:eastAsiaTheme="majorEastAsia"/>
          <w:b/>
          <w:color w:val="000000" w:themeColor="text1"/>
          <w:sz w:val="36"/>
          <w:highlight w:val="none"/>
          <w14:textFill>
            <w14:solidFill>
              <w14:schemeClr w14:val="tx1"/>
            </w14:solidFill>
          </w14:textFill>
        </w:rPr>
      </w:pPr>
    </w:p>
    <w:p>
      <w:pPr>
        <w:jc w:val="center"/>
        <w:rPr>
          <w:rFonts w:asciiTheme="majorEastAsia" w:hAnsiTheme="majorEastAsia" w:eastAsiaTheme="majorEastAsia"/>
          <w:b/>
          <w:color w:val="000000" w:themeColor="text1"/>
          <w:sz w:val="36"/>
          <w:highlight w:val="none"/>
          <w14:textFill>
            <w14:solidFill>
              <w14:schemeClr w14:val="tx1"/>
            </w14:solidFill>
          </w14:textFill>
        </w:rPr>
      </w:pPr>
    </w:p>
    <w:p>
      <w:pPr>
        <w:ind w:firstLine="1084" w:firstLineChars="300"/>
        <w:rPr>
          <w:rFonts w:asciiTheme="majorEastAsia" w:hAnsiTheme="majorEastAsia" w:eastAsiaTheme="majorEastAsia"/>
          <w:b/>
          <w:color w:val="000000" w:themeColor="text1"/>
          <w:sz w:val="36"/>
          <w:highlight w:val="none"/>
          <w:u w:val="single"/>
          <w14:textFill>
            <w14:solidFill>
              <w14:schemeClr w14:val="tx1"/>
            </w14:solidFill>
          </w14:textFill>
        </w:rPr>
      </w:pPr>
      <w:r>
        <w:rPr>
          <w:rFonts w:hint="eastAsia" w:asciiTheme="majorEastAsia" w:hAnsiTheme="majorEastAsia" w:eastAsiaTheme="majorEastAsia"/>
          <w:b/>
          <w:color w:val="000000" w:themeColor="text1"/>
          <w:sz w:val="36"/>
          <w:highlight w:val="none"/>
          <w14:textFill>
            <w14:solidFill>
              <w14:schemeClr w14:val="tx1"/>
            </w14:solidFill>
          </w14:textFill>
        </w:rPr>
        <w:t>项 目 名 称：</w:t>
      </w:r>
    </w:p>
    <w:p>
      <w:pPr>
        <w:pStyle w:val="2"/>
        <w:rPr>
          <w:rFonts w:asciiTheme="majorEastAsia" w:hAnsiTheme="majorEastAsia" w:eastAsiaTheme="majorEastAsia"/>
          <w:color w:val="000000" w:themeColor="text1"/>
          <w:highlight w:val="none"/>
          <w14:textFill>
            <w14:solidFill>
              <w14:schemeClr w14:val="tx1"/>
            </w14:solidFill>
          </w14:textFill>
        </w:rPr>
      </w:pPr>
    </w:p>
    <w:p>
      <w:pPr>
        <w:ind w:firstLine="1084" w:firstLineChars="300"/>
        <w:rPr>
          <w:rFonts w:asciiTheme="majorEastAsia" w:hAnsiTheme="majorEastAsia" w:eastAsiaTheme="majorEastAsia"/>
          <w:b/>
          <w:color w:val="000000" w:themeColor="text1"/>
          <w:sz w:val="36"/>
          <w:highlight w:val="none"/>
          <w:u w:val="single"/>
          <w14:textFill>
            <w14:solidFill>
              <w14:schemeClr w14:val="tx1"/>
            </w14:solidFill>
          </w14:textFill>
        </w:rPr>
      </w:pPr>
      <w:r>
        <w:rPr>
          <w:rFonts w:hint="eastAsia" w:asciiTheme="majorEastAsia" w:hAnsiTheme="majorEastAsia" w:eastAsiaTheme="majorEastAsia"/>
          <w:b/>
          <w:color w:val="000000" w:themeColor="text1"/>
          <w:sz w:val="36"/>
          <w:highlight w:val="none"/>
          <w14:textFill>
            <w14:solidFill>
              <w14:schemeClr w14:val="tx1"/>
            </w14:solidFill>
          </w14:textFill>
        </w:rPr>
        <w:t>招 标 编 号：</w:t>
      </w:r>
    </w:p>
    <w:p>
      <w:pPr>
        <w:pStyle w:val="2"/>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b/>
          <w:color w:val="000000" w:themeColor="text1"/>
          <w:sz w:val="36"/>
          <w:highlight w:val="none"/>
          <w:u w:val="single"/>
          <w14:textFill>
            <w14:solidFill>
              <w14:schemeClr w14:val="tx1"/>
            </w14:solidFill>
          </w14:textFill>
        </w:rPr>
      </w:pPr>
      <w:r>
        <w:rPr>
          <w:rFonts w:hint="eastAsia" w:asciiTheme="majorEastAsia" w:hAnsiTheme="majorEastAsia" w:eastAsiaTheme="majorEastAsia"/>
          <w:b/>
          <w:color w:val="000000" w:themeColor="text1"/>
          <w:sz w:val="36"/>
          <w:highlight w:val="none"/>
          <w14:textFill>
            <w14:solidFill>
              <w14:schemeClr w14:val="tx1"/>
            </w14:solidFill>
          </w14:textFill>
        </w:rPr>
        <w:t xml:space="preserve">      投标人名称 ：</w:t>
      </w:r>
      <w:r>
        <w:rPr>
          <w:rFonts w:hint="eastAsia" w:asciiTheme="majorEastAsia" w:hAnsiTheme="majorEastAsia" w:eastAsiaTheme="majorEastAsia"/>
          <w:b/>
          <w:color w:val="000000" w:themeColor="text1"/>
          <w:sz w:val="36"/>
          <w:highlight w:val="none"/>
          <w:u w:val="single"/>
          <w14:textFill>
            <w14:solidFill>
              <w14:schemeClr w14:val="tx1"/>
            </w14:solidFill>
          </w14:textFill>
        </w:rPr>
        <w:t xml:space="preserve">              （盖公章） </w:t>
      </w:r>
    </w:p>
    <w:p>
      <w:pPr>
        <w:pStyle w:val="2"/>
        <w:rPr>
          <w:rFonts w:asciiTheme="majorEastAsia" w:hAnsiTheme="majorEastAsia" w:eastAsiaTheme="majorEastAsia"/>
          <w:color w:val="000000" w:themeColor="text1"/>
          <w:highlight w:val="none"/>
          <w14:textFill>
            <w14:solidFill>
              <w14:schemeClr w14:val="tx1"/>
            </w14:solidFill>
          </w14:textFill>
        </w:rPr>
      </w:pPr>
    </w:p>
    <w:p>
      <w:pPr>
        <w:rPr>
          <w:rFonts w:asciiTheme="majorEastAsia" w:hAnsiTheme="majorEastAsia" w:eastAsiaTheme="majorEastAsia"/>
          <w:b/>
          <w:color w:val="000000" w:themeColor="text1"/>
          <w:sz w:val="36"/>
          <w:highlight w:val="none"/>
          <w14:textFill>
            <w14:solidFill>
              <w14:schemeClr w14:val="tx1"/>
            </w14:solidFill>
          </w14:textFill>
        </w:rPr>
      </w:pPr>
      <w:r>
        <w:rPr>
          <w:rFonts w:hint="eastAsia" w:asciiTheme="majorEastAsia" w:hAnsiTheme="majorEastAsia" w:eastAsiaTheme="majorEastAsia"/>
          <w:b/>
          <w:color w:val="000000" w:themeColor="text1"/>
          <w:sz w:val="36"/>
          <w:highlight w:val="none"/>
          <w14:textFill>
            <w14:solidFill>
              <w14:schemeClr w14:val="tx1"/>
            </w14:solidFill>
          </w14:textFill>
        </w:rPr>
        <w:t xml:space="preserve">      日      期 ：</w:t>
      </w:r>
    </w:p>
    <w:p>
      <w:pPr>
        <w:spacing w:line="440" w:lineRule="exact"/>
        <w:jc w:val="center"/>
        <w:rPr>
          <w:rFonts w:asciiTheme="majorEastAsia" w:hAnsiTheme="majorEastAsia" w:eastAsiaTheme="majorEastAsia"/>
          <w:b/>
          <w:bCs/>
          <w:color w:val="000000" w:themeColor="text1"/>
          <w:sz w:val="32"/>
          <w:szCs w:val="32"/>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highlight w:val="none"/>
          <w14:textFill>
            <w14:solidFill>
              <w14:schemeClr w14:val="tx1"/>
            </w14:solidFill>
          </w14:textFill>
        </w:rPr>
      </w:pPr>
      <w:r>
        <w:rPr>
          <w:rFonts w:asciiTheme="majorEastAsia" w:hAnsiTheme="majorEastAsia" w:eastAsiaTheme="majorEastAsia"/>
          <w:color w:val="000000" w:themeColor="text1"/>
          <w:sz w:val="24"/>
          <w:highlight w:val="none"/>
          <w14:textFill>
            <w14:solidFill>
              <w14:schemeClr w14:val="tx1"/>
            </w14:solidFill>
          </w14:textFill>
        </w:rPr>
        <w:br w:type="page"/>
      </w:r>
    </w:p>
    <w:p>
      <w:pPr>
        <w:pStyle w:val="24"/>
        <w:jc w:val="center"/>
        <w:rPr>
          <w:rFonts w:asciiTheme="majorEastAsia" w:hAnsiTheme="majorEastAsia" w:eastAsiaTheme="majorEastAsia"/>
          <w:color w:val="000000" w:themeColor="text1"/>
          <w:sz w:val="24"/>
          <w:highlight w:val="none"/>
          <w14:textFill>
            <w14:solidFill>
              <w14:schemeClr w14:val="tx1"/>
            </w14:solidFill>
          </w14:textFill>
        </w:rPr>
      </w:pPr>
    </w:p>
    <w:p>
      <w:pPr>
        <w:pStyle w:val="24"/>
        <w:jc w:val="center"/>
        <w:rPr>
          <w:rFonts w:asciiTheme="majorEastAsia" w:hAnsiTheme="majorEastAsia" w:eastAsiaTheme="majorEastAsia"/>
          <w:b/>
          <w:color w:val="000000" w:themeColor="text1"/>
          <w:sz w:val="36"/>
          <w:szCs w:val="36"/>
          <w:highlight w:val="none"/>
          <w14:textFill>
            <w14:solidFill>
              <w14:schemeClr w14:val="tx1"/>
            </w14:solidFill>
          </w14:textFill>
        </w:rPr>
      </w:pPr>
      <w:r>
        <w:rPr>
          <w:rFonts w:hint="eastAsia" w:asciiTheme="majorEastAsia" w:hAnsiTheme="majorEastAsia" w:eastAsiaTheme="majorEastAsia"/>
          <w:b/>
          <w:color w:val="000000" w:themeColor="text1"/>
          <w:sz w:val="36"/>
          <w:szCs w:val="36"/>
          <w:highlight w:val="none"/>
          <w14:textFill>
            <w14:solidFill>
              <w14:schemeClr w14:val="tx1"/>
            </w14:solidFill>
          </w14:textFill>
        </w:rPr>
        <w:t>评分索引表</w:t>
      </w:r>
    </w:p>
    <w:p>
      <w:pPr>
        <w:pStyle w:val="24"/>
        <w:jc w:val="center"/>
        <w:rPr>
          <w:rFonts w:asciiTheme="majorEastAsia" w:hAnsiTheme="majorEastAsia" w:eastAsiaTheme="majorEastAsia"/>
          <w:b/>
          <w:color w:val="000000" w:themeColor="text1"/>
          <w:sz w:val="36"/>
          <w:szCs w:val="36"/>
          <w:highlight w:val="none"/>
          <w14:textFill>
            <w14:solidFill>
              <w14:schemeClr w14:val="tx1"/>
            </w14:solidFill>
          </w14:textFill>
        </w:rPr>
      </w:pPr>
    </w:p>
    <w:p>
      <w:pPr>
        <w:spacing w:line="440" w:lineRule="exact"/>
        <w:jc w:val="left"/>
        <w:rPr>
          <w:rFonts w:asciiTheme="majorEastAsia" w:hAnsiTheme="majorEastAsia" w:eastAsiaTheme="majorEastAsia"/>
          <w:b/>
          <w:bCs/>
          <w:color w:val="000000" w:themeColor="text1"/>
          <w:sz w:val="30"/>
          <w:szCs w:val="30"/>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为了方便专家评审投标文件，针对招标文件评分细则要求，投标人应制作标书索引，置于投标文件首页，格式如下</w:t>
      </w:r>
      <w:r>
        <w:rPr>
          <w:rFonts w:hint="eastAsia" w:asciiTheme="majorEastAsia" w:hAnsiTheme="majorEastAsia" w:eastAsiaTheme="majorEastAsia"/>
          <w:b/>
          <w:color w:val="000000" w:themeColor="text1"/>
          <w:sz w:val="30"/>
          <w:szCs w:val="30"/>
          <w:highlight w:val="none"/>
          <w14:textFill>
            <w14:solidFill>
              <w14:schemeClr w14:val="tx1"/>
            </w14:solidFill>
          </w14:textFill>
        </w:rPr>
        <w:t>：</w:t>
      </w:r>
    </w:p>
    <w:p>
      <w:pPr>
        <w:spacing w:line="440" w:lineRule="exact"/>
        <w:jc w:val="center"/>
        <w:rPr>
          <w:rFonts w:asciiTheme="majorEastAsia" w:hAnsiTheme="majorEastAsia" w:eastAsiaTheme="majorEastAsia"/>
          <w:b/>
          <w:color w:val="000000" w:themeColor="text1"/>
          <w:sz w:val="30"/>
          <w:szCs w:val="30"/>
          <w:highlight w:val="none"/>
          <w14:textFill>
            <w14:solidFill>
              <w14:schemeClr w14:val="tx1"/>
            </w14:solidFill>
          </w14:textFill>
        </w:rPr>
      </w:pPr>
    </w:p>
    <w:tbl>
      <w:tblPr>
        <w:tblStyle w:val="4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49"/>
        <w:gridCol w:w="3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8" w:type="pct"/>
          </w:tcPr>
          <w:p>
            <w:pPr>
              <w:pStyle w:val="74"/>
              <w:shd w:val="clear" w:color="auto" w:fill="FFFFFF"/>
              <w:spacing w:line="480" w:lineRule="auto"/>
              <w:ind w:left="420"/>
              <w:jc w:val="center"/>
              <w:rPr>
                <w:rFonts w:asciiTheme="majorEastAsia" w:hAnsiTheme="majorEastAsia" w:eastAsiaTheme="majorEastAsia"/>
                <w:b/>
                <w:bCs/>
                <w:color w:val="000000" w:themeColor="text1"/>
                <w:sz w:val="28"/>
                <w:highlight w:val="none"/>
                <w:lang w:eastAsia="zh-CN"/>
                <w14:textFill>
                  <w14:solidFill>
                    <w14:schemeClr w14:val="tx1"/>
                  </w14:solidFill>
                </w14:textFill>
              </w:rPr>
            </w:pPr>
            <w:r>
              <w:rPr>
                <w:rFonts w:hint="eastAsia" w:asciiTheme="majorEastAsia" w:hAnsiTheme="majorEastAsia" w:eastAsiaTheme="majorEastAsia"/>
                <w:b/>
                <w:color w:val="000000" w:themeColor="text1"/>
                <w:sz w:val="28"/>
                <w:highlight w:val="none"/>
                <w14:textFill>
                  <w14:solidFill>
                    <w14:schemeClr w14:val="tx1"/>
                  </w14:solidFill>
                </w14:textFill>
              </w:rPr>
              <w:t>评分项目</w:t>
            </w:r>
          </w:p>
        </w:tc>
        <w:tc>
          <w:tcPr>
            <w:tcW w:w="1932" w:type="pct"/>
          </w:tcPr>
          <w:p>
            <w:pPr>
              <w:spacing w:line="480" w:lineRule="auto"/>
              <w:jc w:val="center"/>
              <w:rPr>
                <w:rFonts w:asciiTheme="majorEastAsia" w:hAnsiTheme="majorEastAsia" w:eastAsiaTheme="majorEastAsia"/>
                <w:b/>
                <w:color w:val="000000" w:themeColor="text1"/>
                <w:sz w:val="28"/>
                <w:highlight w:val="none"/>
                <w14:textFill>
                  <w14:solidFill>
                    <w14:schemeClr w14:val="tx1"/>
                  </w14:solidFill>
                </w14:textFill>
              </w:rPr>
            </w:pPr>
            <w:r>
              <w:rPr>
                <w:rFonts w:hint="eastAsia" w:asciiTheme="majorEastAsia" w:hAnsiTheme="majorEastAsia" w:eastAsiaTheme="majorEastAsia"/>
                <w:b/>
                <w:color w:val="000000" w:themeColor="text1"/>
                <w:kern w:val="0"/>
                <w:sz w:val="28"/>
                <w:highlight w:val="none"/>
                <w:lang w:bidi="en-US"/>
                <w14:textFill>
                  <w14:solidFill>
                    <w14:schemeClr w14:val="tx1"/>
                  </w14:solidFill>
                </w14:textFill>
              </w:rPr>
              <w:t>在投标文件中的页码位置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jc w:val="both"/>
              <w:rPr>
                <w:rFonts w:asciiTheme="majorEastAsia" w:hAnsiTheme="majorEastAsia" w:eastAsiaTheme="majorEastAsia"/>
                <w:b/>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b/>
                <w:color w:val="000000" w:themeColor="text1"/>
                <w:kern w:val="0"/>
                <w:sz w:val="24"/>
                <w:highlight w:val="none"/>
                <w:lang w:bidi="en-US"/>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3068" w:type="pct"/>
          </w:tcPr>
          <w:p>
            <w:pPr>
              <w:pStyle w:val="74"/>
              <w:shd w:val="clear" w:color="auto" w:fill="FFFFFF"/>
              <w:spacing w:line="480" w:lineRule="auto"/>
              <w:ind w:left="420"/>
              <w:rPr>
                <w:rFonts w:asciiTheme="majorEastAsia" w:hAnsiTheme="majorEastAsia" w:eastAsiaTheme="majorEastAsia"/>
                <w:color w:val="000000" w:themeColor="text1"/>
                <w:highlight w:val="none"/>
                <w:lang w:eastAsia="zh-CN"/>
                <w14:textFill>
                  <w14:solidFill>
                    <w14:schemeClr w14:val="tx1"/>
                  </w14:solidFill>
                </w14:textFill>
              </w:rPr>
            </w:pPr>
          </w:p>
        </w:tc>
        <w:tc>
          <w:tcPr>
            <w:tcW w:w="1932" w:type="pct"/>
          </w:tcPr>
          <w:p>
            <w:pPr>
              <w:spacing w:line="480" w:lineRule="auto"/>
              <w:rPr>
                <w:rFonts w:asciiTheme="majorEastAsia" w:hAnsiTheme="majorEastAsia" w:eastAsiaTheme="majorEastAsia"/>
                <w:color w:val="000000" w:themeColor="text1"/>
                <w:sz w:val="24"/>
                <w:szCs w:val="24"/>
                <w:highlight w:val="none"/>
                <w14:textFill>
                  <w14:solidFill>
                    <w14:schemeClr w14:val="tx1"/>
                  </w14:solidFill>
                </w14:textFill>
              </w:rPr>
            </w:pPr>
          </w:p>
        </w:tc>
      </w:tr>
    </w:tbl>
    <w:p>
      <w:pP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（说明：此表按照招标文件中综合评分标准表逐项填写）</w:t>
      </w: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spacing w:line="460" w:lineRule="exact"/>
        <w:ind w:firstLine="5520" w:firstLineChars="23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投标人名称（公章）：</w:t>
      </w: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 xml:space="preserve">                                                      日期：   年  月  日</w:t>
      </w: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color w:val="000000" w:themeColor="text1"/>
          <w:sz w:val="36"/>
          <w:highlight w:val="none"/>
          <w:u w:val="single"/>
          <w14:textFill>
            <w14:solidFill>
              <w14:schemeClr w14:val="tx1"/>
            </w14:solidFill>
          </w14:textFill>
        </w:rPr>
      </w:pPr>
    </w:p>
    <w:p>
      <w:pPr>
        <w:pStyle w:val="24"/>
        <w:jc w:val="center"/>
        <w:rPr>
          <w:rFonts w:asciiTheme="majorEastAsia" w:hAnsiTheme="majorEastAsia" w:eastAsiaTheme="majorEastAsia"/>
          <w:b/>
          <w:bCs/>
          <w:color w:val="000000" w:themeColor="text1"/>
          <w:sz w:val="48"/>
          <w:szCs w:val="30"/>
          <w:highlight w:val="none"/>
          <w14:textFill>
            <w14:solidFill>
              <w14:schemeClr w14:val="tx1"/>
            </w14:solidFill>
          </w14:textFill>
        </w:rPr>
      </w:pPr>
      <w:r>
        <w:rPr>
          <w:rFonts w:hint="eastAsia" w:asciiTheme="majorEastAsia" w:hAnsiTheme="majorEastAsia" w:eastAsiaTheme="majorEastAsia"/>
          <w:b/>
          <w:color w:val="000000" w:themeColor="text1"/>
          <w:sz w:val="48"/>
          <w:szCs w:val="30"/>
          <w:highlight w:val="none"/>
          <w14:textFill>
            <w14:solidFill>
              <w14:schemeClr w14:val="tx1"/>
            </w14:solidFill>
          </w14:textFill>
        </w:rPr>
        <w:t>投标主要文件目录</w:t>
      </w:r>
    </w:p>
    <w:p>
      <w:pPr>
        <w:spacing w:line="440" w:lineRule="exact"/>
        <w:jc w:val="center"/>
        <w:rPr>
          <w:rFonts w:asciiTheme="majorEastAsia" w:hAnsiTheme="majorEastAsia" w:eastAsiaTheme="majorEastAsia"/>
          <w:b/>
          <w:bCs/>
          <w:color w:val="000000" w:themeColor="text1"/>
          <w:sz w:val="32"/>
          <w:szCs w:val="32"/>
          <w:highlight w:val="none"/>
          <w14:textFill>
            <w14:solidFill>
              <w14:schemeClr w14:val="tx1"/>
            </w14:solidFill>
          </w14:textFill>
        </w:rPr>
      </w:pP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一、资信证明文件要求</w:t>
      </w: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二、资格性审查响应对照表</w:t>
      </w: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三、符合性检查响应对照表</w:t>
      </w: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四、投标承诺书</w:t>
      </w: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五、开标一览表</w:t>
      </w:r>
    </w:p>
    <w:p>
      <w:pPr>
        <w:autoSpaceDE w:val="0"/>
        <w:autoSpaceDN w:val="0"/>
        <w:adjustRightInd w:val="0"/>
        <w:spacing w:line="360" w:lineRule="auto"/>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　　六、技术方案、服务承诺等</w:t>
      </w:r>
    </w:p>
    <w:p>
      <w:pPr>
        <w:pStyle w:val="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七、配备人员一览表</w:t>
      </w:r>
    </w:p>
    <w:p>
      <w:pPr>
        <w:autoSpaceDE w:val="0"/>
        <w:autoSpaceDN w:val="0"/>
        <w:adjustRightInd w:val="0"/>
        <w:spacing w:line="360" w:lineRule="auto"/>
        <w:ind w:firstLine="424" w:firstLineChars="177"/>
        <w:jc w:val="left"/>
        <w:rPr>
          <w:rFonts w:ascii="宋体" w:cs="宋体"/>
          <w:color w:val="000000" w:themeColor="text1"/>
          <w:sz w:val="24"/>
          <w:szCs w:val="24"/>
          <w:highlight w:val="none"/>
          <w14:textFill>
            <w14:solidFill>
              <w14:schemeClr w14:val="tx1"/>
            </w14:solidFill>
          </w14:textFill>
        </w:rPr>
      </w:pPr>
      <w:r>
        <w:rPr>
          <w:rFonts w:hint="eastAsia" w:ascii="宋体" w:cs="宋体"/>
          <w:color w:val="000000" w:themeColor="text1"/>
          <w:sz w:val="24"/>
          <w:szCs w:val="24"/>
          <w:highlight w:val="none"/>
          <w14:textFill>
            <w14:solidFill>
              <w14:schemeClr w14:val="tx1"/>
            </w14:solidFill>
          </w14:textFill>
        </w:rPr>
        <w:t>八、盐城市政府采购事前信用承诺书</w:t>
      </w:r>
    </w:p>
    <w:p>
      <w:pPr>
        <w:autoSpaceDE w:val="0"/>
        <w:autoSpaceDN w:val="0"/>
        <w:adjustRightInd w:val="0"/>
        <w:jc w:val="left"/>
        <w:rPr>
          <w:rFonts w:ascii="宋体" w:cs="宋体"/>
          <w:color w:val="000000" w:themeColor="text1"/>
          <w:sz w:val="24"/>
          <w:szCs w:val="24"/>
          <w:highlight w:val="none"/>
          <w14:textFill>
            <w14:solidFill>
              <w14:schemeClr w14:val="tx1"/>
            </w14:solidFill>
          </w14:textFill>
        </w:rPr>
      </w:pPr>
    </w:p>
    <w:p>
      <w:pPr>
        <w:pStyle w:val="2"/>
        <w:ind w:firstLine="525" w:firstLineChars="250"/>
        <w:rPr>
          <w:rFonts w:asciiTheme="majorEastAsia" w:hAnsiTheme="majorEastAsia" w:eastAsiaTheme="majorEastAsia"/>
          <w:color w:val="000000" w:themeColor="text1"/>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24"/>
        <w:rPr>
          <w:color w:val="000000" w:themeColor="text1"/>
          <w:highlight w:val="none"/>
          <w14:textFill>
            <w14:solidFill>
              <w14:schemeClr w14:val="tx1"/>
            </w14:solidFill>
          </w14:textFill>
        </w:rPr>
      </w:pPr>
    </w:p>
    <w:p>
      <w:pPr>
        <w:pStyle w:val="6"/>
        <w:rPr>
          <w:rFonts w:asciiTheme="majorEastAsia" w:hAnsiTheme="majorEastAsia" w:eastAsiaTheme="majorEastAsia"/>
          <w:color w:val="000000" w:themeColor="text1"/>
          <w:sz w:val="24"/>
          <w:szCs w:val="21"/>
          <w:highlight w:val="none"/>
          <w14:textFill>
            <w14:solidFill>
              <w14:schemeClr w14:val="tx1"/>
            </w14:solidFill>
          </w14:textFill>
        </w:rPr>
      </w:pPr>
      <w:r>
        <w:rPr>
          <w:rFonts w:hint="eastAsia" w:asciiTheme="majorEastAsia" w:hAnsiTheme="majorEastAsia" w:eastAsiaTheme="majorEastAsia"/>
          <w:color w:val="000000" w:themeColor="text1"/>
          <w:sz w:val="32"/>
          <w:szCs w:val="32"/>
          <w:highlight w:val="none"/>
          <w14:textFill>
            <w14:solidFill>
              <w14:schemeClr w14:val="tx1"/>
            </w14:solidFill>
          </w14:textFill>
        </w:rPr>
        <w:t>一、资信证明文件要求</w:t>
      </w:r>
    </w:p>
    <w:p>
      <w:pPr>
        <w:snapToGrid w:val="0"/>
        <w:spacing w:before="50" w:after="50" w:line="360" w:lineRule="auto"/>
        <w:ind w:firstLine="472" w:firstLineChars="196"/>
        <w:rPr>
          <w:rFonts w:asciiTheme="majorEastAsia" w:hAnsiTheme="majorEastAsia" w:eastAsiaTheme="majorEastAsia"/>
          <w:color w:val="000000" w:themeColor="text1"/>
          <w:sz w:val="24"/>
          <w:szCs w:val="20"/>
          <w:highlight w:val="none"/>
          <w14:textFill>
            <w14:solidFill>
              <w14:schemeClr w14:val="tx1"/>
            </w14:solidFill>
          </w14:textFill>
        </w:rPr>
      </w:pPr>
      <w:r>
        <w:rPr>
          <w:rFonts w:hint="eastAsia" w:asciiTheme="majorEastAsia" w:hAnsiTheme="majorEastAsia" w:eastAsiaTheme="majorEastAsia"/>
          <w:b/>
          <w:bCs/>
          <w:color w:val="000000" w:themeColor="text1"/>
          <w:sz w:val="24"/>
          <w:highlight w:val="none"/>
          <w14:textFill>
            <w14:solidFill>
              <w14:schemeClr w14:val="tx1"/>
            </w14:solidFill>
          </w14:textFill>
        </w:rPr>
        <w:t>实质性资格证明文件目录</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文件1  法人或者其他组织的营业执照等证明文件，自然人的身份证明（复印件）</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文件2  上一年度财务状况报表（复印件，成立不满一年不需提供）</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文件3  依法缴纳税收和社会保障资金的相关材料（复印件）</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文件4  具备履行合同所必需的设备和专业技术能力证明材料</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文件5  参加政府采购活动前 3 年内在经营活动中没有重大违法记录的书面声明</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文件6  信用记录</w:t>
      </w:r>
    </w:p>
    <w:p>
      <w:pPr>
        <w:spacing w:line="360" w:lineRule="auto"/>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文件7  法人授权书</w:t>
      </w:r>
    </w:p>
    <w:p>
      <w:pPr>
        <w:spacing w:line="360" w:lineRule="auto"/>
        <w:ind w:firstLine="480" w:firstLineChars="200"/>
        <w:jc w:val="left"/>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文件8  招标文件中规定要求提供的证明材料和投标人认为需要提供的其他材料（招标文件要求提供原件的必须单独封装并与投标文件一起递交，评标结束后原件退回；未要求提供原件的提供复印件，原件自带备查）</w:t>
      </w: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spacing w:line="360" w:lineRule="auto"/>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具备履行合同所必需的设备和专业技术能力的书面声明</w:t>
      </w: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我公司郑重声明：我公司具备履行本项采购合同所必需的设备和专业技术能力，为履行本项采购合同我公司具备如下主要设备和主要专业技术能力：</w:t>
      </w: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主要设备有：。</w:t>
      </w: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主要专业技术能力有：。</w:t>
      </w: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ind w:firstLine="492"/>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ind w:firstLine="5400" w:firstLineChars="225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投标人名称（公章）：</w:t>
      </w:r>
    </w:p>
    <w:p>
      <w:pPr>
        <w:pStyle w:val="2"/>
        <w:rPr>
          <w:color w:val="000000" w:themeColor="text1"/>
          <w:highlight w:val="none"/>
          <w14:textFill>
            <w14:solidFill>
              <w14:schemeClr w14:val="tx1"/>
            </w14:solidFill>
          </w14:textFill>
        </w:rPr>
      </w:pPr>
    </w:p>
    <w:p>
      <w:pPr>
        <w:spacing w:line="460" w:lineRule="exact"/>
        <w:ind w:firstLine="5520" w:firstLineChars="23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日期：   年  月  日</w:t>
      </w:r>
    </w:p>
    <w:p>
      <w:pPr>
        <w:pStyle w:val="8"/>
        <w:ind w:firstLine="0"/>
        <w:rPr>
          <w:rFonts w:asciiTheme="majorEastAsia" w:hAnsiTheme="majorEastAsia" w:eastAsiaTheme="majorEastAsia"/>
          <w:color w:val="000000" w:themeColor="text1"/>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asciiTheme="majorEastAsia" w:hAnsiTheme="majorEastAsia" w:eastAsiaTheme="majorEastAsia"/>
          <w:color w:val="000000" w:themeColor="text1"/>
          <w:sz w:val="24"/>
          <w:szCs w:val="24"/>
          <w:highlight w:val="none"/>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参加政府采购活动前 3 年内在经营活动中</w:t>
      </w: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没有重大违法记录的书面声明</w:t>
      </w:r>
    </w:p>
    <w:p>
      <w:pPr>
        <w:spacing w:line="460" w:lineRule="exact"/>
        <w:rPr>
          <w:rFonts w:asciiTheme="majorEastAsia" w:hAnsiTheme="majorEastAsia" w:eastAsiaTheme="majorEastAsia"/>
          <w:b/>
          <w:bCs/>
          <w:color w:val="000000" w:themeColor="text1"/>
          <w:sz w:val="44"/>
          <w:szCs w:val="44"/>
          <w:highlight w:val="none"/>
          <w14:textFill>
            <w14:solidFill>
              <w14:schemeClr w14:val="tx1"/>
            </w14:solidFill>
          </w14:textFill>
        </w:rPr>
      </w:pPr>
    </w:p>
    <w:p>
      <w:pPr>
        <w:spacing w:line="460" w:lineRule="exact"/>
        <w:jc w:val="center"/>
        <w:rPr>
          <w:rFonts w:asciiTheme="majorEastAsia" w:hAnsiTheme="majorEastAsia" w:eastAsiaTheme="majorEastAsia"/>
          <w:b/>
          <w:bCs/>
          <w:color w:val="000000" w:themeColor="text1"/>
          <w:sz w:val="44"/>
          <w:szCs w:val="44"/>
          <w:highlight w:val="none"/>
          <w14:textFill>
            <w14:solidFill>
              <w14:schemeClr w14:val="tx1"/>
            </w14:solidFill>
          </w14:textFill>
        </w:rPr>
      </w:pPr>
      <w:r>
        <w:rPr>
          <w:rFonts w:hint="eastAsia" w:asciiTheme="majorEastAsia" w:hAnsiTheme="majorEastAsia" w:eastAsiaTheme="majorEastAsia"/>
          <w:b/>
          <w:bCs/>
          <w:color w:val="000000" w:themeColor="text1"/>
          <w:sz w:val="44"/>
          <w:szCs w:val="44"/>
          <w:highlight w:val="none"/>
          <w14:textFill>
            <w14:solidFill>
              <w14:schemeClr w14:val="tx1"/>
            </w14:solidFill>
          </w14:textFill>
        </w:rPr>
        <w:t>声  明</w:t>
      </w:r>
    </w:p>
    <w:p>
      <w:pPr>
        <w:pStyle w:val="2"/>
        <w:rPr>
          <w:rFonts w:asciiTheme="majorEastAsia" w:hAnsiTheme="majorEastAsia" w:eastAsiaTheme="majorEastAsia"/>
          <w:color w:val="000000" w:themeColor="text1"/>
          <w:highlight w:val="none"/>
          <w14:textFill>
            <w14:solidFill>
              <w14:schemeClr w14:val="tx1"/>
            </w14:solidFill>
          </w14:textFill>
        </w:rPr>
      </w:pPr>
    </w:p>
    <w:p>
      <w:pPr>
        <w:spacing w:line="460" w:lineRule="exact"/>
        <w:ind w:firstLine="480" w:firstLineChars="2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我公司郑重声明：参加本次政府采购活动前 3 年内，我公司在经营活动中没有因违法经营受到刑事处罚或者责令停产停业、吊销许可证或者执照、较大数额罚款等行政处罚。</w:t>
      </w: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ind w:firstLine="4200" w:firstLineChars="175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 xml:space="preserve"> 投标人名称（公章）：</w:t>
      </w:r>
    </w:p>
    <w:p>
      <w:pPr>
        <w:spacing w:line="460" w:lineRule="exact"/>
        <w:ind w:firstLine="4320" w:firstLineChars="180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授权代表签字：</w:t>
      </w:r>
      <w:r>
        <w:rPr>
          <w:rFonts w:hint="eastAsia" w:asciiTheme="majorEastAsia" w:hAnsiTheme="majorEastAsia" w:eastAsiaTheme="majorEastAsia"/>
          <w:bCs/>
          <w:color w:val="000000" w:themeColor="text1"/>
          <w:sz w:val="24"/>
          <w:highlight w:val="none"/>
          <w:u w:val="single"/>
          <w14:textFill>
            <w14:solidFill>
              <w14:schemeClr w14:val="tx1"/>
            </w14:solidFill>
          </w14:textFill>
        </w:rPr>
        <w:t>_______________________</w:t>
      </w: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spacing w:line="460" w:lineRule="exact"/>
        <w:ind w:firstLine="5400" w:firstLineChars="2250"/>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日期：</w:t>
      </w:r>
      <w:r>
        <w:rPr>
          <w:rFonts w:hint="eastAsia" w:asciiTheme="majorEastAsia" w:hAnsiTheme="majorEastAsia" w:eastAsiaTheme="majorEastAsia"/>
          <w:bCs/>
          <w:color w:val="000000" w:themeColor="text1"/>
          <w:sz w:val="24"/>
          <w:highlight w:val="none"/>
          <w:u w:val="single"/>
          <w14:textFill>
            <w14:solidFill>
              <w14:schemeClr w14:val="tx1"/>
            </w14:solidFill>
          </w14:textFill>
        </w:rPr>
        <w:t>______</w:t>
      </w:r>
      <w:r>
        <w:rPr>
          <w:rFonts w:hint="eastAsia" w:asciiTheme="majorEastAsia" w:hAnsiTheme="majorEastAsia" w:eastAsiaTheme="majorEastAsia"/>
          <w:bCs/>
          <w:color w:val="000000" w:themeColor="text1"/>
          <w:sz w:val="24"/>
          <w:highlight w:val="none"/>
          <w14:textFill>
            <w14:solidFill>
              <w14:schemeClr w14:val="tx1"/>
            </w14:solidFill>
          </w14:textFill>
        </w:rPr>
        <w:t>年  月  日</w:t>
      </w:r>
    </w:p>
    <w:p>
      <w:pPr>
        <w:spacing w:line="460" w:lineRule="exact"/>
        <w:rPr>
          <w:rFonts w:asciiTheme="majorEastAsia" w:hAnsiTheme="majorEastAsia" w:eastAsiaTheme="majorEastAsia"/>
          <w:bCs/>
          <w:color w:val="000000" w:themeColor="text1"/>
          <w:sz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信用记录</w:t>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需提供在“信用中国”网站（www.creditchina.gov.cn）中未被列入失信被执行人、重大税收违法案件当事人名单和政府采购严重违法失信名单的信息记录截图；以上截图加盖公章；</w:t>
      </w: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附件：信用记录查询网页截图</w:t>
      </w: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以下网页截屏样式内容仅为参考。</w:t>
      </w: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信用中国网页截图（失信被执行人、重大税收违法案件当事人名单和政府采购严重违法失信名单查询页面）：</w:t>
      </w:r>
    </w:p>
    <w:p>
      <w:pPr>
        <w:pStyle w:val="24"/>
        <w:ind w:firstLine="480" w:firstLineChars="200"/>
        <w:jc w:val="left"/>
        <w:rPr>
          <w:rFonts w:asciiTheme="majorEastAsia" w:hAnsiTheme="majorEastAsia" w:eastAsiaTheme="majorEastAsia"/>
          <w:color w:val="000000" w:themeColor="text1"/>
          <w:sz w:val="24"/>
          <w:szCs w:val="24"/>
          <w:highlight w:val="none"/>
          <w14:textFill>
            <w14:solidFill>
              <w14:schemeClr w14:val="tx1"/>
            </w14:solidFill>
          </w14:textFill>
        </w:rPr>
      </w:pPr>
    </w:p>
    <w:p>
      <w:pPr>
        <w:spacing w:line="460" w:lineRule="exact"/>
        <w:ind w:firstLine="566" w:firstLineChars="236"/>
        <w:jc w:val="left"/>
        <w:rPr>
          <w:rFonts w:asciiTheme="majorEastAsia" w:hAnsiTheme="majorEastAsia" w:eastAsiaTheme="majorEastAsia"/>
          <w:bCs/>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w:t>
      </w:r>
      <w:r>
        <w:rPr>
          <w:rFonts w:asciiTheme="majorEastAsia" w:hAnsiTheme="majorEastAsia" w:eastAsiaTheme="majorEastAsia"/>
          <w:bCs/>
          <w:color w:val="000000" w:themeColor="text1"/>
          <w:sz w:val="24"/>
          <w:szCs w:val="24"/>
          <w:highlight w:val="none"/>
          <w14:textFill>
            <w14:solidFill>
              <w14:schemeClr w14:val="tx1"/>
            </w14:solidFill>
          </w14:textFill>
        </w:rPr>
        <w:t>失信被执行人查询页面</w:t>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r>
        <w:rPr>
          <w:rFonts w:cs="Times New Roman" w:asciiTheme="majorEastAsia" w:hAnsiTheme="majorEastAsia" w:eastAsiaTheme="majorEastAsia"/>
          <w:color w:val="000000" w:themeColor="text1"/>
          <w:szCs w:val="24"/>
          <w:highlight w:val="none"/>
          <w14:textFill>
            <w14:solidFill>
              <w14:schemeClr w14:val="tx1"/>
            </w14:solidFill>
          </w14:textFill>
        </w:rPr>
        <w:drawing>
          <wp:anchor distT="0" distB="0" distL="0" distR="0" simplePos="0" relativeHeight="251659264" behindDoc="1" locked="0" layoutInCell="1" allowOverlap="1">
            <wp:simplePos x="0" y="0"/>
            <wp:positionH relativeFrom="page">
              <wp:posOffset>1209675</wp:posOffset>
            </wp:positionH>
            <wp:positionV relativeFrom="paragraph">
              <wp:posOffset>328930</wp:posOffset>
            </wp:positionV>
            <wp:extent cx="5497195" cy="2422525"/>
            <wp:effectExtent l="0" t="0" r="8255" b="0"/>
            <wp:wrapThrough wrapText="bothSides">
              <wp:wrapPolygon>
                <wp:start x="0" y="0"/>
                <wp:lineTo x="0" y="21402"/>
                <wp:lineTo x="21558" y="21402"/>
                <wp:lineTo x="21558" y="0"/>
                <wp:lineTo x="0" y="0"/>
              </wp:wrapPolygon>
            </wp:wrapThrough>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jpeg"/>
                    <pic:cNvPicPr>
                      <a:picLocks noChangeAspect="1"/>
                    </pic:cNvPicPr>
                  </pic:nvPicPr>
                  <pic:blipFill>
                    <a:blip r:embed="rId8" cstate="print"/>
                    <a:stretch>
                      <a:fillRect/>
                    </a:stretch>
                  </pic:blipFill>
                  <pic:spPr>
                    <a:xfrm>
                      <a:off x="0" y="0"/>
                      <a:ext cx="5497195" cy="2422525"/>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tabs>
          <w:tab w:val="left" w:pos="898"/>
        </w:tabs>
        <w:autoSpaceDE w:val="0"/>
        <w:autoSpaceDN w:val="0"/>
        <w:spacing w:before="42"/>
        <w:jc w:val="left"/>
        <w:rPr>
          <w:rFonts w:cs="宋体" w:asciiTheme="majorEastAsia" w:hAnsiTheme="majorEastAsia" w:eastAsiaTheme="majorEastAsia"/>
          <w:color w:val="000000" w:themeColor="text1"/>
          <w:kern w:val="0"/>
          <w:sz w:val="24"/>
          <w:highlight w:val="none"/>
          <w14:textFill>
            <w14:solidFill>
              <w14:schemeClr w14:val="tx1"/>
            </w14:solidFill>
          </w14:textFill>
        </w:rPr>
      </w:pPr>
    </w:p>
    <w:p>
      <w:pPr>
        <w:tabs>
          <w:tab w:val="left" w:pos="898"/>
        </w:tabs>
        <w:autoSpaceDE w:val="0"/>
        <w:autoSpaceDN w:val="0"/>
        <w:spacing w:before="42"/>
        <w:ind w:left="898"/>
        <w:jc w:val="left"/>
        <w:rPr>
          <w:rFonts w:cs="宋体" w:asciiTheme="majorEastAsia" w:hAnsiTheme="majorEastAsia" w:eastAsiaTheme="majorEastAsia"/>
          <w:color w:val="000000" w:themeColor="text1"/>
          <w:kern w:val="0"/>
          <w:sz w:val="24"/>
          <w:highlight w:val="none"/>
          <w14:textFill>
            <w14:solidFill>
              <w14:schemeClr w14:val="tx1"/>
            </w14:solidFill>
          </w14:textFill>
        </w:rPr>
      </w:pPr>
      <w:r>
        <w:rPr>
          <w:rFonts w:asciiTheme="majorEastAsia" w:hAnsiTheme="majorEastAsia" w:eastAsiaTheme="majorEastAsia"/>
          <w:color w:val="000000" w:themeColor="text1"/>
          <w:szCs w:val="24"/>
          <w:highlight w:val="none"/>
          <w14:textFill>
            <w14:solidFill>
              <w14:schemeClr w14:val="tx1"/>
            </w14:solidFill>
          </w14:textFill>
        </w:rPr>
        <w:drawing>
          <wp:anchor distT="0" distB="0" distL="0" distR="0" simplePos="0" relativeHeight="251660288" behindDoc="0" locked="0" layoutInCell="1" allowOverlap="1">
            <wp:simplePos x="0" y="0"/>
            <wp:positionH relativeFrom="page">
              <wp:posOffset>1060450</wp:posOffset>
            </wp:positionH>
            <wp:positionV relativeFrom="paragraph">
              <wp:posOffset>462915</wp:posOffset>
            </wp:positionV>
            <wp:extent cx="5478145" cy="2439035"/>
            <wp:effectExtent l="0" t="0" r="8255" b="0"/>
            <wp:wrapTopAndBottom/>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3.jpeg"/>
                    <pic:cNvPicPr>
                      <a:picLocks noChangeAspect="1"/>
                    </pic:cNvPicPr>
                  </pic:nvPicPr>
                  <pic:blipFill>
                    <a:blip r:embed="rId9" cstate="print"/>
                    <a:stretch>
                      <a:fillRect/>
                    </a:stretch>
                  </pic:blipFill>
                  <pic:spPr>
                    <a:xfrm>
                      <a:off x="0" y="0"/>
                      <a:ext cx="5478145" cy="2439035"/>
                    </a:xfrm>
                    <a:prstGeom prst="rect">
                      <a:avLst/>
                    </a:prstGeom>
                  </pic:spPr>
                </pic:pic>
              </a:graphicData>
            </a:graphic>
          </wp:anchor>
        </w:drawing>
      </w:r>
      <w:r>
        <w:rPr>
          <w:rFonts w:hint="eastAsia" w:cs="宋体" w:asciiTheme="majorEastAsia" w:hAnsiTheme="majorEastAsia" w:eastAsiaTheme="majorEastAsia"/>
          <w:color w:val="000000" w:themeColor="text1"/>
          <w:kern w:val="0"/>
          <w:sz w:val="24"/>
          <w:highlight w:val="none"/>
          <w14:textFill>
            <w14:solidFill>
              <w14:schemeClr w14:val="tx1"/>
            </w14:solidFill>
          </w14:textFill>
        </w:rPr>
        <w:t>2、</w:t>
      </w:r>
      <w:r>
        <w:rPr>
          <w:rFonts w:cs="宋体" w:asciiTheme="majorEastAsia" w:hAnsiTheme="majorEastAsia" w:eastAsiaTheme="majorEastAsia"/>
          <w:color w:val="000000" w:themeColor="text1"/>
          <w:kern w:val="0"/>
          <w:sz w:val="24"/>
          <w:highlight w:val="none"/>
          <w14:textFill>
            <w14:solidFill>
              <w14:schemeClr w14:val="tx1"/>
            </w14:solidFill>
          </w14:textFill>
        </w:rPr>
        <w:t>重大税收违法案件当事人名单查询页面</w:t>
      </w:r>
    </w:p>
    <w:p>
      <w:pPr>
        <w:spacing w:before="10" w:after="120"/>
        <w:rPr>
          <w:rFonts w:asciiTheme="majorEastAsia" w:hAnsiTheme="majorEastAsia" w:eastAsiaTheme="majorEastAsia"/>
          <w:color w:val="000000" w:themeColor="text1"/>
          <w:szCs w:val="24"/>
          <w:highlight w:val="none"/>
          <w14:textFill>
            <w14:solidFill>
              <w14:schemeClr w14:val="tx1"/>
            </w14:solidFill>
          </w14:textFill>
        </w:rPr>
      </w:pPr>
    </w:p>
    <w:p>
      <w:pPr>
        <w:spacing w:before="10" w:after="120"/>
        <w:rPr>
          <w:rFonts w:asciiTheme="majorEastAsia" w:hAnsiTheme="majorEastAsia" w:eastAsiaTheme="majorEastAsia"/>
          <w:color w:val="000000" w:themeColor="text1"/>
          <w:szCs w:val="24"/>
          <w:highlight w:val="none"/>
          <w14:textFill>
            <w14:solidFill>
              <w14:schemeClr w14:val="tx1"/>
            </w14:solidFill>
          </w14:textFill>
        </w:rPr>
      </w:pPr>
    </w:p>
    <w:p>
      <w:pPr>
        <w:spacing w:before="10" w:after="120"/>
        <w:rPr>
          <w:rFonts w:asciiTheme="majorEastAsia" w:hAnsiTheme="majorEastAsia" w:eastAsiaTheme="majorEastAsia"/>
          <w:color w:val="000000" w:themeColor="text1"/>
          <w:szCs w:val="24"/>
          <w:highlight w:val="none"/>
          <w14:textFill>
            <w14:solidFill>
              <w14:schemeClr w14:val="tx1"/>
            </w14:solidFill>
          </w14:textFill>
        </w:rPr>
      </w:pPr>
    </w:p>
    <w:p>
      <w:pPr>
        <w:spacing w:before="10" w:after="120"/>
        <w:rPr>
          <w:rFonts w:asciiTheme="majorEastAsia" w:hAnsiTheme="majorEastAsia" w:eastAsiaTheme="majorEastAsia"/>
          <w:color w:val="000000" w:themeColor="text1"/>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3、政府采购严重违法失信名单</w:t>
      </w:r>
      <w:r>
        <w:rPr>
          <w:rFonts w:asciiTheme="majorEastAsia" w:hAnsiTheme="majorEastAsia" w:eastAsiaTheme="majorEastAsia"/>
          <w:bCs/>
          <w:color w:val="000000" w:themeColor="text1"/>
          <w:sz w:val="24"/>
          <w:szCs w:val="24"/>
          <w:highlight w:val="none"/>
          <w14:textFill>
            <w14:solidFill>
              <w14:schemeClr w14:val="tx1"/>
            </w14:solidFill>
          </w14:textFill>
        </w:rPr>
        <w:t>查询页面</w:t>
      </w:r>
    </w:p>
    <w:p>
      <w:pPr>
        <w:rPr>
          <w:rFonts w:asciiTheme="majorEastAsia" w:hAnsiTheme="majorEastAsia" w:eastAsiaTheme="majorEastAsia"/>
          <w:color w:val="000000" w:themeColor="text1"/>
          <w:highlight w:val="none"/>
          <w14:textFill>
            <w14:solidFill>
              <w14:schemeClr w14:val="tx1"/>
            </w14:solidFill>
          </w14:textFill>
        </w:rPr>
      </w:pPr>
      <w:r>
        <w:rPr>
          <w:rFonts w:asciiTheme="majorEastAsia" w:hAnsiTheme="majorEastAsia" w:eastAsiaTheme="majorEastAsia"/>
          <w:color w:val="000000" w:themeColor="text1"/>
          <w:szCs w:val="24"/>
          <w:highlight w:val="none"/>
          <w14:textFill>
            <w14:solidFill>
              <w14:schemeClr w14:val="tx1"/>
            </w14:solidFill>
          </w14:textFill>
        </w:rPr>
        <w:drawing>
          <wp:anchor distT="0" distB="0" distL="114300" distR="114300" simplePos="0" relativeHeight="251661312" behindDoc="1" locked="0" layoutInCell="1" allowOverlap="1">
            <wp:simplePos x="0" y="0"/>
            <wp:positionH relativeFrom="column">
              <wp:posOffset>400685</wp:posOffset>
            </wp:positionH>
            <wp:positionV relativeFrom="paragraph">
              <wp:posOffset>108585</wp:posOffset>
            </wp:positionV>
            <wp:extent cx="5487035" cy="2559050"/>
            <wp:effectExtent l="0" t="0" r="0" b="0"/>
            <wp:wrapThrough wrapText="bothSides">
              <wp:wrapPolygon>
                <wp:start x="0" y="0"/>
                <wp:lineTo x="0" y="21386"/>
                <wp:lineTo x="21523" y="21386"/>
                <wp:lineTo x="21523" y="0"/>
                <wp:lineTo x="0" y="0"/>
              </wp:wrapPolygon>
            </wp:wrapThrough>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5487035" cy="2559050"/>
                    </a:xfrm>
                    <a:prstGeom prst="rect">
                      <a:avLst/>
                    </a:prstGeom>
                  </pic:spPr>
                </pic:pic>
              </a:graphicData>
            </a:graphic>
          </wp:anchor>
        </w:drawing>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法人授权书</w:t>
      </w:r>
    </w:p>
    <w:p>
      <w:pPr>
        <w:pStyle w:val="24"/>
        <w:jc w:val="center"/>
        <w:rPr>
          <w:rFonts w:asciiTheme="majorEastAsia" w:hAnsiTheme="majorEastAsia" w:eastAsiaTheme="majorEastAsia"/>
          <w:b/>
          <w:color w:val="000000" w:themeColor="text1"/>
          <w:sz w:val="32"/>
          <w:szCs w:val="32"/>
          <w:highlight w:val="none"/>
          <w14:textFill>
            <w14:solidFill>
              <w14:schemeClr w14:val="tx1"/>
            </w14:solidFill>
          </w14:textFill>
        </w:rPr>
      </w:pP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本授权书声明：____________（投标人名称）授权________________（被授权人的姓名）为我方就项目采购活动的合法代理人，以本公司名义全权处理一切与该项目采购有关的事务。</w:t>
      </w: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本授权书于______年____月____日起生效，特此声明。</w:t>
      </w: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p>
    <w:p>
      <w:pPr>
        <w:pStyle w:val="107"/>
        <w:spacing w:line="480" w:lineRule="auto"/>
        <w:ind w:firstLine="0" w:firstLineChars="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代理人（被授权人）：_______________________</w:t>
      </w:r>
    </w:p>
    <w:p>
      <w:pPr>
        <w:pStyle w:val="107"/>
        <w:spacing w:line="480" w:lineRule="auto"/>
        <w:ind w:firstLine="0" w:firstLineChars="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单位名称：_____________________________________</w:t>
      </w:r>
    </w:p>
    <w:p>
      <w:pPr>
        <w:pStyle w:val="107"/>
        <w:spacing w:line="480" w:lineRule="auto"/>
        <w:ind w:firstLine="0" w:firstLineChars="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授权单位盖章：_________________________________</w:t>
      </w:r>
    </w:p>
    <w:p>
      <w:pPr>
        <w:pStyle w:val="107"/>
        <w:spacing w:line="48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单位名称：_____________________________________</w:t>
      </w:r>
    </w:p>
    <w:p>
      <w:pPr>
        <w:pStyle w:val="107"/>
        <w:spacing w:line="480" w:lineRule="auto"/>
        <w:ind w:firstLine="480"/>
        <w:rPr>
          <w:rFonts w:asciiTheme="majorEastAsia" w:hAnsiTheme="majorEastAsia" w:eastAsiaTheme="majorEastAsia"/>
          <w:color w:val="000000" w:themeColor="text1"/>
          <w:sz w:val="24"/>
          <w:szCs w:val="24"/>
          <w:highlight w:val="none"/>
          <w:u w:val="singl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地址：</w:t>
      </w: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p>
    <w:p>
      <w:pPr>
        <w:pStyle w:val="107"/>
        <w:spacing w:line="360" w:lineRule="auto"/>
        <w:ind w:firstLine="480"/>
        <w:rPr>
          <w:rFonts w:asciiTheme="majorEastAsia" w:hAnsiTheme="majorEastAsia" w:eastAsiaTheme="majorEastAsia"/>
          <w:color w:val="000000" w:themeColor="text1"/>
          <w:sz w:val="24"/>
          <w:szCs w:val="24"/>
          <w:highlight w:val="none"/>
          <w14:textFill>
            <w14:solidFill>
              <w14:schemeClr w14:val="tx1"/>
            </w14:solidFill>
          </w14:textFill>
        </w:rPr>
      </w:pPr>
    </w:p>
    <w:p>
      <w:pPr>
        <w:spacing w:line="360" w:lineRule="auto"/>
        <w:ind w:firstLine="5040" w:firstLineChars="21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 日期： 年  月  日</w:t>
      </w:r>
    </w:p>
    <w:p>
      <w:pPr>
        <w:spacing w:line="520" w:lineRule="exact"/>
        <w:rPr>
          <w:rFonts w:asciiTheme="majorEastAsia" w:hAnsiTheme="majorEastAsia" w:eastAsiaTheme="majorEastAsia"/>
          <w:b/>
          <w:color w:val="000000" w:themeColor="text1"/>
          <w:sz w:val="28"/>
          <w:szCs w:val="28"/>
          <w:highlight w:val="none"/>
          <w14:textFill>
            <w14:solidFill>
              <w14:schemeClr w14:val="tx1"/>
            </w14:solidFill>
          </w14:textFill>
        </w:rPr>
      </w:pPr>
    </w:p>
    <w:p>
      <w:pPr>
        <w:pStyle w:val="107"/>
        <w:ind w:firstLine="5280" w:firstLineChars="2200"/>
        <w:rPr>
          <w:rFonts w:asciiTheme="majorEastAsia" w:hAnsiTheme="majorEastAsia" w:eastAsiaTheme="majorEastAsia"/>
          <w:color w:val="000000" w:themeColor="text1"/>
          <w:sz w:val="24"/>
          <w:szCs w:val="24"/>
          <w:highlight w:val="none"/>
          <w14:textFill>
            <w14:solidFill>
              <w14:schemeClr w14:val="tx1"/>
            </w14:solidFill>
          </w14:textFill>
        </w:rPr>
      </w:pPr>
    </w:p>
    <w:p>
      <w:pPr>
        <w:pStyle w:val="8"/>
        <w:rPr>
          <w:rFonts w:asciiTheme="majorEastAsia" w:hAnsiTheme="majorEastAsia" w:eastAsiaTheme="majorEastAsia"/>
          <w:color w:val="000000" w:themeColor="text1"/>
          <w:highlight w:val="none"/>
          <w14:textFill>
            <w14:solidFill>
              <w14:schemeClr w14:val="tx1"/>
            </w14:solidFill>
          </w14:textFill>
        </w:rPr>
      </w:pPr>
      <w:bookmarkStart w:id="171" w:name="_Hlt26671380"/>
      <w:bookmarkEnd w:id="171"/>
      <w:bookmarkStart w:id="172" w:name="_Hlt26955070"/>
      <w:bookmarkEnd w:id="172"/>
      <w:bookmarkStart w:id="173" w:name="_格式3__银行出具的资信证明"/>
      <w:bookmarkEnd w:id="173"/>
    </w:p>
    <w:p>
      <w:pPr>
        <w:pStyle w:val="6"/>
        <w:rPr>
          <w:rFonts w:asciiTheme="majorEastAsia" w:hAnsiTheme="majorEastAsia" w:eastAsiaTheme="majorEastAsia"/>
          <w:color w:val="000000" w:themeColor="text1"/>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p>
    <w:p>
      <w:pPr>
        <w:pStyle w:val="24"/>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pStyle w:val="6"/>
        <w:rPr>
          <w:rFonts w:asciiTheme="majorEastAsia" w:hAnsiTheme="majorEastAsia" w:eastAsiaTheme="majorEastAsia"/>
          <w:color w:val="000000" w:themeColor="text1"/>
          <w:sz w:val="32"/>
          <w:szCs w:val="32"/>
          <w:highlight w:val="none"/>
          <w14:textFill>
            <w14:solidFill>
              <w14:schemeClr w14:val="tx1"/>
            </w14:solidFill>
          </w14:textFill>
        </w:rPr>
      </w:pPr>
      <w:r>
        <w:rPr>
          <w:rFonts w:hint="eastAsia" w:asciiTheme="majorEastAsia" w:hAnsiTheme="majorEastAsia" w:eastAsiaTheme="majorEastAsia"/>
          <w:color w:val="000000" w:themeColor="text1"/>
          <w:sz w:val="32"/>
          <w:szCs w:val="32"/>
          <w:highlight w:val="none"/>
          <w14:textFill>
            <w14:solidFill>
              <w14:schemeClr w14:val="tx1"/>
            </w14:solidFill>
          </w14:textFill>
        </w:rPr>
        <w:t>二、资格性审查响应对照表（格式）</w:t>
      </w:r>
    </w:p>
    <w:p>
      <w:pPr>
        <w:ind w:firstLine="309"/>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投标人全称（加盖公章）：</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序号</w:t>
            </w:r>
          </w:p>
        </w:tc>
        <w:tc>
          <w:tcPr>
            <w:tcW w:w="5447"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资格性审查响应内容</w:t>
            </w:r>
          </w:p>
        </w:tc>
        <w:tc>
          <w:tcPr>
            <w:tcW w:w="1680"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是否响应</w:t>
            </w:r>
          </w:p>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（填是或者否）</w:t>
            </w:r>
          </w:p>
        </w:tc>
        <w:tc>
          <w:tcPr>
            <w:tcW w:w="1785"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投标文件中的</w:t>
            </w:r>
          </w:p>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b/>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b/>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2</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3</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4</w:t>
            </w:r>
          </w:p>
        </w:tc>
        <w:tc>
          <w:tcPr>
            <w:tcW w:w="5447" w:type="dxa"/>
            <w:vAlign w:val="center"/>
          </w:tcPr>
          <w:p>
            <w:pPr>
              <w:spacing w:line="360" w:lineRule="auto"/>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5</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6</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7</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bl>
    <w:p>
      <w:pPr>
        <w:spacing w:line="440" w:lineRule="exact"/>
        <w:ind w:firstLine="480" w:firstLineChars="200"/>
        <w:rPr>
          <w:rFonts w:asciiTheme="majorEastAsia" w:hAnsiTheme="majorEastAsia" w:eastAsiaTheme="majorEastAsia"/>
          <w:color w:val="000000" w:themeColor="text1"/>
          <w:sz w:val="24"/>
          <w:highlight w:val="none"/>
          <w14:textFill>
            <w14:solidFill>
              <w14:schemeClr w14:val="tx1"/>
            </w14:solidFill>
          </w14:textFill>
        </w:rPr>
      </w:pPr>
    </w:p>
    <w:p>
      <w:pPr>
        <w:snapToGrid w:val="0"/>
        <w:spacing w:before="50" w:after="50"/>
        <w:rPr>
          <w:rFonts w:asciiTheme="majorEastAsia" w:hAnsiTheme="majorEastAsia" w:eastAsiaTheme="majorEastAsia"/>
          <w:color w:val="000000" w:themeColor="text1"/>
          <w:sz w:val="44"/>
          <w:highlight w:val="none"/>
          <w14:textFill>
            <w14:solidFill>
              <w14:schemeClr w14:val="tx1"/>
            </w14:solidFill>
          </w14:textFill>
        </w:rPr>
      </w:pPr>
    </w:p>
    <w:p>
      <w:pPr>
        <w:snapToGrid w:val="0"/>
        <w:spacing w:before="50" w:after="50"/>
        <w:rPr>
          <w:rFonts w:asciiTheme="majorEastAsia" w:hAnsiTheme="majorEastAsia" w:eastAsiaTheme="majorEastAsia"/>
          <w:color w:val="000000" w:themeColor="text1"/>
          <w:sz w:val="44"/>
          <w:highlight w:val="none"/>
          <w14:textFill>
            <w14:solidFill>
              <w14:schemeClr w14:val="tx1"/>
            </w14:solidFill>
          </w14:textFill>
        </w:rPr>
      </w:pPr>
    </w:p>
    <w:p>
      <w:pPr>
        <w:snapToGrid w:val="0"/>
        <w:spacing w:before="50" w:after="50"/>
        <w:rPr>
          <w:rFonts w:asciiTheme="majorEastAsia" w:hAnsiTheme="majorEastAsia" w:eastAsiaTheme="majorEastAsia"/>
          <w:color w:val="000000" w:themeColor="text1"/>
          <w:sz w:val="44"/>
          <w:highlight w:val="none"/>
          <w14:textFill>
            <w14:solidFill>
              <w14:schemeClr w14:val="tx1"/>
            </w14:solidFill>
          </w14:textFill>
        </w:rPr>
      </w:pPr>
    </w:p>
    <w:p>
      <w:pPr>
        <w:snapToGrid w:val="0"/>
        <w:spacing w:before="50" w:after="50"/>
        <w:rPr>
          <w:rFonts w:asciiTheme="majorEastAsia" w:hAnsiTheme="majorEastAsia" w:eastAsiaTheme="majorEastAsia"/>
          <w:color w:val="000000" w:themeColor="text1"/>
          <w:sz w:val="44"/>
          <w:highlight w:val="none"/>
          <w14:textFill>
            <w14:solidFill>
              <w14:schemeClr w14:val="tx1"/>
            </w14:solidFill>
          </w14:textFill>
        </w:rPr>
      </w:pPr>
    </w:p>
    <w:p>
      <w:pPr>
        <w:snapToGrid w:val="0"/>
        <w:spacing w:before="50" w:after="50"/>
        <w:rPr>
          <w:rFonts w:asciiTheme="majorEastAsia" w:hAnsiTheme="majorEastAsia" w:eastAsiaTheme="majorEastAsia"/>
          <w:color w:val="000000" w:themeColor="text1"/>
          <w:sz w:val="44"/>
          <w:highlight w:val="none"/>
          <w14:textFill>
            <w14:solidFill>
              <w14:schemeClr w14:val="tx1"/>
            </w14:solidFill>
          </w14:textFill>
        </w:rPr>
      </w:pPr>
    </w:p>
    <w:p>
      <w:pPr>
        <w:pStyle w:val="6"/>
        <w:rPr>
          <w:rFonts w:asciiTheme="majorEastAsia" w:hAnsiTheme="majorEastAsia" w:eastAsiaTheme="majorEastAsia"/>
          <w:color w:val="000000" w:themeColor="text1"/>
          <w:sz w:val="32"/>
          <w:szCs w:val="32"/>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r>
        <w:rPr>
          <w:rFonts w:hint="eastAsia" w:asciiTheme="majorEastAsia" w:hAnsiTheme="majorEastAsia" w:eastAsiaTheme="majorEastAsia"/>
          <w:color w:val="000000" w:themeColor="text1"/>
          <w:sz w:val="32"/>
          <w:szCs w:val="32"/>
          <w:highlight w:val="none"/>
          <w14:textFill>
            <w14:solidFill>
              <w14:schemeClr w14:val="tx1"/>
            </w14:solidFill>
          </w14:textFill>
        </w:rPr>
        <w:t>三、符合性检查响应对照表（格式）</w:t>
      </w:r>
    </w:p>
    <w:p>
      <w:pPr>
        <w:ind w:firstLine="309"/>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投标人全称（加盖公章）：</w:t>
      </w:r>
    </w:p>
    <w:tbl>
      <w:tblPr>
        <w:tblStyle w:val="4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5447"/>
        <w:gridCol w:w="168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646"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序号</w:t>
            </w:r>
          </w:p>
        </w:tc>
        <w:tc>
          <w:tcPr>
            <w:tcW w:w="5447"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符合性检查响应内容</w:t>
            </w:r>
          </w:p>
        </w:tc>
        <w:tc>
          <w:tcPr>
            <w:tcW w:w="1680"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是否响应</w:t>
            </w:r>
          </w:p>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（填是或者否）</w:t>
            </w:r>
          </w:p>
        </w:tc>
        <w:tc>
          <w:tcPr>
            <w:tcW w:w="1785" w:type="dxa"/>
            <w:vAlign w:val="center"/>
          </w:tcPr>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投标文件中的</w:t>
            </w:r>
          </w:p>
          <w:p>
            <w:pPr>
              <w:snapToGrid w:val="0"/>
              <w:spacing w:line="240" w:lineRule="atLeast"/>
              <w:jc w:val="center"/>
              <w:rPr>
                <w:rFonts w:asciiTheme="majorEastAsia" w:hAnsiTheme="majorEastAsia" w:eastAsiaTheme="majorEastAsia"/>
                <w:b/>
                <w:color w:val="000000" w:themeColor="text1"/>
                <w:highlight w:val="none"/>
                <w14:textFill>
                  <w14:solidFill>
                    <w14:schemeClr w14:val="tx1"/>
                  </w14:solidFill>
                </w14:textFill>
              </w:rPr>
            </w:pPr>
            <w:r>
              <w:rPr>
                <w:rFonts w:hint="eastAsia" w:asciiTheme="majorEastAsia" w:hAnsiTheme="majorEastAsia" w:eastAsiaTheme="majorEastAsia"/>
                <w:b/>
                <w:color w:val="000000" w:themeColor="text1"/>
                <w:highlight w:val="none"/>
                <w14:textFill>
                  <w14:solidFill>
                    <w14:schemeClr w14:val="tx1"/>
                  </w14:solidFill>
                </w14:textFill>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1</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b/>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b/>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2</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3</w:t>
            </w:r>
          </w:p>
        </w:tc>
        <w:tc>
          <w:tcPr>
            <w:tcW w:w="5447" w:type="dxa"/>
            <w:vAlign w:val="center"/>
          </w:tcPr>
          <w:p>
            <w:pPr>
              <w:spacing w:line="480" w:lineRule="exac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4</w:t>
            </w:r>
          </w:p>
        </w:tc>
        <w:tc>
          <w:tcPr>
            <w:tcW w:w="5447" w:type="dxa"/>
            <w:vAlign w:val="center"/>
          </w:tcPr>
          <w:p>
            <w:pPr>
              <w:spacing w:line="360" w:lineRule="auto"/>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5</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6</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646" w:type="dxa"/>
            <w:vAlign w:val="center"/>
          </w:tcPr>
          <w:p>
            <w:pPr>
              <w:jc w:val="center"/>
              <w:rPr>
                <w:rFonts w:asciiTheme="majorEastAsia" w:hAnsiTheme="majorEastAsia" w:eastAsiaTheme="majorEastAsia"/>
                <w:color w:val="000000" w:themeColor="text1"/>
                <w:highlight w:val="none"/>
                <w14:textFill>
                  <w14:solidFill>
                    <w14:schemeClr w14:val="tx1"/>
                  </w14:solidFill>
                </w14:textFill>
              </w:rPr>
            </w:pPr>
            <w:r>
              <w:rPr>
                <w:rFonts w:hint="eastAsia" w:asciiTheme="majorEastAsia" w:hAnsiTheme="majorEastAsia" w:eastAsiaTheme="majorEastAsia"/>
                <w:color w:val="000000" w:themeColor="text1"/>
                <w:highlight w:val="none"/>
                <w14:textFill>
                  <w14:solidFill>
                    <w14:schemeClr w14:val="tx1"/>
                  </w14:solidFill>
                </w14:textFill>
              </w:rPr>
              <w:t>7</w:t>
            </w:r>
          </w:p>
        </w:tc>
        <w:tc>
          <w:tcPr>
            <w:tcW w:w="5447" w:type="dxa"/>
            <w:vAlign w:val="center"/>
          </w:tcPr>
          <w:p>
            <w:pPr>
              <w:snapToGrid w:val="0"/>
              <w:spacing w:line="590" w:lineRule="atLeast"/>
              <w:rPr>
                <w:rFonts w:asciiTheme="majorEastAsia" w:hAnsiTheme="majorEastAsia" w:eastAsiaTheme="majorEastAsia"/>
                <w:iCs/>
                <w:color w:val="000000" w:themeColor="text1"/>
                <w:sz w:val="24"/>
                <w:szCs w:val="24"/>
                <w:highlight w:val="none"/>
                <w14:textFill>
                  <w14:solidFill>
                    <w14:schemeClr w14:val="tx1"/>
                  </w14:solidFill>
                </w14:textFill>
              </w:rPr>
            </w:pPr>
            <w:r>
              <w:rPr>
                <w:rFonts w:hint="eastAsia" w:asciiTheme="majorEastAsia" w:hAnsiTheme="majorEastAsia" w:eastAsiaTheme="majorEastAsia"/>
                <w:iCs/>
                <w:color w:val="000000" w:themeColor="text1"/>
                <w:sz w:val="24"/>
                <w:szCs w:val="24"/>
                <w:highlight w:val="none"/>
                <w14:textFill>
                  <w14:solidFill>
                    <w14:schemeClr w14:val="tx1"/>
                  </w14:solidFill>
                </w14:textFill>
              </w:rPr>
              <w:t>招标文件中的其他实质性要求</w:t>
            </w:r>
          </w:p>
        </w:tc>
        <w:tc>
          <w:tcPr>
            <w:tcW w:w="1680"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c>
          <w:tcPr>
            <w:tcW w:w="1785" w:type="dxa"/>
            <w:vAlign w:val="center"/>
          </w:tcPr>
          <w:p>
            <w:pPr>
              <w:rPr>
                <w:rFonts w:asciiTheme="majorEastAsia" w:hAnsiTheme="majorEastAsia" w:eastAsiaTheme="majorEastAsia"/>
                <w:color w:val="000000" w:themeColor="text1"/>
                <w:highlight w:val="none"/>
                <w14:textFill>
                  <w14:solidFill>
                    <w14:schemeClr w14:val="tx1"/>
                  </w14:solidFill>
                </w14:textFill>
              </w:rPr>
            </w:pPr>
          </w:p>
        </w:tc>
      </w:tr>
    </w:tbl>
    <w:p>
      <w:pPr>
        <w:snapToGrid w:val="0"/>
        <w:spacing w:before="50" w:after="50"/>
        <w:jc w:val="center"/>
        <w:rPr>
          <w:rFonts w:asciiTheme="majorEastAsia" w:hAnsiTheme="majorEastAsia" w:eastAsiaTheme="majorEastAsia"/>
          <w:color w:val="000000" w:themeColor="text1"/>
          <w:sz w:val="32"/>
          <w:szCs w:val="32"/>
          <w:highlight w:val="none"/>
          <w14:textFill>
            <w14:solidFill>
              <w14:schemeClr w14:val="tx1"/>
            </w14:solidFill>
          </w14:textFill>
        </w:rPr>
      </w:pPr>
      <w:bookmarkStart w:id="174" w:name="_Toc120614284"/>
    </w:p>
    <w:p>
      <w:pPr>
        <w:pStyle w:val="6"/>
        <w:rPr>
          <w:rFonts w:asciiTheme="majorEastAsia" w:hAnsiTheme="majorEastAsia" w:eastAsiaTheme="majorEastAsia"/>
          <w:color w:val="000000" w:themeColor="text1"/>
          <w:sz w:val="32"/>
          <w:szCs w:val="32"/>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r>
        <w:rPr>
          <w:rFonts w:hint="eastAsia" w:asciiTheme="majorEastAsia" w:hAnsiTheme="majorEastAsia" w:eastAsiaTheme="majorEastAsia"/>
          <w:color w:val="000000" w:themeColor="text1"/>
          <w:sz w:val="32"/>
          <w:szCs w:val="32"/>
          <w:highlight w:val="none"/>
          <w14:textFill>
            <w14:solidFill>
              <w14:schemeClr w14:val="tx1"/>
            </w14:solidFill>
          </w14:textFill>
        </w:rPr>
        <w:t>四、投标承诺书（格式）</w:t>
      </w:r>
    </w:p>
    <w:p>
      <w:pPr>
        <w:snapToGrid w:val="0"/>
        <w:spacing w:line="540" w:lineRule="exact"/>
        <w:rPr>
          <w:rFonts w:asciiTheme="majorEastAsia" w:hAnsiTheme="majorEastAsia" w:eastAsiaTheme="majorEastAsia"/>
          <w:color w:val="000000" w:themeColor="text1"/>
          <w:sz w:val="24"/>
          <w:szCs w:val="24"/>
          <w:highlight w:val="none"/>
          <w:u w:val="thick"/>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致：</w:t>
      </w:r>
      <w:r>
        <w:rPr>
          <w:rFonts w:hint="eastAsia" w:asciiTheme="majorEastAsia" w:hAnsiTheme="majorEastAsia" w:eastAsiaTheme="majorEastAsia"/>
          <w:color w:val="000000" w:themeColor="text1"/>
          <w:sz w:val="24"/>
          <w:szCs w:val="24"/>
          <w:highlight w:val="none"/>
          <w:u w:val="single"/>
          <w14:textFill>
            <w14:solidFill>
              <w14:schemeClr w14:val="tx1"/>
            </w14:solidFill>
          </w14:textFill>
        </w:rPr>
        <w:t>江苏医药职业学院：</w:t>
      </w:r>
    </w:p>
    <w:p>
      <w:pPr>
        <w:snapToGrid w:val="0"/>
        <w:spacing w:line="540" w:lineRule="exact"/>
        <w:ind w:firstLine="48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1、根据己收到的的招标文件，在研究了上述项目的招标文件后，遵照《中华人民共和国招标投标法》等有关规定，我单位经踏勘项目现场和研究贵方招标文件的所有内容后，决定无保留地接受招标文件所有条款，愿以人民币（大写）</w:t>
      </w:r>
      <w:r>
        <w:rPr>
          <w:rFonts w:hint="eastAsia" w:asciiTheme="majorEastAsia" w:hAnsiTheme="majorEastAsia" w:eastAsiaTheme="majorEastAsia"/>
          <w:color w:val="000000" w:themeColor="text1"/>
          <w:sz w:val="24"/>
          <w:szCs w:val="24"/>
          <w:highlight w:val="none"/>
          <w:u w:val="single"/>
          <w14:textFill>
            <w14:solidFill>
              <w14:schemeClr w14:val="tx1"/>
            </w14:solidFill>
          </w14:textFill>
        </w:rPr>
        <w:t xml:space="preserve">          ￥：      ）</w:t>
      </w:r>
      <w:r>
        <w:rPr>
          <w:rFonts w:hint="eastAsia" w:asciiTheme="majorEastAsia" w:hAnsiTheme="majorEastAsia" w:eastAsiaTheme="majorEastAsia"/>
          <w:color w:val="000000" w:themeColor="text1"/>
          <w:sz w:val="24"/>
          <w:szCs w:val="24"/>
          <w:highlight w:val="none"/>
          <w14:textFill>
            <w14:solidFill>
              <w14:schemeClr w14:val="tx1"/>
            </w14:solidFill>
          </w14:textFill>
        </w:rPr>
        <w:t>的总价承包本招标范围内的全部服务并承担任何质量缺陷保修责任。</w:t>
      </w:r>
    </w:p>
    <w:p>
      <w:pPr>
        <w:snapToGrid w:val="0"/>
        <w:spacing w:line="500" w:lineRule="exact"/>
        <w:ind w:firstLine="360" w:firstLineChars="1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2、质量 ：符合国家相关规定及招标文件规定的标准执行。</w:t>
      </w:r>
    </w:p>
    <w:p>
      <w:pPr>
        <w:spacing w:line="500" w:lineRule="exact"/>
        <w:ind w:right="40" w:rightChars="19" w:firstLine="360" w:firstLineChars="1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3、本次投标，我方将派出</w:t>
      </w:r>
      <w:r>
        <w:rPr>
          <w:rFonts w:hint="eastAsia" w:asciiTheme="majorEastAsia" w:hAnsiTheme="majorEastAsia" w:eastAsiaTheme="majorEastAsia"/>
          <w:color w:val="000000" w:themeColor="text1"/>
          <w:sz w:val="24"/>
          <w:szCs w:val="24"/>
          <w:highlight w:val="none"/>
          <w:u w:val="single"/>
          <w14:textFill>
            <w14:solidFill>
              <w14:schemeClr w14:val="tx1"/>
            </w14:solidFill>
          </w14:textFill>
        </w:rPr>
        <w:t xml:space="preserve">             </w:t>
      </w:r>
      <w:r>
        <w:rPr>
          <w:rFonts w:hint="eastAsia" w:asciiTheme="majorEastAsia" w:hAnsiTheme="majorEastAsia" w:eastAsiaTheme="majorEastAsia"/>
          <w:color w:val="000000" w:themeColor="text1"/>
          <w:sz w:val="24"/>
          <w:szCs w:val="24"/>
          <w:highlight w:val="none"/>
          <w14:textFill>
            <w14:solidFill>
              <w14:schemeClr w14:val="tx1"/>
            </w14:solidFill>
          </w14:textFill>
        </w:rPr>
        <w:t>作为本项目的项目负责人。</w:t>
      </w:r>
    </w:p>
    <w:p>
      <w:pPr>
        <w:spacing w:line="500" w:lineRule="exact"/>
        <w:ind w:right="40" w:rightChars="19" w:firstLine="360" w:firstLineChars="1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4、我方保证：严格遵守国家相关的各项规定。我方投标文件提供的所有资料真实、有效，如有不实，我方将放弃中标的权利，并承担由此产生的责任。</w:t>
      </w:r>
    </w:p>
    <w:p>
      <w:pPr>
        <w:spacing w:line="500" w:lineRule="exact"/>
        <w:ind w:firstLine="360" w:firstLineChars="1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5、你方的招标文件和本投标文件将成为约束双方的合同文件的组成部分。</w:t>
      </w:r>
    </w:p>
    <w:p>
      <w:pPr>
        <w:spacing w:line="500" w:lineRule="exact"/>
        <w:ind w:firstLine="734" w:firstLineChars="306"/>
        <w:rPr>
          <w:rFonts w:asciiTheme="majorEastAsia" w:hAnsiTheme="majorEastAsia" w:eastAsiaTheme="majorEastAsia"/>
          <w:color w:val="000000" w:themeColor="text1"/>
          <w:sz w:val="24"/>
          <w:szCs w:val="24"/>
          <w:highlight w:val="none"/>
          <w14:textFill>
            <w14:solidFill>
              <w14:schemeClr w14:val="tx1"/>
            </w14:solidFill>
          </w14:textFill>
        </w:rPr>
      </w:pPr>
    </w:p>
    <w:p>
      <w:pPr>
        <w:spacing w:line="500" w:lineRule="exact"/>
        <w:rPr>
          <w:rFonts w:asciiTheme="majorEastAsia" w:hAnsiTheme="majorEastAsia" w:eastAsiaTheme="majorEastAsia"/>
          <w:color w:val="000000" w:themeColor="text1"/>
          <w:sz w:val="24"/>
          <w:szCs w:val="24"/>
          <w:highlight w:val="none"/>
          <w14:textFill>
            <w14:solidFill>
              <w14:schemeClr w14:val="tx1"/>
            </w14:solidFill>
          </w14:textFill>
        </w:rPr>
      </w:pPr>
    </w:p>
    <w:p>
      <w:pPr>
        <w:spacing w:line="500" w:lineRule="exact"/>
        <w:ind w:firstLine="840" w:firstLineChars="3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 xml:space="preserve">投标人： （盖章）                                         </w:t>
      </w:r>
    </w:p>
    <w:p>
      <w:pPr>
        <w:spacing w:line="500" w:lineRule="exact"/>
        <w:ind w:firstLine="840" w:firstLineChars="350"/>
        <w:rPr>
          <w:rFonts w:asciiTheme="majorEastAsia" w:hAnsiTheme="majorEastAsia" w:eastAsiaTheme="majorEastAsia"/>
          <w:color w:val="000000" w:themeColor="text1"/>
          <w:sz w:val="24"/>
          <w:szCs w:val="24"/>
          <w:highlight w:val="none"/>
          <w14:textFill>
            <w14:solidFill>
              <w14:schemeClr w14:val="tx1"/>
            </w14:solidFill>
          </w14:textFill>
        </w:rPr>
      </w:pPr>
    </w:p>
    <w:p>
      <w:pPr>
        <w:spacing w:line="500" w:lineRule="exact"/>
        <w:ind w:firstLine="840" w:firstLineChars="3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法定代表人或其委托代理人： （签字或盖章）</w:t>
      </w:r>
    </w:p>
    <w:p>
      <w:pPr>
        <w:spacing w:line="500" w:lineRule="exact"/>
        <w:ind w:firstLine="840" w:firstLineChars="350"/>
        <w:rPr>
          <w:rFonts w:asciiTheme="majorEastAsia" w:hAnsiTheme="majorEastAsia" w:eastAsiaTheme="majorEastAsia"/>
          <w:color w:val="000000" w:themeColor="text1"/>
          <w:sz w:val="24"/>
          <w:szCs w:val="24"/>
          <w:highlight w:val="none"/>
          <w14:textFill>
            <w14:solidFill>
              <w14:schemeClr w14:val="tx1"/>
            </w14:solidFill>
          </w14:textFill>
        </w:rPr>
      </w:pPr>
    </w:p>
    <w:p>
      <w:pPr>
        <w:spacing w:line="500" w:lineRule="exact"/>
        <w:ind w:firstLine="4800" w:firstLineChars="20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日  期 :   年 月 日</w:t>
      </w:r>
    </w:p>
    <w:p>
      <w:pPr>
        <w:spacing w:line="520" w:lineRule="exact"/>
        <w:rPr>
          <w:rFonts w:asciiTheme="majorEastAsia" w:hAnsiTheme="majorEastAsia" w:eastAsiaTheme="majorEastAsia"/>
          <w:b/>
          <w:color w:val="000000" w:themeColor="text1"/>
          <w:sz w:val="28"/>
          <w:szCs w:val="28"/>
          <w:highlight w:val="none"/>
          <w14:textFill>
            <w14:solidFill>
              <w14:schemeClr w14:val="tx1"/>
            </w14:solidFill>
          </w14:textFill>
        </w:rPr>
      </w:pPr>
    </w:p>
    <w:p>
      <w:pPr>
        <w:snapToGrid w:val="0"/>
        <w:spacing w:before="50" w:after="120" w:afterLines="50"/>
        <w:jc w:val="left"/>
        <w:rPr>
          <w:rFonts w:asciiTheme="majorEastAsia" w:hAnsiTheme="majorEastAsia" w:eastAsiaTheme="majorEastAsia"/>
          <w:color w:val="000000" w:themeColor="text1"/>
          <w:sz w:val="24"/>
          <w:szCs w:val="20"/>
          <w:highlight w:val="none"/>
          <w14:textFill>
            <w14:solidFill>
              <w14:schemeClr w14:val="tx1"/>
            </w14:solidFill>
          </w14:textFill>
        </w:rPr>
      </w:pPr>
    </w:p>
    <w:p>
      <w:pPr>
        <w:snapToGrid w:val="0"/>
        <w:spacing w:before="50" w:after="50"/>
        <w:jc w:val="center"/>
        <w:rPr>
          <w:rFonts w:asciiTheme="majorEastAsia" w:hAnsiTheme="majorEastAsia" w:eastAsiaTheme="majorEastAsia"/>
          <w:color w:val="000000" w:themeColor="text1"/>
          <w:sz w:val="32"/>
          <w:szCs w:val="32"/>
          <w:highlight w:val="none"/>
          <w14:textFill>
            <w14:solidFill>
              <w14:schemeClr w14:val="tx1"/>
            </w14:solidFill>
          </w14:textFill>
        </w:rPr>
      </w:pPr>
    </w:p>
    <w:p>
      <w:pPr>
        <w:pStyle w:val="6"/>
        <w:rPr>
          <w:rFonts w:asciiTheme="majorEastAsia" w:hAnsiTheme="majorEastAsia" w:eastAsiaTheme="majorEastAsia"/>
          <w:color w:val="000000" w:themeColor="text1"/>
          <w:sz w:val="32"/>
          <w:szCs w:val="32"/>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r>
        <w:rPr>
          <w:rFonts w:hint="eastAsia" w:asciiTheme="majorEastAsia" w:hAnsiTheme="majorEastAsia" w:eastAsiaTheme="majorEastAsia"/>
          <w:color w:val="000000" w:themeColor="text1"/>
          <w:sz w:val="32"/>
          <w:szCs w:val="32"/>
          <w:highlight w:val="none"/>
          <w14:textFill>
            <w14:solidFill>
              <w14:schemeClr w14:val="tx1"/>
            </w14:solidFill>
          </w14:textFill>
        </w:rPr>
        <w:t>五、开标一览表（格式）</w:t>
      </w:r>
    </w:p>
    <w:tbl>
      <w:tblPr>
        <w:tblStyle w:val="46"/>
        <w:tblW w:w="1014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7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6" w:hRule="atLeast"/>
        </w:trPr>
        <w:tc>
          <w:tcPr>
            <w:tcW w:w="2700" w:type="dxa"/>
            <w:vAlign w:val="center"/>
          </w:tcPr>
          <w:p>
            <w:pPr>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 目 编 号</w:t>
            </w:r>
          </w:p>
        </w:tc>
        <w:tc>
          <w:tcPr>
            <w:tcW w:w="7445" w:type="dxa"/>
            <w:vAlign w:val="center"/>
          </w:tcPr>
          <w:p>
            <w:pPr>
              <w:pStyle w:val="6"/>
              <w:rPr>
                <w:rFonts w:asciiTheme="majorEastAsia" w:hAnsiTheme="majorEastAsia" w:eastAsiaTheme="majorEastAsia"/>
                <w:b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color w:val="000000" w:themeColor="text1"/>
                <w:sz w:val="24"/>
                <w:szCs w:val="24"/>
                <w:highlight w:val="none"/>
                <w14:textFill>
                  <w14:solidFill>
                    <w14:schemeClr w14:val="tx1"/>
                  </w14:solidFill>
                </w14:textFill>
              </w:rPr>
              <w:t>SY2021-078-FW-JC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9" w:hRule="atLeast"/>
        </w:trPr>
        <w:tc>
          <w:tcPr>
            <w:tcW w:w="2700" w:type="dxa"/>
            <w:vAlign w:val="center"/>
          </w:tcPr>
          <w:p>
            <w:pPr>
              <w:ind w:firstLine="480" w:firstLineChars="20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项 目 名 称</w:t>
            </w:r>
          </w:p>
        </w:tc>
        <w:tc>
          <w:tcPr>
            <w:tcW w:w="7445" w:type="dxa"/>
            <w:vAlign w:val="center"/>
          </w:tcPr>
          <w:p>
            <w:pPr>
              <w:pStyle w:val="6"/>
              <w:rPr>
                <w:rFonts w:asciiTheme="majorEastAsia" w:hAnsiTheme="majorEastAsia" w:eastAsiaTheme="majorEastAsia"/>
                <w:b w:val="0"/>
                <w:color w:val="000000" w:themeColor="text1"/>
                <w:sz w:val="24"/>
                <w:szCs w:val="24"/>
                <w:highlight w:val="none"/>
                <w14:textFill>
                  <w14:solidFill>
                    <w14:schemeClr w14:val="tx1"/>
                  </w14:solidFill>
                </w14:textFill>
              </w:rPr>
            </w:pPr>
            <w:r>
              <w:rPr>
                <w:rFonts w:hint="eastAsia" w:asciiTheme="majorEastAsia" w:hAnsiTheme="majorEastAsia" w:eastAsiaTheme="majorEastAsia"/>
                <w:b w:val="0"/>
                <w:color w:val="000000" w:themeColor="text1"/>
                <w:sz w:val="24"/>
                <w:szCs w:val="24"/>
                <w:highlight w:val="none"/>
                <w14:textFill>
                  <w14:solidFill>
                    <w14:schemeClr w14:val="tx1"/>
                  </w14:solidFill>
                </w14:textFill>
              </w:rPr>
              <w:t>江苏医药职业学院2021-2024学年（三学年）新形态教材出版采购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bCs/>
                <w:color w:val="000000" w:themeColor="text1"/>
                <w:sz w:val="24"/>
                <w:szCs w:val="24"/>
                <w:highlight w:val="none"/>
                <w14:textFill>
                  <w14:solidFill>
                    <w14:schemeClr w14:val="tx1"/>
                  </w14:solidFill>
                </w14:textFill>
              </w:rPr>
              <w:t>投标报价：（大写</w:t>
            </w:r>
            <w:r>
              <w:rPr>
                <w:rFonts w:hint="eastAsia" w:asciiTheme="majorEastAsia" w:hAnsiTheme="majorEastAsia" w:eastAsiaTheme="majorEastAsia"/>
                <w:bCs/>
                <w:color w:val="000000" w:themeColor="text1"/>
                <w:sz w:val="24"/>
                <w:szCs w:val="24"/>
                <w:highlight w:val="none"/>
                <w:u w:val="single"/>
                <w14:textFill>
                  <w14:solidFill>
                    <w14:schemeClr w14:val="tx1"/>
                  </w14:solidFill>
                </w14:textFill>
              </w:rPr>
              <w:t xml:space="preserve">）                 </w:t>
            </w:r>
            <w:r>
              <w:rPr>
                <w:rFonts w:hint="eastAsia" w:asciiTheme="majorEastAsia" w:hAnsiTheme="majorEastAsia" w:eastAsiaTheme="majorEastAsia"/>
                <w:bCs/>
                <w:color w:val="000000" w:themeColor="text1"/>
                <w:sz w:val="24"/>
                <w:szCs w:val="24"/>
                <w:highlight w:val="none"/>
                <w14:textFill>
                  <w14:solidFill>
                    <w14:schemeClr w14:val="tx1"/>
                  </w14:solidFill>
                </w14:textFill>
              </w:rPr>
              <w:t>，小写</w:t>
            </w:r>
            <w:r>
              <w:rPr>
                <w:rFonts w:hint="eastAsia" w:asciiTheme="majorEastAsia" w:hAnsiTheme="majorEastAsia" w:eastAsiaTheme="majorEastAsia"/>
                <w:bCs/>
                <w:color w:val="000000" w:themeColor="text1"/>
                <w:sz w:val="24"/>
                <w:szCs w:val="24"/>
                <w:highlight w:val="none"/>
                <w:u w:val="single"/>
                <w14:textFill>
                  <w14:solidFill>
                    <w14:schemeClr w14:val="tx1"/>
                  </w14:solidFill>
                </w14:textFill>
              </w:rPr>
              <w:t xml:space="preserve">：               </w:t>
            </w:r>
            <w:r>
              <w:rPr>
                <w:rFonts w:hint="eastAsia" w:asciiTheme="majorEastAsia" w:hAnsiTheme="majorEastAsia" w:eastAsiaTheme="majorEastAsia"/>
                <w:color w:val="000000" w:themeColor="text1"/>
                <w:sz w:val="24"/>
                <w:szCs w:val="24"/>
                <w:highlight w:val="none"/>
                <w:u w:val="singl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Cs/>
                <w:color w:val="000000" w:themeColor="text1"/>
                <w:sz w:val="24"/>
                <w:szCs w:val="24"/>
                <w:highlight w:val="none"/>
                <w14:textFill>
                  <w14:solidFill>
                    <w14:schemeClr w14:val="tx1"/>
                  </w14:solidFill>
                </w14:textFill>
              </w:rPr>
            </w:pPr>
            <w:r>
              <w:rPr>
                <w:rFonts w:hint="eastAsia" w:asciiTheme="majorEastAsia" w:hAnsiTheme="majorEastAsia" w:eastAsiaTheme="majorEastAsia"/>
                <w:bCs/>
                <w:color w:val="000000" w:themeColor="text1"/>
                <w:sz w:val="24"/>
                <w:szCs w:val="24"/>
                <w:highlight w:val="none"/>
                <w14:textFill>
                  <w14:solidFill>
                    <w14:schemeClr w14:val="tx1"/>
                  </w14:solidFill>
                </w14:textFill>
              </w:rPr>
              <w:t>是否提供《中小企业声明函》：</w:t>
            </w:r>
            <w:r>
              <w:rPr>
                <w:rFonts w:hint="eastAsia" w:asciiTheme="majorEastAsia" w:hAnsiTheme="majorEastAsia" w:eastAsiaTheme="majorEastAsia"/>
                <w:bCs/>
                <w:color w:val="000000" w:themeColor="text1"/>
                <w:sz w:val="24"/>
                <w:szCs w:val="24"/>
                <w:highlight w:val="none"/>
                <w:u w:val="single"/>
                <w14:textFill>
                  <w14:solidFill>
                    <w14:schemeClr w14:val="tx1"/>
                  </w14:solidFill>
                </w14:textFill>
              </w:rPr>
              <w:t xml:space="preserve">  是/否   </w:t>
            </w:r>
            <w:r>
              <w:rPr>
                <w:rFonts w:hint="eastAsia" w:asciiTheme="majorEastAsia" w:hAnsiTheme="majorEastAsia" w:eastAsiaTheme="majorEastAsia"/>
                <w:bCs/>
                <w:color w:val="000000" w:themeColor="text1"/>
                <w:sz w:val="24"/>
                <w:szCs w:val="24"/>
                <w:highlight w:val="none"/>
                <w14:textFill>
                  <w14:solidFill>
                    <w14:schemeClr w14:val="tx1"/>
                  </w14:solidFill>
                </w14:textFill>
              </w:rPr>
              <w:t xml:space="preserve">           见</w:t>
            </w:r>
            <w:r>
              <w:rPr>
                <w:rFonts w:hint="eastAsia" w:asciiTheme="majorEastAsia" w:hAnsiTheme="majorEastAsia" w:eastAsiaTheme="majorEastAsia"/>
                <w:bCs/>
                <w:color w:val="000000" w:themeColor="text1"/>
                <w:sz w:val="24"/>
                <w:szCs w:val="24"/>
                <w:highlight w:val="none"/>
                <w:u w:val="single"/>
                <w14:textFill>
                  <w14:solidFill>
                    <w14:schemeClr w14:val="tx1"/>
                  </w14:solidFill>
                </w14:textFill>
              </w:rPr>
              <w:t>（          ）</w:t>
            </w:r>
            <w:r>
              <w:rPr>
                <w:rFonts w:hint="eastAsia" w:asciiTheme="majorEastAsia" w:hAnsiTheme="majorEastAsia" w:eastAsiaTheme="majorEastAsia"/>
                <w:bCs/>
                <w:color w:val="000000" w:themeColor="text1"/>
                <w:sz w:val="24"/>
                <w:szCs w:val="24"/>
                <w:highlight w:val="none"/>
                <w14:textFill>
                  <w14:solidFill>
                    <w14:schemeClr w14:val="tx1"/>
                  </w14:solidFill>
                </w14:textFill>
              </w:rPr>
              <w:t>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Cs/>
                <w:color w:val="000000" w:themeColor="text1"/>
                <w:sz w:val="24"/>
                <w:szCs w:val="24"/>
                <w:highlight w:val="none"/>
                <w14:textFill>
                  <w14:solidFill>
                    <w14:schemeClr w14:val="tx1"/>
                  </w14:solidFill>
                </w14:textFill>
              </w:rPr>
            </w:pPr>
            <w:r>
              <w:rPr>
                <w:rFonts w:hint="eastAsia" w:asciiTheme="majorEastAsia" w:hAnsiTheme="majorEastAsia" w:eastAsiaTheme="majorEastAsia"/>
                <w:bCs/>
                <w:color w:val="000000" w:themeColor="text1"/>
                <w:sz w:val="24"/>
                <w:szCs w:val="24"/>
                <w:highlight w:val="none"/>
                <w14:textFill>
                  <w14:solidFill>
                    <w14:schemeClr w14:val="tx1"/>
                  </w14:solidFill>
                </w14:textFill>
              </w:rPr>
              <w:t>本公司在本次政府采购活动中提供的小微型企业产品报价合计为人民币（大写）圆整（￥</w:t>
            </w:r>
            <w:r>
              <w:rPr>
                <w:rFonts w:hint="eastAsia" w:asciiTheme="majorEastAsia" w:hAnsiTheme="majorEastAsia" w:eastAsiaTheme="majorEastAsia"/>
                <w:bCs/>
                <w:color w:val="000000" w:themeColor="text1"/>
                <w:sz w:val="24"/>
                <w:szCs w:val="24"/>
                <w:highlight w:val="none"/>
                <w:u w:val="single"/>
                <w14:textFill>
                  <w14:solidFill>
                    <w14:schemeClr w14:val="tx1"/>
                  </w14:solidFill>
                </w14:textFill>
              </w:rPr>
              <w:t>：</w:t>
            </w:r>
            <w:r>
              <w:rPr>
                <w:rFonts w:hint="eastAsia" w:asciiTheme="majorEastAsia" w:hAnsiTheme="majorEastAsia" w:eastAsiaTheme="majorEastAsia"/>
                <w:bCs/>
                <w:color w:val="000000" w:themeColor="text1"/>
                <w:sz w:val="24"/>
                <w:szCs w:val="24"/>
                <w:highlight w:val="none"/>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10145" w:type="dxa"/>
            <w:gridSpan w:val="2"/>
            <w:vAlign w:val="center"/>
          </w:tcPr>
          <w:p>
            <w:pPr>
              <w:rPr>
                <w:rFonts w:asciiTheme="majorEastAsia" w:hAnsiTheme="majorEastAsia" w:eastAsiaTheme="majorEastAsia"/>
                <w:bCs/>
                <w:color w:val="000000" w:themeColor="text1"/>
                <w:sz w:val="24"/>
                <w:szCs w:val="24"/>
                <w:highlight w:val="none"/>
                <w14:textFill>
                  <w14:solidFill>
                    <w14:schemeClr w14:val="tx1"/>
                  </w14:solidFill>
                </w14:textFill>
              </w:rPr>
            </w:pPr>
            <w:r>
              <w:rPr>
                <w:rFonts w:hint="eastAsia" w:asciiTheme="majorEastAsia" w:hAnsiTheme="majorEastAsia" w:eastAsiaTheme="majorEastAsia"/>
                <w:bCs/>
                <w:color w:val="000000" w:themeColor="text1"/>
                <w:sz w:val="24"/>
                <w:szCs w:val="24"/>
                <w:highlight w:val="none"/>
                <w14:textFill>
                  <w14:solidFill>
                    <w14:schemeClr w14:val="tx1"/>
                  </w14:solidFill>
                </w14:textFill>
              </w:rPr>
              <w:t xml:space="preserve"> 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atLeast"/>
        </w:trPr>
        <w:tc>
          <w:tcPr>
            <w:tcW w:w="10145" w:type="dxa"/>
            <w:gridSpan w:val="2"/>
            <w:vAlign w:val="center"/>
          </w:tcPr>
          <w:p>
            <w:pPr>
              <w:rPr>
                <w:rFonts w:asciiTheme="majorEastAsia" w:hAnsiTheme="majorEastAsia" w:eastAsiaTheme="majorEastAsia"/>
                <w:bCs/>
                <w:color w:val="000000" w:themeColor="text1"/>
                <w:sz w:val="24"/>
                <w:szCs w:val="24"/>
                <w:highlight w:val="none"/>
                <w14:textFill>
                  <w14:solidFill>
                    <w14:schemeClr w14:val="tx1"/>
                  </w14:solidFill>
                </w14:textFill>
              </w:rPr>
            </w:pPr>
            <w:r>
              <w:rPr>
                <w:rFonts w:hint="eastAsia" w:asciiTheme="majorEastAsia" w:hAnsiTheme="majorEastAsia" w:eastAsiaTheme="majorEastAsia"/>
                <w:bCs/>
                <w:color w:val="000000" w:themeColor="text1"/>
                <w:sz w:val="24"/>
                <w:szCs w:val="24"/>
                <w:highlight w:val="none"/>
                <w14:textFill>
                  <w14:solidFill>
                    <w14:schemeClr w14:val="tx1"/>
                  </w14:solidFill>
                </w14:textFill>
              </w:rPr>
              <w:t>项目负责人姓名：                                     联系电话：</w:t>
            </w:r>
          </w:p>
        </w:tc>
      </w:tr>
    </w:tbl>
    <w:p>
      <w:pPr>
        <w:spacing w:line="180" w:lineRule="atLeast"/>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填写说明：</w:t>
      </w:r>
    </w:p>
    <w:p>
      <w:pPr>
        <w:numPr>
          <w:ilvl w:val="0"/>
          <w:numId w:val="2"/>
        </w:numP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开标一览表不得填报选择性报价，否则将作为无效投标；</w:t>
      </w:r>
    </w:p>
    <w:p>
      <w:pPr>
        <w:numPr>
          <w:ilvl w:val="0"/>
          <w:numId w:val="2"/>
        </w:numPr>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开标一览表中报价与投标分项明细报价表中不符时时，以开标一览表为准；</w:t>
      </w:r>
    </w:p>
    <w:p>
      <w:pPr>
        <w:ind w:firstLine="2640" w:firstLineChars="600"/>
        <w:rPr>
          <w:rFonts w:asciiTheme="majorEastAsia" w:hAnsiTheme="majorEastAsia" w:eastAsiaTheme="majorEastAsia"/>
          <w:color w:val="000000" w:themeColor="text1"/>
          <w:sz w:val="44"/>
          <w:highlight w:val="none"/>
          <w14:textFill>
            <w14:solidFill>
              <w14:schemeClr w14:val="tx1"/>
            </w14:solidFill>
          </w14:textFill>
        </w:rPr>
      </w:pPr>
    </w:p>
    <w:p>
      <w:pPr>
        <w:ind w:firstLine="480"/>
        <w:rPr>
          <w:rFonts w:asciiTheme="majorEastAsia" w:hAnsiTheme="majorEastAsia" w:eastAsiaTheme="majorEastAsia"/>
          <w:color w:val="000000" w:themeColor="text1"/>
          <w:sz w:val="24"/>
          <w:highlight w:val="none"/>
          <w14:textFill>
            <w14:solidFill>
              <w14:schemeClr w14:val="tx1"/>
            </w14:solidFill>
          </w14:textFill>
        </w:rPr>
      </w:pPr>
    </w:p>
    <w:p>
      <w:pPr>
        <w:ind w:firstLine="480"/>
        <w:rPr>
          <w:rFonts w:asciiTheme="majorEastAsia" w:hAnsiTheme="majorEastAsia" w:eastAsiaTheme="majorEastAsia"/>
          <w:color w:val="000000" w:themeColor="text1"/>
          <w:sz w:val="24"/>
          <w:highlight w:val="none"/>
          <w14:textFill>
            <w14:solidFill>
              <w14:schemeClr w14:val="tx1"/>
            </w14:solidFill>
          </w14:textFill>
        </w:rPr>
      </w:pPr>
    </w:p>
    <w:p>
      <w:pPr>
        <w:ind w:right="480" w:firstLine="480"/>
        <w:jc w:val="center"/>
        <w:rPr>
          <w:rFonts w:asciiTheme="majorEastAsia" w:hAnsiTheme="majorEastAsia" w:eastAsiaTheme="majorEastAsia"/>
          <w:bCs/>
          <w:color w:val="000000" w:themeColor="text1"/>
          <w:sz w:val="24"/>
          <w:highlight w:val="none"/>
          <w14:textFill>
            <w14:solidFill>
              <w14:schemeClr w14:val="tx1"/>
            </w14:solidFill>
          </w14:textFill>
        </w:rPr>
      </w:pPr>
    </w:p>
    <w:p>
      <w:pPr>
        <w:ind w:right="480" w:firstLine="480"/>
        <w:jc w:val="center"/>
        <w:rPr>
          <w:rFonts w:asciiTheme="majorEastAsia" w:hAnsiTheme="majorEastAsia" w:eastAsiaTheme="majorEastAsia"/>
          <w:bCs/>
          <w:color w:val="000000" w:themeColor="text1"/>
          <w:sz w:val="24"/>
          <w:highlight w:val="none"/>
          <w14:textFill>
            <w14:solidFill>
              <w14:schemeClr w14:val="tx1"/>
            </w14:solidFill>
          </w14:textFill>
        </w:rPr>
      </w:pPr>
      <w:r>
        <w:rPr>
          <w:rFonts w:hint="eastAsia" w:asciiTheme="majorEastAsia" w:hAnsiTheme="majorEastAsia" w:eastAsiaTheme="majorEastAsia"/>
          <w:bCs/>
          <w:color w:val="000000" w:themeColor="text1"/>
          <w:sz w:val="24"/>
          <w:highlight w:val="none"/>
          <w14:textFill>
            <w14:solidFill>
              <w14:schemeClr w14:val="tx1"/>
            </w14:solidFill>
          </w14:textFill>
        </w:rPr>
        <w:t>投标人（公章）：</w:t>
      </w:r>
    </w:p>
    <w:p>
      <w:pPr>
        <w:pStyle w:val="2"/>
        <w:rPr>
          <w:color w:val="000000" w:themeColor="text1"/>
          <w:highlight w:val="none"/>
          <w14:textFill>
            <w14:solidFill>
              <w14:schemeClr w14:val="tx1"/>
            </w14:solidFill>
          </w14:textFill>
        </w:rPr>
      </w:pPr>
    </w:p>
    <w:p>
      <w:pPr>
        <w:ind w:firstLine="5760" w:firstLineChars="2400"/>
        <w:rPr>
          <w:rFonts w:asciiTheme="majorEastAsia" w:hAnsiTheme="majorEastAsia" w:eastAsiaTheme="majorEastAsia"/>
          <w:color w:val="000000" w:themeColor="text1"/>
          <w:sz w:val="24"/>
          <w:highlight w:val="none"/>
          <w14:textFill>
            <w14:solidFill>
              <w14:schemeClr w14:val="tx1"/>
            </w14:solidFill>
          </w14:textFill>
        </w:rPr>
      </w:pPr>
      <w:r>
        <w:rPr>
          <w:rFonts w:hint="eastAsia" w:asciiTheme="majorEastAsia" w:hAnsiTheme="majorEastAsia" w:eastAsiaTheme="majorEastAsia"/>
          <w:color w:val="000000" w:themeColor="text1"/>
          <w:sz w:val="24"/>
          <w:highlight w:val="none"/>
          <w14:textFill>
            <w14:solidFill>
              <w14:schemeClr w14:val="tx1"/>
            </w14:solidFill>
          </w14:textFill>
        </w:rPr>
        <w:t>日期：年 月 日</w:t>
      </w:r>
    </w:p>
    <w:p>
      <w:pPr>
        <w:pStyle w:val="45"/>
        <w:ind w:firstLine="0" w:firstLineChars="0"/>
        <w:rPr>
          <w:rFonts w:asciiTheme="majorEastAsia" w:hAnsiTheme="majorEastAsia" w:eastAsiaTheme="majorEastAsia"/>
          <w:color w:val="000000" w:themeColor="text1"/>
          <w:highlight w:val="none"/>
          <w14:textFill>
            <w14:solidFill>
              <w14:schemeClr w14:val="tx1"/>
            </w14:solidFill>
          </w14:textFill>
        </w:rPr>
      </w:pPr>
    </w:p>
    <w:p>
      <w:pPr>
        <w:pStyle w:val="6"/>
        <w:rPr>
          <w:rFonts w:asciiTheme="majorEastAsia" w:hAnsiTheme="majorEastAsia" w:eastAsiaTheme="majorEastAsia"/>
          <w:color w:val="000000" w:themeColor="text1"/>
          <w:sz w:val="24"/>
          <w:szCs w:val="24"/>
          <w:highlight w:val="none"/>
          <w14:textFill>
            <w14:solidFill>
              <w14:schemeClr w14:val="tx1"/>
            </w14:solidFill>
          </w14:textFill>
        </w:rPr>
      </w:pPr>
      <w:r>
        <w:rPr>
          <w:rFonts w:asciiTheme="majorEastAsia" w:hAnsiTheme="majorEastAsia" w:eastAsiaTheme="majorEastAsia"/>
          <w:color w:val="000000" w:themeColor="text1"/>
          <w:highlight w:val="none"/>
          <w14:textFill>
            <w14:solidFill>
              <w14:schemeClr w14:val="tx1"/>
            </w14:solidFill>
          </w14:textFill>
        </w:rPr>
        <w:br w:type="page"/>
      </w:r>
    </w:p>
    <w:p>
      <w:pPr>
        <w:spacing w:line="460" w:lineRule="exact"/>
        <w:jc w:val="center"/>
        <w:rPr>
          <w:rFonts w:asciiTheme="majorEastAsia" w:hAnsiTheme="majorEastAsia" w:eastAsiaTheme="majorEastAsia"/>
          <w:color w:val="000000" w:themeColor="text1"/>
          <w:sz w:val="24"/>
          <w:szCs w:val="24"/>
          <w:highlight w:val="none"/>
          <w14:textFill>
            <w14:solidFill>
              <w14:schemeClr w14:val="tx1"/>
            </w14:solidFill>
          </w14:textFill>
        </w:rPr>
      </w:pPr>
    </w:p>
    <w:p>
      <w:pPr>
        <w:spacing w:line="560" w:lineRule="exact"/>
        <w:ind w:firstLine="3213" w:firstLineChars="1000"/>
        <w:rPr>
          <w:rFonts w:asciiTheme="majorEastAsia" w:hAnsiTheme="majorEastAsia" w:eastAsiaTheme="majorEastAsia"/>
          <w:b/>
          <w:bCs/>
          <w:color w:val="000000" w:themeColor="text1"/>
          <w:sz w:val="32"/>
          <w:szCs w:val="32"/>
          <w:highlight w:val="none"/>
          <w14:textFill>
            <w14:solidFill>
              <w14:schemeClr w14:val="tx1"/>
            </w14:solidFill>
          </w14:textFill>
        </w:rPr>
      </w:pPr>
      <w:r>
        <w:rPr>
          <w:rFonts w:hint="eastAsia" w:asciiTheme="majorEastAsia" w:hAnsiTheme="majorEastAsia" w:eastAsiaTheme="majorEastAsia"/>
          <w:b/>
          <w:bCs/>
          <w:color w:val="000000" w:themeColor="text1"/>
          <w:sz w:val="32"/>
          <w:szCs w:val="32"/>
          <w:highlight w:val="none"/>
          <w14:textFill>
            <w14:solidFill>
              <w14:schemeClr w14:val="tx1"/>
            </w14:solidFill>
          </w14:textFill>
        </w:rPr>
        <w:t>中小企业声明函</w:t>
      </w:r>
    </w:p>
    <w:p>
      <w:pPr>
        <w:pStyle w:val="2"/>
        <w:rPr>
          <w:rFonts w:asciiTheme="majorEastAsia" w:hAnsiTheme="majorEastAsia" w:eastAsiaTheme="majorEastAsia"/>
          <w:color w:val="000000" w:themeColor="text1"/>
          <w:highlight w:val="none"/>
          <w14:textFill>
            <w14:solidFill>
              <w14:schemeClr w14:val="tx1"/>
            </w14:solidFill>
          </w14:textFill>
        </w:rPr>
      </w:pPr>
    </w:p>
    <w:p>
      <w:pPr>
        <w:widowControl/>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（单位名称）</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的</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（项目名称）</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pPr>
        <w:widowControl/>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1.</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 xml:space="preserve">（标的名称）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，属于</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（采购文件中明确的所属行业）</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行业；制造商为</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（企业名称）</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，从业人员人，营业收入为万元，资产总额为万元，属于</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（中型企业、小型企业、微型企业）</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w:t>
      </w:r>
    </w:p>
    <w:p>
      <w:pPr>
        <w:widowControl/>
        <w:numPr>
          <w:ilvl w:val="0"/>
          <w:numId w:val="3"/>
        </w:numPr>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 xml:space="preserve">（标的名称） </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，属于</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（采购文件中明确的所属行业）</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行业；制造商为</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（企业名称）</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，从业人员人，营业收入为万元，资产总额为万元，属于</w:t>
      </w:r>
      <w:r>
        <w:rPr>
          <w:rFonts w:hint="eastAsia" w:cs="宋体" w:asciiTheme="majorEastAsia" w:hAnsiTheme="majorEastAsia" w:eastAsiaTheme="majorEastAsia"/>
          <w:i/>
          <w:iCs/>
          <w:color w:val="000000" w:themeColor="text1"/>
          <w:sz w:val="24"/>
          <w:szCs w:val="24"/>
          <w:highlight w:val="none"/>
          <w:u w:val="single"/>
          <w14:textFill>
            <w14:solidFill>
              <w14:schemeClr w14:val="tx1"/>
            </w14:solidFill>
          </w14:textFill>
        </w:rPr>
        <w:t>（中型企业、小型企业、微型企业）</w:t>
      </w:r>
      <w:r>
        <w:rPr>
          <w:rFonts w:hint="eastAsia" w:cs="宋体" w:asciiTheme="majorEastAsia" w:hAnsiTheme="majorEastAsia" w:eastAsiaTheme="majorEastAsia"/>
          <w:color w:val="000000" w:themeColor="text1"/>
          <w:sz w:val="24"/>
          <w:szCs w:val="24"/>
          <w:highlight w:val="none"/>
          <w14:textFill>
            <w14:solidFill>
              <w14:schemeClr w14:val="tx1"/>
            </w14:solidFill>
          </w14:textFill>
        </w:rPr>
        <w:t>；</w:t>
      </w:r>
    </w:p>
    <w:p>
      <w:pPr>
        <w:widowControl/>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w:t>
      </w:r>
    </w:p>
    <w:p>
      <w:pPr>
        <w:widowControl/>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本企业对上述声明内容的真实性负责。如有虚假，将依法承担相应责任。</w:t>
      </w:r>
    </w:p>
    <w:p>
      <w:pPr>
        <w:widowControl/>
        <w:spacing w:line="360" w:lineRule="auto"/>
        <w:ind w:firstLine="4080" w:firstLineChars="17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p>
    <w:p>
      <w:pPr>
        <w:widowControl/>
        <w:spacing w:line="360" w:lineRule="auto"/>
        <w:ind w:firstLine="4080" w:firstLineChars="17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p>
    <w:p>
      <w:pPr>
        <w:widowControl/>
        <w:spacing w:line="360" w:lineRule="auto"/>
        <w:ind w:firstLine="5520" w:firstLineChars="2300"/>
        <w:jc w:val="left"/>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企业名称（盖章）：</w:t>
      </w:r>
    </w:p>
    <w:p>
      <w:pPr>
        <w:spacing w:line="360" w:lineRule="auto"/>
        <w:ind w:firstLine="5760" w:firstLineChars="2400"/>
        <w:rPr>
          <w:rFonts w:cs="宋体" w:asciiTheme="majorEastAsia" w:hAnsiTheme="majorEastAsia" w:eastAsiaTheme="majorEastAsia"/>
          <w:color w:val="000000" w:themeColor="text1"/>
          <w:sz w:val="24"/>
          <w:szCs w:val="24"/>
          <w:highlight w:val="none"/>
          <w14:textFill>
            <w14:solidFill>
              <w14:schemeClr w14:val="tx1"/>
            </w14:solidFill>
          </w14:textFill>
        </w:rPr>
      </w:pPr>
      <w:r>
        <w:rPr>
          <w:rFonts w:hint="eastAsia" w:cs="宋体" w:asciiTheme="majorEastAsia" w:hAnsiTheme="majorEastAsia" w:eastAsiaTheme="majorEastAsia"/>
          <w:color w:val="000000" w:themeColor="text1"/>
          <w:sz w:val="24"/>
          <w:szCs w:val="24"/>
          <w:highlight w:val="none"/>
          <w14:textFill>
            <w14:solidFill>
              <w14:schemeClr w14:val="tx1"/>
            </w14:solidFill>
          </w14:textFill>
        </w:rPr>
        <w:t>日期：  年  月  日</w:t>
      </w: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autoSpaceDE w:val="0"/>
        <w:autoSpaceDN w:val="0"/>
        <w:adjustRightInd w:val="0"/>
        <w:spacing w:line="276" w:lineRule="auto"/>
        <w:jc w:val="left"/>
        <w:rPr>
          <w:rFonts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t>注：</w:t>
      </w:r>
    </w:p>
    <w:p>
      <w:pPr>
        <w:pStyle w:val="2"/>
        <w:ind w:firstLine="442"/>
        <w:rPr>
          <w:rFonts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t>1、从业人员、营业收入、资产总额填报上一年度数据，无上一年度数据的新成立企业可不填报</w:t>
      </w:r>
    </w:p>
    <w:p>
      <w:pPr>
        <w:pStyle w:val="2"/>
        <w:ind w:firstLine="442"/>
        <w:rPr>
          <w:rFonts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pPr>
      <w:r>
        <w:rPr>
          <w:rFonts w:hint="eastAsia" w:cs="Noto Sans Mono CJK JP Bold" w:asciiTheme="majorEastAsia" w:hAnsiTheme="majorEastAsia" w:eastAsiaTheme="majorEastAsia"/>
          <w:b/>
          <w:color w:val="000000" w:themeColor="text1"/>
          <w:kern w:val="0"/>
          <w:sz w:val="22"/>
          <w:szCs w:val="22"/>
          <w:highlight w:val="none"/>
          <w14:textFill>
            <w14:solidFill>
              <w14:schemeClr w14:val="tx1"/>
            </w14:solidFill>
          </w14:textFill>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p>
      <w:pPr>
        <w:pStyle w:val="2"/>
        <w:rPr>
          <w:rFonts w:asciiTheme="majorEastAsia" w:hAnsiTheme="majorEastAsia" w:eastAsiaTheme="majorEastAsia"/>
          <w:color w:val="000000" w:themeColor="text1"/>
          <w:highlight w:val="none"/>
          <w14:textFill>
            <w14:solidFill>
              <w14:schemeClr w14:val="tx1"/>
            </w14:solidFill>
          </w14:textFill>
        </w:rPr>
      </w:pPr>
    </w:p>
    <w:bookmarkEnd w:id="174"/>
    <w:p>
      <w:pPr>
        <w:autoSpaceDE w:val="0"/>
        <w:autoSpaceDN w:val="0"/>
        <w:adjustRightInd w:val="0"/>
        <w:spacing w:line="276" w:lineRule="auto"/>
        <w:ind w:firstLine="435"/>
        <w:jc w:val="center"/>
        <w:rPr>
          <w:rFonts w:ascii="宋体" w:hAnsi="宋体" w:cs="宋体"/>
          <w:b/>
          <w:color w:val="000000" w:themeColor="text1"/>
          <w:sz w:val="32"/>
          <w:szCs w:val="32"/>
          <w:highlight w:val="none"/>
          <w14:textFill>
            <w14:solidFill>
              <w14:schemeClr w14:val="tx1"/>
            </w14:solidFill>
          </w14:textFill>
        </w:rPr>
      </w:pPr>
      <w:bookmarkStart w:id="175" w:name="_Hlt26955054"/>
      <w:bookmarkEnd w:id="175"/>
      <w:bookmarkStart w:id="176" w:name="_Toc462564146"/>
      <w:r>
        <w:rPr>
          <w:rFonts w:hint="eastAsia" w:asciiTheme="majorEastAsia" w:hAnsiTheme="majorEastAsia" w:eastAsiaTheme="majorEastAsia"/>
          <w:b/>
          <w:color w:val="000000" w:themeColor="text1"/>
          <w:sz w:val="32"/>
          <w:szCs w:val="32"/>
          <w:highlight w:val="none"/>
          <w14:textFill>
            <w14:solidFill>
              <w14:schemeClr w14:val="tx1"/>
            </w14:solidFill>
          </w14:textFill>
        </w:rPr>
        <w:t>六、技术方案、服务承诺等</w:t>
      </w:r>
      <w:bookmarkEnd w:id="176"/>
      <w:bookmarkStart w:id="177" w:name="_格式2__法定代表人授权书"/>
      <w:bookmarkEnd w:id="177"/>
    </w:p>
    <w:p>
      <w:pPr>
        <w:rPr>
          <w:rFonts w:ascii="宋体" w:hAnsi="宋体" w:cs="宋体"/>
          <w:color w:val="000000" w:themeColor="text1"/>
          <w:highlight w:val="none"/>
          <w14:textFill>
            <w14:solidFill>
              <w14:schemeClr w14:val="tx1"/>
            </w14:solidFill>
          </w14:textFill>
        </w:rPr>
      </w:pPr>
    </w:p>
    <w:p>
      <w:pPr>
        <w:spacing w:line="500" w:lineRule="exact"/>
        <w:ind w:right="40" w:rightChars="19" w:firstLine="600" w:firstLineChars="250"/>
        <w:rPr>
          <w:rFonts w:asciiTheme="majorEastAsia" w:hAnsiTheme="majorEastAsia" w:eastAsiaTheme="majorEastAsia"/>
          <w:color w:val="000000" w:themeColor="text1"/>
          <w:sz w:val="24"/>
          <w:szCs w:val="24"/>
          <w:highlight w:val="none"/>
          <w14:textFill>
            <w14:solidFill>
              <w14:schemeClr w14:val="tx1"/>
            </w14:solidFill>
          </w14:textFill>
        </w:rPr>
      </w:pPr>
      <w:r>
        <w:rPr>
          <w:rFonts w:hint="eastAsia" w:asciiTheme="majorEastAsia" w:hAnsiTheme="majorEastAsia" w:eastAsiaTheme="majorEastAsia"/>
          <w:color w:val="000000" w:themeColor="text1"/>
          <w:sz w:val="24"/>
          <w:szCs w:val="24"/>
          <w:highlight w:val="none"/>
          <w14:textFill>
            <w14:solidFill>
              <w14:schemeClr w14:val="tx1"/>
            </w14:solidFill>
          </w14:textFill>
        </w:rPr>
        <w:t>提示：供应商应根据本次采购项目要求，对所响应服务要求进行详细的说明与描述。包括人员安排、项目、管理安排方案等。</w:t>
      </w:r>
    </w:p>
    <w:p>
      <w:pPr>
        <w:spacing w:line="500" w:lineRule="exact"/>
        <w:ind w:right="40" w:rightChars="19" w:firstLine="360" w:firstLineChars="150"/>
        <w:rPr>
          <w:rFonts w:asciiTheme="majorEastAsia" w:hAnsiTheme="majorEastAsia" w:eastAsiaTheme="majorEastAsia"/>
          <w:color w:val="000000" w:themeColor="text1"/>
          <w:sz w:val="24"/>
          <w:szCs w:val="24"/>
          <w:highlight w:val="none"/>
          <w14:textFill>
            <w14:solidFill>
              <w14:schemeClr w14:val="tx1"/>
            </w14:solidFill>
          </w14:textFill>
        </w:rPr>
      </w:pPr>
    </w:p>
    <w:p>
      <w:pPr>
        <w:snapToGrid w:val="0"/>
        <w:spacing w:before="50" w:after="50"/>
        <w:jc w:val="center"/>
        <w:rPr>
          <w:rFonts w:asciiTheme="majorEastAsia" w:hAnsiTheme="majorEastAsia" w:eastAsiaTheme="majorEastAsia"/>
          <w:color w:val="000000" w:themeColor="text1"/>
          <w:sz w:val="32"/>
          <w:szCs w:val="32"/>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autoSpaceDE w:val="0"/>
        <w:autoSpaceDN w:val="0"/>
        <w:adjustRightInd w:val="0"/>
        <w:spacing w:line="276" w:lineRule="auto"/>
        <w:ind w:firstLine="435"/>
        <w:jc w:val="center"/>
        <w:rPr>
          <w:rFonts w:asciiTheme="majorEastAsia" w:hAnsiTheme="majorEastAsia" w:eastAsiaTheme="majorEastAsia"/>
          <w:b/>
          <w:color w:val="000000" w:themeColor="text1"/>
          <w:sz w:val="32"/>
          <w:szCs w:val="32"/>
          <w:highlight w:val="none"/>
          <w14:textFill>
            <w14:solidFill>
              <w14:schemeClr w14:val="tx1"/>
            </w14:solidFill>
          </w14:textFill>
        </w:rPr>
      </w:pPr>
      <w:r>
        <w:rPr>
          <w:rFonts w:hint="eastAsia" w:asciiTheme="majorEastAsia" w:hAnsiTheme="majorEastAsia" w:eastAsiaTheme="majorEastAsia"/>
          <w:b/>
          <w:color w:val="000000" w:themeColor="text1"/>
          <w:sz w:val="32"/>
          <w:szCs w:val="32"/>
          <w:highlight w:val="none"/>
          <w14:textFill>
            <w14:solidFill>
              <w14:schemeClr w14:val="tx1"/>
            </w14:solidFill>
          </w14:textFill>
        </w:rPr>
        <w:t>七、配备人员一览表</w:t>
      </w:r>
    </w:p>
    <w:p>
      <w:pPr>
        <w:autoSpaceDE w:val="0"/>
        <w:autoSpaceDN w:val="0"/>
        <w:spacing w:before="12"/>
        <w:jc w:val="left"/>
        <w:rPr>
          <w:rFonts w:ascii="宋体" w:hAnsi="宋体" w:cs="宋体"/>
          <w:b/>
          <w:color w:val="000000" w:themeColor="text1"/>
          <w:kern w:val="0"/>
          <w:sz w:val="15"/>
          <w:highlight w:val="none"/>
          <w14:textFill>
            <w14:solidFill>
              <w14:schemeClr w14:val="tx1"/>
            </w14:solidFill>
          </w14:textFill>
        </w:rPr>
      </w:pPr>
    </w:p>
    <w:p>
      <w:pPr>
        <w:autoSpaceDE w:val="0"/>
        <w:autoSpaceDN w:val="0"/>
        <w:spacing w:before="3" w:after="1"/>
        <w:jc w:val="left"/>
        <w:rPr>
          <w:rFonts w:ascii="宋体" w:hAnsi="宋体" w:cs="宋体"/>
          <w:color w:val="000000" w:themeColor="text1"/>
          <w:kern w:val="0"/>
          <w:sz w:val="10"/>
          <w:highlight w:val="none"/>
          <w14:textFill>
            <w14:solidFill>
              <w14:schemeClr w14:val="tx1"/>
            </w14:solidFill>
          </w14:textFill>
        </w:rPr>
      </w:pPr>
    </w:p>
    <w:tbl>
      <w:tblPr>
        <w:tblStyle w:val="129"/>
        <w:tblW w:w="9426" w:type="dxa"/>
        <w:tblInd w:w="28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2"/>
        <w:gridCol w:w="992"/>
        <w:gridCol w:w="1134"/>
        <w:gridCol w:w="993"/>
        <w:gridCol w:w="992"/>
        <w:gridCol w:w="1211"/>
        <w:gridCol w:w="1556"/>
        <w:gridCol w:w="15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1" w:hRule="atLeast"/>
        </w:trPr>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21"/>
              <w:jc w:val="center"/>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序号</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84"/>
              <w:jc w:val="center"/>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岗位</w:t>
            </w:r>
          </w:p>
        </w:tc>
        <w:tc>
          <w:tcPr>
            <w:tcW w:w="1134"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356"/>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姓名</w:t>
            </w:r>
          </w:p>
        </w:tc>
        <w:tc>
          <w:tcPr>
            <w:tcW w:w="993"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firstLine="280" w:firstLineChars="100"/>
              <w:rPr>
                <w:rFonts w:ascii="宋体" w:hAnsi="宋体" w:eastAsia="Times New Roman" w:cs="宋体"/>
                <w:b/>
                <w:color w:val="000000" w:themeColor="text1"/>
                <w:kern w:val="0"/>
                <w:sz w:val="28"/>
                <w:highlight w:val="none"/>
                <w:lang w:eastAsia="en-US"/>
                <w14:textFill>
                  <w14:solidFill>
                    <w14:schemeClr w14:val="tx1"/>
                  </w14:solidFill>
                </w14:textFill>
              </w:rPr>
            </w:pPr>
            <w:r>
              <w:rPr>
                <w:rFonts w:ascii="宋体" w:hAnsi="宋体" w:eastAsia="Times New Roman" w:cs="宋体"/>
                <w:b/>
                <w:color w:val="000000" w:themeColor="text1"/>
                <w:kern w:val="0"/>
                <w:sz w:val="28"/>
                <w:highlight w:val="none"/>
                <w:lang w:eastAsia="en-US"/>
                <w14:textFill>
                  <w14:solidFill>
                    <w14:schemeClr w14:val="tx1"/>
                  </w14:solidFill>
                </w14:textFill>
              </w:rPr>
              <w:t>性别</w:t>
            </w:r>
          </w:p>
        </w:tc>
        <w:tc>
          <w:tcPr>
            <w:tcW w:w="992"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284"/>
              <w:rPr>
                <w:rFonts w:ascii="宋体" w:hAnsi="宋体" w:eastAsia="Times New Roman" w:cs="宋体"/>
                <w:b/>
                <w:color w:val="000000" w:themeColor="text1"/>
                <w:kern w:val="0"/>
                <w:sz w:val="28"/>
                <w:highlight w:val="none"/>
                <w:lang w:eastAsia="en-US"/>
                <w14:textFill>
                  <w14:solidFill>
                    <w14:schemeClr w14:val="tx1"/>
                  </w14:solidFill>
                </w14:textFill>
              </w:rPr>
            </w:pPr>
            <w:r>
              <w:rPr>
                <w:rFonts w:ascii="宋体" w:hAnsi="宋体" w:eastAsia="Times New Roman" w:cs="宋体"/>
                <w:b/>
                <w:color w:val="000000" w:themeColor="text1"/>
                <w:kern w:val="0"/>
                <w:sz w:val="28"/>
                <w:highlight w:val="none"/>
                <w:lang w:eastAsia="en-US"/>
                <w14:textFill>
                  <w14:solidFill>
                    <w14:schemeClr w14:val="tx1"/>
                  </w14:solidFill>
                </w14:textFill>
              </w:rPr>
              <w:t>年龄</w:t>
            </w:r>
          </w:p>
        </w:tc>
        <w:tc>
          <w:tcPr>
            <w:tcW w:w="1211"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355"/>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学历</w:t>
            </w:r>
          </w:p>
        </w:tc>
        <w:tc>
          <w:tcPr>
            <w:tcW w:w="15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left="497"/>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职称</w:t>
            </w:r>
          </w:p>
        </w:tc>
        <w:tc>
          <w:tcPr>
            <w:tcW w:w="1556" w:type="dxa"/>
            <w:tcBorders>
              <w:top w:val="single" w:color="000000" w:sz="4" w:space="0"/>
              <w:left w:val="single" w:color="000000" w:sz="4" w:space="0"/>
              <w:bottom w:val="single" w:color="000000" w:sz="4" w:space="0"/>
              <w:right w:val="single" w:color="000000" w:sz="4" w:space="0"/>
            </w:tcBorders>
            <w:vAlign w:val="center"/>
          </w:tcPr>
          <w:p>
            <w:pPr>
              <w:autoSpaceDE w:val="0"/>
              <w:autoSpaceDN w:val="0"/>
              <w:spacing w:before="1"/>
              <w:ind w:firstLine="560" w:firstLineChars="200"/>
              <w:rPr>
                <w:rFonts w:ascii="宋体" w:hAnsi="宋体" w:eastAsia="Times New Roman" w:cs="宋体"/>
                <w:b/>
                <w:color w:val="000000" w:themeColor="text1"/>
                <w:kern w:val="0"/>
                <w:sz w:val="28"/>
                <w:highlight w:val="none"/>
                <w:lang w:eastAsia="en-US"/>
                <w14:textFill>
                  <w14:solidFill>
                    <w14:schemeClr w14:val="tx1"/>
                  </w14:solidFill>
                </w14:textFill>
              </w:rPr>
            </w:pPr>
            <w:r>
              <w:rPr>
                <w:rFonts w:hint="eastAsia" w:ascii="宋体" w:hAnsi="宋体" w:eastAsia="Times New Roman" w:cs="宋体"/>
                <w:b/>
                <w:color w:val="000000" w:themeColor="text1"/>
                <w:kern w:val="0"/>
                <w:sz w:val="28"/>
                <w:highlight w:val="none"/>
                <w:lang w:eastAsia="en-US"/>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134"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3"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992"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211"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c>
          <w:tcPr>
            <w:tcW w:w="1556" w:type="dxa"/>
            <w:tcBorders>
              <w:top w:val="single" w:color="000000" w:sz="4" w:space="0"/>
              <w:left w:val="single" w:color="000000" w:sz="4" w:space="0"/>
              <w:bottom w:val="single" w:color="000000" w:sz="4" w:space="0"/>
              <w:right w:val="single" w:color="000000" w:sz="4" w:space="0"/>
            </w:tcBorders>
          </w:tcPr>
          <w:p>
            <w:pPr>
              <w:autoSpaceDE w:val="0"/>
              <w:autoSpaceDN w:val="0"/>
              <w:jc w:val="left"/>
              <w:rPr>
                <w:rFonts w:ascii="Calibri" w:hAnsi="宋体" w:eastAsia="Times New Roman" w:cs="宋体"/>
                <w:color w:val="000000" w:themeColor="text1"/>
                <w:kern w:val="0"/>
                <w:sz w:val="26"/>
                <w:highlight w:val="none"/>
                <w:lang w:eastAsia="en-US"/>
                <w14:textFill>
                  <w14:solidFill>
                    <w14:schemeClr w14:val="tx1"/>
                  </w14:solidFill>
                </w14:textFill>
              </w:rPr>
            </w:pPr>
          </w:p>
        </w:tc>
      </w:tr>
    </w:tbl>
    <w:p>
      <w:pPr>
        <w:autoSpaceDE w:val="0"/>
        <w:autoSpaceDN w:val="0"/>
        <w:spacing w:before="141" w:line="415" w:lineRule="auto"/>
        <w:ind w:left="340" w:right="438" w:firstLine="559"/>
        <w:jc w:val="left"/>
        <w:rPr>
          <w:rFonts w:ascii="宋体" w:hAnsi="宋体" w:cs="宋体"/>
          <w:color w:val="000000" w:themeColor="text1"/>
          <w:kern w:val="0"/>
          <w:sz w:val="28"/>
          <w:szCs w:val="22"/>
          <w:highlight w:val="none"/>
          <w14:textFill>
            <w14:solidFill>
              <w14:schemeClr w14:val="tx1"/>
            </w14:solidFill>
          </w14:textFill>
        </w:rPr>
      </w:pPr>
      <w:r>
        <w:rPr>
          <w:rFonts w:hint="eastAsia" w:ascii="宋体" w:hAnsi="宋体" w:cs="宋体"/>
          <w:color w:val="000000" w:themeColor="text1"/>
          <w:kern w:val="0"/>
          <w:sz w:val="28"/>
          <w:szCs w:val="22"/>
          <w:highlight w:val="none"/>
          <w14:textFill>
            <w14:solidFill>
              <w14:schemeClr w14:val="tx1"/>
            </w14:solidFill>
          </w14:textFill>
        </w:rPr>
        <w:t>注：供应商须在响应文件中提供服务人员职称证书复印件以及从业经验简历。</w:t>
      </w:r>
    </w:p>
    <w:p>
      <w:pPr>
        <w:autoSpaceDE w:val="0"/>
        <w:autoSpaceDN w:val="0"/>
        <w:spacing w:before="9"/>
        <w:jc w:val="left"/>
        <w:rPr>
          <w:rFonts w:ascii="宋体" w:hAnsi="宋体" w:cs="宋体"/>
          <w:color w:val="000000" w:themeColor="text1"/>
          <w:kern w:val="0"/>
          <w:sz w:val="28"/>
          <w:szCs w:val="22"/>
          <w:highlight w:val="none"/>
          <w14:textFill>
            <w14:solidFill>
              <w14:schemeClr w14:val="tx1"/>
            </w14:solidFill>
          </w14:textFill>
        </w:rPr>
      </w:pPr>
    </w:p>
    <w:p>
      <w:pPr>
        <w:autoSpaceDE w:val="0"/>
        <w:autoSpaceDN w:val="0"/>
        <w:spacing w:before="9"/>
        <w:jc w:val="left"/>
        <w:rPr>
          <w:rFonts w:ascii="宋体" w:hAnsi="宋体" w:cs="宋体"/>
          <w:color w:val="000000" w:themeColor="text1"/>
          <w:kern w:val="0"/>
          <w:sz w:val="28"/>
          <w:szCs w:val="22"/>
          <w:highlight w:val="none"/>
          <w14:textFill>
            <w14:solidFill>
              <w14:schemeClr w14:val="tx1"/>
            </w14:solidFill>
          </w14:textFill>
        </w:rPr>
      </w:pPr>
    </w:p>
    <w:p>
      <w:pPr>
        <w:autoSpaceDE w:val="0"/>
        <w:autoSpaceDN w:val="0"/>
        <w:spacing w:before="9"/>
        <w:ind w:firstLine="840" w:firstLineChars="300"/>
        <w:jc w:val="left"/>
        <w:rPr>
          <w:rFonts w:ascii="宋体" w:hAnsi="宋体" w:cs="宋体"/>
          <w:color w:val="000000" w:themeColor="text1"/>
          <w:kern w:val="0"/>
          <w:sz w:val="28"/>
          <w:szCs w:val="22"/>
          <w:highlight w:val="none"/>
          <w14:textFill>
            <w14:solidFill>
              <w14:schemeClr w14:val="tx1"/>
            </w14:solidFill>
          </w14:textFill>
        </w:rPr>
      </w:pPr>
      <w:r>
        <w:rPr>
          <w:rFonts w:hint="eastAsia" w:ascii="宋体" w:hAnsi="宋体" w:cs="宋体"/>
          <w:color w:val="000000" w:themeColor="text1"/>
          <w:kern w:val="0"/>
          <w:sz w:val="28"/>
          <w:szCs w:val="22"/>
          <w:highlight w:val="none"/>
          <w14:textFill>
            <w14:solidFill>
              <w14:schemeClr w14:val="tx1"/>
            </w14:solidFill>
          </w14:textFill>
        </w:rPr>
        <w:t xml:space="preserve">投标人： （盖章）                                         </w:t>
      </w:r>
    </w:p>
    <w:p>
      <w:pPr>
        <w:autoSpaceDE w:val="0"/>
        <w:autoSpaceDN w:val="0"/>
        <w:spacing w:before="9"/>
        <w:jc w:val="left"/>
        <w:rPr>
          <w:rFonts w:ascii="宋体" w:hAnsi="宋体" w:cs="宋体"/>
          <w:color w:val="000000" w:themeColor="text1"/>
          <w:kern w:val="0"/>
          <w:sz w:val="28"/>
          <w:szCs w:val="22"/>
          <w:highlight w:val="none"/>
          <w14:textFill>
            <w14:solidFill>
              <w14:schemeClr w14:val="tx1"/>
            </w14:solidFill>
          </w14:textFill>
        </w:rPr>
      </w:pPr>
    </w:p>
    <w:p>
      <w:pPr>
        <w:autoSpaceDE w:val="0"/>
        <w:autoSpaceDN w:val="0"/>
        <w:spacing w:before="9"/>
        <w:ind w:firstLine="840" w:firstLineChars="300"/>
        <w:jc w:val="left"/>
        <w:rPr>
          <w:rFonts w:ascii="宋体" w:hAnsi="宋体" w:cs="宋体"/>
          <w:color w:val="000000" w:themeColor="text1"/>
          <w:kern w:val="0"/>
          <w:sz w:val="28"/>
          <w:szCs w:val="22"/>
          <w:highlight w:val="none"/>
          <w14:textFill>
            <w14:solidFill>
              <w14:schemeClr w14:val="tx1"/>
            </w14:solidFill>
          </w14:textFill>
        </w:rPr>
      </w:pPr>
      <w:r>
        <w:rPr>
          <w:rFonts w:hint="eastAsia" w:ascii="宋体" w:hAnsi="宋体" w:cs="宋体"/>
          <w:color w:val="000000" w:themeColor="text1"/>
          <w:kern w:val="0"/>
          <w:sz w:val="28"/>
          <w:szCs w:val="22"/>
          <w:highlight w:val="none"/>
          <w14:textFill>
            <w14:solidFill>
              <w14:schemeClr w14:val="tx1"/>
            </w14:solidFill>
          </w14:textFill>
        </w:rPr>
        <w:t>法定代表人或其委托代理人： （签字或盖章）</w:t>
      </w:r>
    </w:p>
    <w:p>
      <w:pPr>
        <w:tabs>
          <w:tab w:val="left" w:pos="2919"/>
          <w:tab w:val="left" w:pos="4460"/>
          <w:tab w:val="left" w:pos="5720"/>
        </w:tabs>
        <w:autoSpaceDE w:val="0"/>
        <w:autoSpaceDN w:val="0"/>
        <w:ind w:left="820"/>
        <w:jc w:val="left"/>
        <w:rPr>
          <w:rFonts w:ascii="宋体" w:hAnsi="宋体" w:cs="宋体"/>
          <w:color w:val="000000" w:themeColor="text1"/>
          <w:kern w:val="0"/>
          <w:sz w:val="28"/>
          <w:szCs w:val="22"/>
          <w:highlight w:val="none"/>
          <w14:textFill>
            <w14:solidFill>
              <w14:schemeClr w14:val="tx1"/>
            </w14:solidFill>
          </w14:textFill>
        </w:rPr>
      </w:pPr>
    </w:p>
    <w:p>
      <w:pPr>
        <w:tabs>
          <w:tab w:val="left" w:pos="2919"/>
          <w:tab w:val="left" w:pos="4460"/>
          <w:tab w:val="left" w:pos="5720"/>
        </w:tabs>
        <w:autoSpaceDE w:val="0"/>
        <w:autoSpaceDN w:val="0"/>
        <w:ind w:left="819" w:leftChars="390" w:firstLine="4200" w:firstLineChars="1500"/>
        <w:jc w:val="right"/>
        <w:rPr>
          <w:rFonts w:ascii="宋体" w:hAnsi="宋体" w:cs="宋体"/>
          <w:color w:val="000000" w:themeColor="text1"/>
          <w:kern w:val="0"/>
          <w:sz w:val="28"/>
          <w:szCs w:val="22"/>
          <w:highlight w:val="none"/>
          <w14:textFill>
            <w14:solidFill>
              <w14:schemeClr w14:val="tx1"/>
            </w14:solidFill>
          </w14:textFill>
        </w:rPr>
      </w:pPr>
      <w:r>
        <w:rPr>
          <w:rFonts w:hint="eastAsia" w:ascii="宋体" w:hAnsi="宋体" w:cs="宋体"/>
          <w:color w:val="000000" w:themeColor="text1"/>
          <w:kern w:val="0"/>
          <w:sz w:val="28"/>
          <w:szCs w:val="22"/>
          <w:highlight w:val="none"/>
          <w14:textFill>
            <w14:solidFill>
              <w14:schemeClr w14:val="tx1"/>
            </w14:solidFill>
          </w14:textFill>
        </w:rPr>
        <w:t>日期：</w:t>
      </w:r>
      <w:r>
        <w:rPr>
          <w:rFonts w:hint="eastAsia" w:ascii="宋体" w:hAnsi="宋体" w:cs="宋体"/>
          <w:color w:val="000000" w:themeColor="text1"/>
          <w:kern w:val="0"/>
          <w:sz w:val="28"/>
          <w:szCs w:val="22"/>
          <w:highlight w:val="none"/>
          <w14:textFill>
            <w14:solidFill>
              <w14:schemeClr w14:val="tx1"/>
            </w14:solidFill>
          </w14:textFill>
        </w:rPr>
        <w:tab/>
      </w:r>
      <w:r>
        <w:rPr>
          <w:rFonts w:hint="eastAsia" w:ascii="宋体" w:hAnsi="宋体" w:cs="宋体"/>
          <w:color w:val="000000" w:themeColor="text1"/>
          <w:kern w:val="0"/>
          <w:sz w:val="28"/>
          <w:szCs w:val="22"/>
          <w:highlight w:val="none"/>
          <w14:textFill>
            <w14:solidFill>
              <w14:schemeClr w14:val="tx1"/>
            </w14:solidFill>
          </w14:textFill>
        </w:rPr>
        <w:t>年</w:t>
      </w:r>
      <w:r>
        <w:rPr>
          <w:rFonts w:hint="eastAsia" w:ascii="宋体" w:hAnsi="宋体" w:cs="宋体"/>
          <w:color w:val="000000" w:themeColor="text1"/>
          <w:kern w:val="0"/>
          <w:sz w:val="28"/>
          <w:szCs w:val="22"/>
          <w:highlight w:val="none"/>
          <w14:textFill>
            <w14:solidFill>
              <w14:schemeClr w14:val="tx1"/>
            </w14:solidFill>
          </w14:textFill>
        </w:rPr>
        <w:tab/>
      </w:r>
      <w:r>
        <w:rPr>
          <w:rFonts w:hint="eastAsia" w:ascii="宋体" w:hAnsi="宋体" w:cs="宋体"/>
          <w:color w:val="000000" w:themeColor="text1"/>
          <w:kern w:val="0"/>
          <w:sz w:val="28"/>
          <w:szCs w:val="22"/>
          <w:highlight w:val="none"/>
          <w14:textFill>
            <w14:solidFill>
              <w14:schemeClr w14:val="tx1"/>
            </w14:solidFill>
          </w14:textFill>
        </w:rPr>
        <w:t>月</w:t>
      </w:r>
      <w:r>
        <w:rPr>
          <w:rFonts w:hint="eastAsia" w:ascii="宋体" w:hAnsi="宋体" w:cs="宋体"/>
          <w:color w:val="000000" w:themeColor="text1"/>
          <w:kern w:val="0"/>
          <w:sz w:val="28"/>
          <w:szCs w:val="22"/>
          <w:highlight w:val="none"/>
          <w14:textFill>
            <w14:solidFill>
              <w14:schemeClr w14:val="tx1"/>
            </w14:solidFill>
          </w14:textFill>
        </w:rPr>
        <w:tab/>
      </w:r>
      <w:r>
        <w:rPr>
          <w:rFonts w:hint="eastAsia" w:ascii="宋体" w:hAnsi="宋体" w:cs="宋体"/>
          <w:color w:val="000000" w:themeColor="text1"/>
          <w:kern w:val="0"/>
          <w:sz w:val="28"/>
          <w:szCs w:val="22"/>
          <w:highlight w:val="none"/>
          <w14:textFill>
            <w14:solidFill>
              <w14:schemeClr w14:val="tx1"/>
            </w14:solidFill>
          </w14:textFill>
        </w:rPr>
        <w:t>日</w:t>
      </w: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pStyle w:val="24"/>
        <w:rPr>
          <w:rFonts w:asciiTheme="majorEastAsia" w:hAnsiTheme="majorEastAsia" w:eastAsiaTheme="majorEastAsia"/>
          <w:color w:val="000000" w:themeColor="text1"/>
          <w:highlight w:val="none"/>
          <w14:textFill>
            <w14:solidFill>
              <w14:schemeClr w14:val="tx1"/>
            </w14:solidFill>
          </w14:textFill>
        </w:rPr>
      </w:pPr>
    </w:p>
    <w:p>
      <w:pPr>
        <w:snapToGrid w:val="0"/>
        <w:spacing w:before="50" w:after="50" w:line="360" w:lineRule="auto"/>
        <w:rPr>
          <w:rFonts w:ascii="方正小标宋简体" w:hAnsi="方正小标宋简体" w:eastAsia="方正小标宋简体" w:cs="方正小标宋简体"/>
          <w:color w:val="000000" w:themeColor="text1"/>
          <w:sz w:val="32"/>
          <w:szCs w:val="32"/>
          <w:highlight w:val="none"/>
          <w14:textFill>
            <w14:solidFill>
              <w14:schemeClr w14:val="tx1"/>
            </w14:solidFill>
          </w14:textFill>
        </w:rPr>
      </w:pPr>
    </w:p>
    <w:p>
      <w:pPr>
        <w:snapToGrid w:val="0"/>
        <w:spacing w:before="50" w:after="50" w:line="360" w:lineRule="auto"/>
        <w:jc w:val="center"/>
        <w:rPr>
          <w:rFonts w:ascii="方正小标宋简体" w:hAnsi="方正小标宋简体" w:eastAsia="方正小标宋简体" w:cs="方正小标宋简体"/>
          <w:color w:val="000000" w:themeColor="text1"/>
          <w:sz w:val="32"/>
          <w:szCs w:val="32"/>
          <w:highlight w:val="none"/>
          <w14:textFill>
            <w14:solidFill>
              <w14:schemeClr w14:val="tx1"/>
            </w14:solidFill>
          </w14:textFill>
        </w:rPr>
      </w:pPr>
      <w:r>
        <w:rPr>
          <w:rFonts w:hint="eastAsia" w:ascii="方正小标宋简体" w:hAnsi="方正小标宋简体" w:eastAsia="方正小标宋简体" w:cs="方正小标宋简体"/>
          <w:color w:val="000000" w:themeColor="text1"/>
          <w:sz w:val="32"/>
          <w:szCs w:val="32"/>
          <w:highlight w:val="none"/>
          <w14:textFill>
            <w14:solidFill>
              <w14:schemeClr w14:val="tx1"/>
            </w14:solidFill>
          </w14:textFill>
        </w:rPr>
        <w:t>八、盐城市政府采购事前信用承诺书</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为营造我市公开、公平、公正、诚实守信的政府采购交易环境，树立诚信守法的投标人形象，本人代表本单位作出以下承诺：</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一）本单位对所提交的企（事）业单位基本信息、企（事）业负责人、项目负责人、技术负责人、从业资质和资格、业绩、财务状况、信誉等所有资料，均合法、真实、准确、有效，无任何伪造、修改、虚假成份，并对所提供资料的真实性负责；</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（二）本单位无涉及政府采购活动的违法、违规不良记录，我公司及相关负责人无因存在重大隐患整改不力、发生有重大社会影响生产安全事故或其他严重违法违规行为而被列入失信联合惩戒的不良记录；</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（三）严格依照国家和省、市关于政府采购的法律、法规、规章、规范性文件，参加政府采购投标活动；积极履行社会责任，促进廉政建设； </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（四）严格遵守即时信息公示规定，及时维护和更新“江苏医药职业学院网”中与本单位相关的信息；</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五）自我约束、自我管理，守合同、重信用，自觉维护政府采购交易的良好秩序，与参与本次政府采购活动的其他供应商不存在直接控股或管理关系，不参与围标串标、弄虚作假、骗取中标、干扰评标、违约毁约等行为；</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（六）自觉接受政府、行业组织、社会公众、新闻舆论的监督；</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七）本单位自愿接受政府采购监督管理机构和有关行政监督部门的依法检查。如发生违法违规或不良失信行为，自愿接受政府采购监督管理机构和有关行政监督部门依法给予的行政处罚（处理），并依法承担相应责任；</w:t>
      </w:r>
    </w:p>
    <w:p>
      <w:pPr>
        <w:widowControl/>
        <w:spacing w:line="500" w:lineRule="exact"/>
        <w:ind w:firstLine="480" w:firstLineChars="200"/>
        <w:jc w:val="left"/>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（八）本人已认真阅读了上述承诺，并向本单位员工作了宣传教育。</w:t>
      </w:r>
    </w:p>
    <w:p>
      <w:pPr>
        <w:widowControl/>
        <w:spacing w:line="500" w:lineRule="exact"/>
        <w:jc w:val="left"/>
        <w:rPr>
          <w:rFonts w:ascii="宋体" w:hAnsi="宋体"/>
          <w:color w:val="000000" w:themeColor="text1"/>
          <w:sz w:val="24"/>
          <w:szCs w:val="24"/>
          <w:highlight w:val="none"/>
          <w14:textFill>
            <w14:solidFill>
              <w14:schemeClr w14:val="tx1"/>
            </w14:solidFill>
          </w14:textFill>
        </w:rPr>
      </w:pPr>
    </w:p>
    <w:p>
      <w:pPr>
        <w:widowControl/>
        <w:spacing w:line="500" w:lineRule="exact"/>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法定代表人签名：</w:t>
      </w:r>
    </w:p>
    <w:p>
      <w:pPr>
        <w:widowControl/>
        <w:spacing w:line="500" w:lineRule="exact"/>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单位名称（盖章）：</w:t>
      </w:r>
    </w:p>
    <w:p>
      <w:pPr>
        <w:widowControl/>
        <w:spacing w:line="500" w:lineRule="exact"/>
        <w:jc w:val="center"/>
        <w:rPr>
          <w:rFonts w:ascii="宋体" w:hAnsi="宋体"/>
          <w:color w:val="000000" w:themeColor="text1"/>
          <w:sz w:val="24"/>
          <w:szCs w:val="24"/>
          <w:highlight w:val="none"/>
          <w14:textFill>
            <w14:solidFill>
              <w14:schemeClr w14:val="tx1"/>
            </w14:solidFill>
          </w14:textFill>
        </w:rPr>
      </w:pPr>
    </w:p>
    <w:p>
      <w:pPr>
        <w:widowControl/>
        <w:spacing w:line="500" w:lineRule="exact"/>
        <w:jc w:val="center"/>
        <w:rPr>
          <w:rFonts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 xml:space="preserve">                                   年  月  日</w:t>
      </w:r>
    </w:p>
    <w:bookmarkEnd w:id="178"/>
    <w:sectPr>
      <w:pgSz w:w="11910" w:h="16840"/>
      <w:pgMar w:top="1134" w:right="1134" w:bottom="1134" w:left="1134" w:header="851" w:footer="680" w:gutter="0"/>
      <w:pgNumType w:fmt="numberInDash"/>
      <w:cols w:space="720" w:num="1"/>
      <w:docGrid w:linePitch="29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幼圆">
    <w:panose1 w:val="02010509060101010101"/>
    <w:charset w:val="86"/>
    <w:family w:val="modern"/>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方正黑体_GBK">
    <w:altName w:val="黑体"/>
    <w:panose1 w:val="00000000000000000000"/>
    <w:charset w:val="86"/>
    <w:family w:val="script"/>
    <w:pitch w:val="default"/>
    <w:sig w:usb0="00000000" w:usb1="00000000" w:usb2="00000010" w:usb3="00000000" w:csb0="00040000" w:csb1="00000000"/>
  </w:font>
  <w:font w:name="方正小标宋_GBK">
    <w:altName w:val="Arial Unicode MS"/>
    <w:panose1 w:val="00000000000000000000"/>
    <w:charset w:val="86"/>
    <w:family w:val="script"/>
    <w:pitch w:val="default"/>
    <w:sig w:usb0="00000000" w:usb1="00000000" w:usb2="00000000" w:usb3="00000000" w:csb0="00040000" w:csb1="00000000"/>
  </w:font>
  <w:font w:name="Noto Sans Mono CJK JP Bold">
    <w:altName w:val="Arial"/>
    <w:panose1 w:val="00000000000000000000"/>
    <w:charset w:val="00"/>
    <w:family w:val="swiss"/>
    <w:pitch w:val="default"/>
    <w:sig w:usb0="00000000" w:usb1="00000000" w:usb2="00000010"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b/>
        <w:i/>
      </w:rPr>
    </w:pPr>
    <w:r>
      <w:rPr>
        <w:sz w:val="20"/>
      </w:rPr>
      <w:pict>
        <v:shape id="_x0000_s2049" o:spid="_x0000_s2049" o:spt="202" type="#_x0000_t202" style="position:absolute;left:0pt;margin-top:0pt;height:10.35pt;width:27.65pt;mso-position-horizontal:center;mso-position-horizontal-relative:margin;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">
          <v:path/>
          <v:fill on="f" focussize="0,0"/>
          <v:stroke on="f" joinstyle="miter"/>
          <v:imagedata o:title=""/>
          <o:lock v:ext="edit"/>
          <v:textbox inset="0mm,0mm,0mm,0mm" style="mso-fit-shape-to-text:t;">
            <w:txbxContent>
              <w:p>
                <w:pPr>
                  <w:pStyle w:val="29"/>
                </w:pPr>
                <w:r>
                  <w:fldChar w:fldCharType="begin"/>
                </w:r>
                <w:r>
                  <w:instrText xml:space="preserve"> PAGE  \* MERGEFORMAT </w:instrText>
                </w:r>
                <w:r>
                  <w:fldChar w:fldCharType="separate"/>
                </w:r>
                <w:r>
                  <w:t>- 6 -</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jc w:val="center"/>
      <w:rPr>
        <w:b/>
        <w:i/>
      </w:rPr>
    </w:pPr>
    <w:r>
      <w:rPr>
        <w:sz w:val="20"/>
      </w:rPr>
      <w:pict>
        <v:shape id="_x0000_s2050" o:spid="_x0000_s2050" o:spt="202" type="#_x0000_t202" style="position:absolute;left:0pt;margin-top:0pt;height:10.35pt;width:27.65pt;mso-position-horizontal:center;mso-position-horizontal-relative:margin;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">
          <v:path/>
          <v:fill on="f" focussize="0,0"/>
          <v:stroke on="f" joinstyle="miter"/>
          <v:imagedata o:title=""/>
          <o:lock v:ext="edit"/>
          <v:textbox inset="0mm,0mm,0mm,0mm" style="mso-fit-shape-to-text:t;">
            <w:txbxContent>
              <w:p>
                <w:pPr>
                  <w:pStyle w:val="29"/>
                </w:pPr>
                <w:r>
                  <w:fldChar w:fldCharType="begin"/>
                </w:r>
                <w:r>
                  <w:instrText xml:space="preserve"> PAGE  \* MERGEFORMAT </w:instrText>
                </w:r>
                <w:r>
                  <w:fldChar w:fldCharType="separate"/>
                </w:r>
                <w:r>
                  <w:t>- 40 -</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hint="eastAsia"/>
      </w:rPr>
      <w:t>江苏医药职业学院</w:t>
    </w:r>
    <w:r>
      <w:t>SY2021-078-FW-JC</w:t>
    </w:r>
    <w:r>
      <w:rPr>
        <w:rFonts w:hint="eastAsia"/>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pPr>
    <w:r>
      <w:rPr>
        <w:rFonts w:hint="eastAsia"/>
      </w:rPr>
      <w:t>江苏医药职业学院</w:t>
    </w:r>
    <w:r>
      <w:t>SY2021-078-FW-JC</w:t>
    </w:r>
    <w:r>
      <w:rPr>
        <w:rFonts w:hint="eastAsia"/>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71B291"/>
    <w:multiLevelType w:val="singleLevel"/>
    <w:tmpl w:val="1571B291"/>
    <w:lvl w:ilvl="0" w:tentative="0">
      <w:start w:val="6"/>
      <w:numFmt w:val="chineseCounting"/>
      <w:suff w:val="nothing"/>
      <w:lvlText w:val="%1、"/>
      <w:lvlJc w:val="left"/>
      <w:rPr>
        <w:rFonts w:hint="eastAsia"/>
      </w:rPr>
    </w:lvl>
  </w:abstractNum>
  <w:abstractNum w:abstractNumId="1">
    <w:nsid w:val="23CA3DFE"/>
    <w:multiLevelType w:val="singleLevel"/>
    <w:tmpl w:val="23CA3DFE"/>
    <w:lvl w:ilvl="0" w:tentative="0">
      <w:start w:val="1"/>
      <w:numFmt w:val="decimal"/>
      <w:lvlText w:val="%1、"/>
      <w:lvlJc w:val="left"/>
      <w:pPr>
        <w:tabs>
          <w:tab w:val="left" w:pos="480"/>
        </w:tabs>
        <w:ind w:left="480" w:hanging="480"/>
      </w:pPr>
    </w:lvl>
  </w:abstractNum>
  <w:abstractNum w:abstractNumId="2">
    <w:nsid w:val="5A2B9532"/>
    <w:multiLevelType w:val="singleLevel"/>
    <w:tmpl w:val="5A2B9532"/>
    <w:lvl w:ilvl="0" w:tentative="0">
      <w:start w:val="2"/>
      <w:numFmt w:val="decimal"/>
      <w:suff w:val="space"/>
      <w:lvlText w:val="%1."/>
      <w:lvlJc w:val="left"/>
      <w:pPr>
        <w:ind w:left="0" w:firstLine="0"/>
      </w:pPr>
    </w:lvl>
  </w:abstractNum>
  <w:num w:numId="1">
    <w:abstractNumId w:val="0"/>
  </w:num>
  <w:num w:numId="2">
    <w:abstractNumId w:val="1"/>
  </w:num>
  <w:num w:numId="3">
    <w:abstractNumId w:val="2"/>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45"/>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940C2"/>
    <w:rsid w:val="000006BA"/>
    <w:rsid w:val="00003269"/>
    <w:rsid w:val="0000359C"/>
    <w:rsid w:val="000048D4"/>
    <w:rsid w:val="00006E03"/>
    <w:rsid w:val="00007F0D"/>
    <w:rsid w:val="00010689"/>
    <w:rsid w:val="00012911"/>
    <w:rsid w:val="00015C6B"/>
    <w:rsid w:val="000175AD"/>
    <w:rsid w:val="00017D7F"/>
    <w:rsid w:val="00021B41"/>
    <w:rsid w:val="000301F5"/>
    <w:rsid w:val="00031E7D"/>
    <w:rsid w:val="000324C7"/>
    <w:rsid w:val="00035360"/>
    <w:rsid w:val="00035661"/>
    <w:rsid w:val="00035751"/>
    <w:rsid w:val="00035D81"/>
    <w:rsid w:val="00041E16"/>
    <w:rsid w:val="00043022"/>
    <w:rsid w:val="0005042B"/>
    <w:rsid w:val="00050739"/>
    <w:rsid w:val="00051179"/>
    <w:rsid w:val="00055401"/>
    <w:rsid w:val="00056AFA"/>
    <w:rsid w:val="00062181"/>
    <w:rsid w:val="0006231E"/>
    <w:rsid w:val="00062468"/>
    <w:rsid w:val="00065B48"/>
    <w:rsid w:val="000664C5"/>
    <w:rsid w:val="00066DA2"/>
    <w:rsid w:val="00067C76"/>
    <w:rsid w:val="00067C78"/>
    <w:rsid w:val="00080FB5"/>
    <w:rsid w:val="000819E7"/>
    <w:rsid w:val="00082D91"/>
    <w:rsid w:val="00083AE5"/>
    <w:rsid w:val="00092D79"/>
    <w:rsid w:val="00093A53"/>
    <w:rsid w:val="00094978"/>
    <w:rsid w:val="000969CC"/>
    <w:rsid w:val="000A14E6"/>
    <w:rsid w:val="000A3B1A"/>
    <w:rsid w:val="000A45EB"/>
    <w:rsid w:val="000A4F3A"/>
    <w:rsid w:val="000B20B2"/>
    <w:rsid w:val="000B63E8"/>
    <w:rsid w:val="000B7A95"/>
    <w:rsid w:val="000C01CA"/>
    <w:rsid w:val="000C0F89"/>
    <w:rsid w:val="000C2EC3"/>
    <w:rsid w:val="000C3F40"/>
    <w:rsid w:val="000C454A"/>
    <w:rsid w:val="000C73E6"/>
    <w:rsid w:val="000D109C"/>
    <w:rsid w:val="000D224C"/>
    <w:rsid w:val="000D52F4"/>
    <w:rsid w:val="000D77AF"/>
    <w:rsid w:val="000D7A3B"/>
    <w:rsid w:val="000E3CB9"/>
    <w:rsid w:val="000E43F0"/>
    <w:rsid w:val="000E663D"/>
    <w:rsid w:val="000F0979"/>
    <w:rsid w:val="000F144C"/>
    <w:rsid w:val="000F2D48"/>
    <w:rsid w:val="000F4F4F"/>
    <w:rsid w:val="000F67FF"/>
    <w:rsid w:val="00101305"/>
    <w:rsid w:val="00106CF6"/>
    <w:rsid w:val="00112FD2"/>
    <w:rsid w:val="001170E2"/>
    <w:rsid w:val="0012177E"/>
    <w:rsid w:val="001217E9"/>
    <w:rsid w:val="00121F00"/>
    <w:rsid w:val="00122E60"/>
    <w:rsid w:val="00133F84"/>
    <w:rsid w:val="001433BF"/>
    <w:rsid w:val="0014586C"/>
    <w:rsid w:val="00154508"/>
    <w:rsid w:val="001601A1"/>
    <w:rsid w:val="00160F01"/>
    <w:rsid w:val="00161F4E"/>
    <w:rsid w:val="0016234B"/>
    <w:rsid w:val="00163005"/>
    <w:rsid w:val="00163C1B"/>
    <w:rsid w:val="00166612"/>
    <w:rsid w:val="00167D9E"/>
    <w:rsid w:val="00170AC5"/>
    <w:rsid w:val="00170DA5"/>
    <w:rsid w:val="00174DC1"/>
    <w:rsid w:val="00184539"/>
    <w:rsid w:val="0019254A"/>
    <w:rsid w:val="0019458E"/>
    <w:rsid w:val="001972E1"/>
    <w:rsid w:val="00197C62"/>
    <w:rsid w:val="001A2C28"/>
    <w:rsid w:val="001A441F"/>
    <w:rsid w:val="001A49F5"/>
    <w:rsid w:val="001C0A64"/>
    <w:rsid w:val="001C2CEE"/>
    <w:rsid w:val="001C4E2C"/>
    <w:rsid w:val="001C7F0A"/>
    <w:rsid w:val="001D10DD"/>
    <w:rsid w:val="001D7179"/>
    <w:rsid w:val="001D74F6"/>
    <w:rsid w:val="001E18B5"/>
    <w:rsid w:val="001E200E"/>
    <w:rsid w:val="001E3F05"/>
    <w:rsid w:val="001E5788"/>
    <w:rsid w:val="001F625D"/>
    <w:rsid w:val="001F6AFF"/>
    <w:rsid w:val="00201074"/>
    <w:rsid w:val="002012A9"/>
    <w:rsid w:val="00203E24"/>
    <w:rsid w:val="00204A2F"/>
    <w:rsid w:val="002179B3"/>
    <w:rsid w:val="002248EA"/>
    <w:rsid w:val="00225666"/>
    <w:rsid w:val="00227D91"/>
    <w:rsid w:val="00243EED"/>
    <w:rsid w:val="002449AC"/>
    <w:rsid w:val="00245547"/>
    <w:rsid w:val="00246B18"/>
    <w:rsid w:val="0025368D"/>
    <w:rsid w:val="002536D9"/>
    <w:rsid w:val="00254FE7"/>
    <w:rsid w:val="00256787"/>
    <w:rsid w:val="00260510"/>
    <w:rsid w:val="00264587"/>
    <w:rsid w:val="00266978"/>
    <w:rsid w:val="00267985"/>
    <w:rsid w:val="002725ED"/>
    <w:rsid w:val="00275D16"/>
    <w:rsid w:val="00281530"/>
    <w:rsid w:val="002961BC"/>
    <w:rsid w:val="002A0545"/>
    <w:rsid w:val="002A0C29"/>
    <w:rsid w:val="002B241E"/>
    <w:rsid w:val="002B7B13"/>
    <w:rsid w:val="002C71EC"/>
    <w:rsid w:val="002D03EB"/>
    <w:rsid w:val="002D0AA3"/>
    <w:rsid w:val="002D4458"/>
    <w:rsid w:val="002D54AF"/>
    <w:rsid w:val="002D6B4F"/>
    <w:rsid w:val="002D6FAF"/>
    <w:rsid w:val="002D7AA0"/>
    <w:rsid w:val="002E3379"/>
    <w:rsid w:val="002E3611"/>
    <w:rsid w:val="002E5804"/>
    <w:rsid w:val="002F06E1"/>
    <w:rsid w:val="002F0F0A"/>
    <w:rsid w:val="002F6F52"/>
    <w:rsid w:val="002F7306"/>
    <w:rsid w:val="00301EB0"/>
    <w:rsid w:val="003027E9"/>
    <w:rsid w:val="00302BC7"/>
    <w:rsid w:val="003048F2"/>
    <w:rsid w:val="0030544F"/>
    <w:rsid w:val="00305A13"/>
    <w:rsid w:val="00306F2F"/>
    <w:rsid w:val="00307037"/>
    <w:rsid w:val="00316D39"/>
    <w:rsid w:val="00317D83"/>
    <w:rsid w:val="003202C3"/>
    <w:rsid w:val="003227E3"/>
    <w:rsid w:val="00322810"/>
    <w:rsid w:val="003262E4"/>
    <w:rsid w:val="00331125"/>
    <w:rsid w:val="00334CB8"/>
    <w:rsid w:val="00336FD2"/>
    <w:rsid w:val="00345163"/>
    <w:rsid w:val="0034641A"/>
    <w:rsid w:val="00353D28"/>
    <w:rsid w:val="00354F5A"/>
    <w:rsid w:val="00355ABF"/>
    <w:rsid w:val="00355FF2"/>
    <w:rsid w:val="003562A8"/>
    <w:rsid w:val="003571C8"/>
    <w:rsid w:val="00364001"/>
    <w:rsid w:val="00371BD0"/>
    <w:rsid w:val="003730CB"/>
    <w:rsid w:val="00373685"/>
    <w:rsid w:val="003766AE"/>
    <w:rsid w:val="00380868"/>
    <w:rsid w:val="0038304B"/>
    <w:rsid w:val="00383F7F"/>
    <w:rsid w:val="003845AE"/>
    <w:rsid w:val="00384FD2"/>
    <w:rsid w:val="00391EBC"/>
    <w:rsid w:val="00394547"/>
    <w:rsid w:val="0039615C"/>
    <w:rsid w:val="0039631F"/>
    <w:rsid w:val="003970F2"/>
    <w:rsid w:val="003A0952"/>
    <w:rsid w:val="003A1AD7"/>
    <w:rsid w:val="003B005D"/>
    <w:rsid w:val="003B09AE"/>
    <w:rsid w:val="003B10D2"/>
    <w:rsid w:val="003B1B18"/>
    <w:rsid w:val="003B33DB"/>
    <w:rsid w:val="003C1B2A"/>
    <w:rsid w:val="003C2221"/>
    <w:rsid w:val="003C3989"/>
    <w:rsid w:val="003C5E68"/>
    <w:rsid w:val="003D5506"/>
    <w:rsid w:val="003D5AD5"/>
    <w:rsid w:val="003E4FE4"/>
    <w:rsid w:val="003E5FC4"/>
    <w:rsid w:val="003F3D88"/>
    <w:rsid w:val="003F5C67"/>
    <w:rsid w:val="003F6370"/>
    <w:rsid w:val="003F6A0D"/>
    <w:rsid w:val="003F6E75"/>
    <w:rsid w:val="003F6FBB"/>
    <w:rsid w:val="00400095"/>
    <w:rsid w:val="00400670"/>
    <w:rsid w:val="00400857"/>
    <w:rsid w:val="00401C78"/>
    <w:rsid w:val="00403376"/>
    <w:rsid w:val="00404DD3"/>
    <w:rsid w:val="00406DF2"/>
    <w:rsid w:val="00412375"/>
    <w:rsid w:val="00415858"/>
    <w:rsid w:val="00415D12"/>
    <w:rsid w:val="00421FAA"/>
    <w:rsid w:val="00422C3E"/>
    <w:rsid w:val="00423DCD"/>
    <w:rsid w:val="00425C2C"/>
    <w:rsid w:val="00432D31"/>
    <w:rsid w:val="0043771B"/>
    <w:rsid w:val="0044232C"/>
    <w:rsid w:val="00446A1F"/>
    <w:rsid w:val="004528AF"/>
    <w:rsid w:val="0045700F"/>
    <w:rsid w:val="0046034E"/>
    <w:rsid w:val="00461CAF"/>
    <w:rsid w:val="00462A6D"/>
    <w:rsid w:val="00464602"/>
    <w:rsid w:val="00466115"/>
    <w:rsid w:val="004663E5"/>
    <w:rsid w:val="00467900"/>
    <w:rsid w:val="00472D8E"/>
    <w:rsid w:val="00472FFE"/>
    <w:rsid w:val="0047592B"/>
    <w:rsid w:val="004773D6"/>
    <w:rsid w:val="00480BDC"/>
    <w:rsid w:val="00481E8C"/>
    <w:rsid w:val="004910E2"/>
    <w:rsid w:val="0049493D"/>
    <w:rsid w:val="004950F2"/>
    <w:rsid w:val="00495B97"/>
    <w:rsid w:val="004A3384"/>
    <w:rsid w:val="004A410F"/>
    <w:rsid w:val="004A7F5C"/>
    <w:rsid w:val="004B6F51"/>
    <w:rsid w:val="004B77D9"/>
    <w:rsid w:val="004B7DB7"/>
    <w:rsid w:val="004C0261"/>
    <w:rsid w:val="004C210E"/>
    <w:rsid w:val="004C3F96"/>
    <w:rsid w:val="004D3ACB"/>
    <w:rsid w:val="004E075D"/>
    <w:rsid w:val="004E10FA"/>
    <w:rsid w:val="004E2EA5"/>
    <w:rsid w:val="004E35F2"/>
    <w:rsid w:val="004E417E"/>
    <w:rsid w:val="004E6F25"/>
    <w:rsid w:val="004F1C18"/>
    <w:rsid w:val="004F6F8B"/>
    <w:rsid w:val="004F7288"/>
    <w:rsid w:val="004F73CE"/>
    <w:rsid w:val="004F75B3"/>
    <w:rsid w:val="00500CC6"/>
    <w:rsid w:val="00504CFA"/>
    <w:rsid w:val="005069D1"/>
    <w:rsid w:val="00517832"/>
    <w:rsid w:val="005251BF"/>
    <w:rsid w:val="00525754"/>
    <w:rsid w:val="0052611D"/>
    <w:rsid w:val="005307F6"/>
    <w:rsid w:val="00531B31"/>
    <w:rsid w:val="005358CC"/>
    <w:rsid w:val="00536552"/>
    <w:rsid w:val="005377E8"/>
    <w:rsid w:val="00542D9E"/>
    <w:rsid w:val="00543198"/>
    <w:rsid w:val="00545EE8"/>
    <w:rsid w:val="00546920"/>
    <w:rsid w:val="005469A4"/>
    <w:rsid w:val="00547151"/>
    <w:rsid w:val="005507A1"/>
    <w:rsid w:val="005509CB"/>
    <w:rsid w:val="005547E7"/>
    <w:rsid w:val="005549FF"/>
    <w:rsid w:val="00555C54"/>
    <w:rsid w:val="00556468"/>
    <w:rsid w:val="005646D6"/>
    <w:rsid w:val="005651BE"/>
    <w:rsid w:val="005732A1"/>
    <w:rsid w:val="00573971"/>
    <w:rsid w:val="00574EAE"/>
    <w:rsid w:val="00576878"/>
    <w:rsid w:val="005808BA"/>
    <w:rsid w:val="00587F7C"/>
    <w:rsid w:val="00590B4C"/>
    <w:rsid w:val="00592324"/>
    <w:rsid w:val="00594341"/>
    <w:rsid w:val="00594824"/>
    <w:rsid w:val="005A2243"/>
    <w:rsid w:val="005A3223"/>
    <w:rsid w:val="005A651F"/>
    <w:rsid w:val="005A7591"/>
    <w:rsid w:val="005B18DA"/>
    <w:rsid w:val="005B4462"/>
    <w:rsid w:val="005B5C97"/>
    <w:rsid w:val="005C1200"/>
    <w:rsid w:val="005C1FFB"/>
    <w:rsid w:val="005C2BA3"/>
    <w:rsid w:val="005D2771"/>
    <w:rsid w:val="005D2E3F"/>
    <w:rsid w:val="005D5816"/>
    <w:rsid w:val="005D6D2D"/>
    <w:rsid w:val="005E49BA"/>
    <w:rsid w:val="005E5BB5"/>
    <w:rsid w:val="005F0F1D"/>
    <w:rsid w:val="005F10E0"/>
    <w:rsid w:val="005F5487"/>
    <w:rsid w:val="005F553B"/>
    <w:rsid w:val="005F5BB6"/>
    <w:rsid w:val="00602600"/>
    <w:rsid w:val="00603401"/>
    <w:rsid w:val="0060671A"/>
    <w:rsid w:val="006142D1"/>
    <w:rsid w:val="00614C4B"/>
    <w:rsid w:val="00616D11"/>
    <w:rsid w:val="00617BE9"/>
    <w:rsid w:val="00620091"/>
    <w:rsid w:val="00620693"/>
    <w:rsid w:val="00627F83"/>
    <w:rsid w:val="00631D4E"/>
    <w:rsid w:val="00632698"/>
    <w:rsid w:val="006326F2"/>
    <w:rsid w:val="0063692B"/>
    <w:rsid w:val="00637950"/>
    <w:rsid w:val="00643AEE"/>
    <w:rsid w:val="00644027"/>
    <w:rsid w:val="006442EC"/>
    <w:rsid w:val="00644ACA"/>
    <w:rsid w:val="00655A9D"/>
    <w:rsid w:val="00657BEE"/>
    <w:rsid w:val="00670B04"/>
    <w:rsid w:val="00674555"/>
    <w:rsid w:val="00680B0C"/>
    <w:rsid w:val="00683AFB"/>
    <w:rsid w:val="0068490B"/>
    <w:rsid w:val="0069283A"/>
    <w:rsid w:val="00693276"/>
    <w:rsid w:val="006A2903"/>
    <w:rsid w:val="006A410B"/>
    <w:rsid w:val="006A42F0"/>
    <w:rsid w:val="006B06D9"/>
    <w:rsid w:val="006B1AEC"/>
    <w:rsid w:val="006C3B63"/>
    <w:rsid w:val="006D0979"/>
    <w:rsid w:val="006D27E6"/>
    <w:rsid w:val="006D2DC6"/>
    <w:rsid w:val="006D2E42"/>
    <w:rsid w:val="006D3E53"/>
    <w:rsid w:val="006E34BB"/>
    <w:rsid w:val="006E619E"/>
    <w:rsid w:val="006E6E58"/>
    <w:rsid w:val="006F13DF"/>
    <w:rsid w:val="006F1BE6"/>
    <w:rsid w:val="006F49DB"/>
    <w:rsid w:val="006F6A43"/>
    <w:rsid w:val="00700077"/>
    <w:rsid w:val="0070592F"/>
    <w:rsid w:val="0071102C"/>
    <w:rsid w:val="0071285F"/>
    <w:rsid w:val="00713AC6"/>
    <w:rsid w:val="007206B8"/>
    <w:rsid w:val="0072489A"/>
    <w:rsid w:val="00725012"/>
    <w:rsid w:val="007343AE"/>
    <w:rsid w:val="007359CC"/>
    <w:rsid w:val="00736280"/>
    <w:rsid w:val="00741045"/>
    <w:rsid w:val="00744673"/>
    <w:rsid w:val="00744C5F"/>
    <w:rsid w:val="00746EEE"/>
    <w:rsid w:val="00746F12"/>
    <w:rsid w:val="00750F3C"/>
    <w:rsid w:val="00750FFA"/>
    <w:rsid w:val="00753A80"/>
    <w:rsid w:val="00754C2F"/>
    <w:rsid w:val="00754C6A"/>
    <w:rsid w:val="00755B47"/>
    <w:rsid w:val="0076332E"/>
    <w:rsid w:val="007660A5"/>
    <w:rsid w:val="0076781E"/>
    <w:rsid w:val="00767BF9"/>
    <w:rsid w:val="007716B7"/>
    <w:rsid w:val="00773056"/>
    <w:rsid w:val="00776DFB"/>
    <w:rsid w:val="007838EE"/>
    <w:rsid w:val="00786429"/>
    <w:rsid w:val="0079019A"/>
    <w:rsid w:val="007901E4"/>
    <w:rsid w:val="00792CAD"/>
    <w:rsid w:val="00792FBA"/>
    <w:rsid w:val="007953A8"/>
    <w:rsid w:val="00796EDC"/>
    <w:rsid w:val="007A4627"/>
    <w:rsid w:val="007B1D22"/>
    <w:rsid w:val="007B32D5"/>
    <w:rsid w:val="007C03C1"/>
    <w:rsid w:val="007C13A4"/>
    <w:rsid w:val="007C41D6"/>
    <w:rsid w:val="007C5165"/>
    <w:rsid w:val="007D080E"/>
    <w:rsid w:val="007D1469"/>
    <w:rsid w:val="007D1E4C"/>
    <w:rsid w:val="007D33B0"/>
    <w:rsid w:val="007D3457"/>
    <w:rsid w:val="007D674D"/>
    <w:rsid w:val="007E3B1E"/>
    <w:rsid w:val="007E3E88"/>
    <w:rsid w:val="007F22AF"/>
    <w:rsid w:val="007F22C2"/>
    <w:rsid w:val="007F3EC0"/>
    <w:rsid w:val="007F5EF9"/>
    <w:rsid w:val="00804453"/>
    <w:rsid w:val="0081371B"/>
    <w:rsid w:val="00813D28"/>
    <w:rsid w:val="0081445F"/>
    <w:rsid w:val="008217EB"/>
    <w:rsid w:val="0083005C"/>
    <w:rsid w:val="00836939"/>
    <w:rsid w:val="00841A45"/>
    <w:rsid w:val="00841E73"/>
    <w:rsid w:val="00843331"/>
    <w:rsid w:val="00844979"/>
    <w:rsid w:val="00852840"/>
    <w:rsid w:val="00856789"/>
    <w:rsid w:val="008579B3"/>
    <w:rsid w:val="0086742F"/>
    <w:rsid w:val="00873541"/>
    <w:rsid w:val="00874FC2"/>
    <w:rsid w:val="00875311"/>
    <w:rsid w:val="008867FB"/>
    <w:rsid w:val="0088726E"/>
    <w:rsid w:val="00890EA1"/>
    <w:rsid w:val="0089258F"/>
    <w:rsid w:val="008A2E43"/>
    <w:rsid w:val="008A3077"/>
    <w:rsid w:val="008A656E"/>
    <w:rsid w:val="008B1404"/>
    <w:rsid w:val="008B5E54"/>
    <w:rsid w:val="008B6609"/>
    <w:rsid w:val="008B7BBD"/>
    <w:rsid w:val="008C02B3"/>
    <w:rsid w:val="008C06FA"/>
    <w:rsid w:val="008C3F8A"/>
    <w:rsid w:val="008C6D3D"/>
    <w:rsid w:val="008D5EB8"/>
    <w:rsid w:val="008E0855"/>
    <w:rsid w:val="008E516D"/>
    <w:rsid w:val="008E6F27"/>
    <w:rsid w:val="008E753B"/>
    <w:rsid w:val="008F3CD3"/>
    <w:rsid w:val="008F3D87"/>
    <w:rsid w:val="00903164"/>
    <w:rsid w:val="009049C2"/>
    <w:rsid w:val="0091571D"/>
    <w:rsid w:val="00916BAE"/>
    <w:rsid w:val="00920154"/>
    <w:rsid w:val="00922DF9"/>
    <w:rsid w:val="0093198C"/>
    <w:rsid w:val="009432FE"/>
    <w:rsid w:val="00945FE2"/>
    <w:rsid w:val="00946B25"/>
    <w:rsid w:val="00947D0F"/>
    <w:rsid w:val="00950551"/>
    <w:rsid w:val="009518C2"/>
    <w:rsid w:val="00953547"/>
    <w:rsid w:val="00955419"/>
    <w:rsid w:val="00955AA1"/>
    <w:rsid w:val="00956CEB"/>
    <w:rsid w:val="009624B5"/>
    <w:rsid w:val="00964517"/>
    <w:rsid w:val="00967544"/>
    <w:rsid w:val="00974069"/>
    <w:rsid w:val="00981F78"/>
    <w:rsid w:val="00987A7B"/>
    <w:rsid w:val="00992C7F"/>
    <w:rsid w:val="00994555"/>
    <w:rsid w:val="0099604B"/>
    <w:rsid w:val="00996737"/>
    <w:rsid w:val="00996E65"/>
    <w:rsid w:val="009A0177"/>
    <w:rsid w:val="009A23D1"/>
    <w:rsid w:val="009A3462"/>
    <w:rsid w:val="009A3D1F"/>
    <w:rsid w:val="009A4A7E"/>
    <w:rsid w:val="009A6CA7"/>
    <w:rsid w:val="009B7D05"/>
    <w:rsid w:val="009D159B"/>
    <w:rsid w:val="009D6A80"/>
    <w:rsid w:val="009D6F9C"/>
    <w:rsid w:val="009E02B8"/>
    <w:rsid w:val="009E1C38"/>
    <w:rsid w:val="009E4921"/>
    <w:rsid w:val="009E5DC6"/>
    <w:rsid w:val="009F122E"/>
    <w:rsid w:val="009F1E8B"/>
    <w:rsid w:val="009F7144"/>
    <w:rsid w:val="00A001D6"/>
    <w:rsid w:val="00A05254"/>
    <w:rsid w:val="00A0575F"/>
    <w:rsid w:val="00A066F1"/>
    <w:rsid w:val="00A06C9F"/>
    <w:rsid w:val="00A070A6"/>
    <w:rsid w:val="00A1075E"/>
    <w:rsid w:val="00A10B64"/>
    <w:rsid w:val="00A122B3"/>
    <w:rsid w:val="00A218A5"/>
    <w:rsid w:val="00A30455"/>
    <w:rsid w:val="00A317E8"/>
    <w:rsid w:val="00A32700"/>
    <w:rsid w:val="00A32AAE"/>
    <w:rsid w:val="00A33498"/>
    <w:rsid w:val="00A40ABF"/>
    <w:rsid w:val="00A42B29"/>
    <w:rsid w:val="00A4388A"/>
    <w:rsid w:val="00A44897"/>
    <w:rsid w:val="00A5133D"/>
    <w:rsid w:val="00A51B66"/>
    <w:rsid w:val="00A5655F"/>
    <w:rsid w:val="00A573F1"/>
    <w:rsid w:val="00A625E5"/>
    <w:rsid w:val="00A632B3"/>
    <w:rsid w:val="00A64886"/>
    <w:rsid w:val="00A66877"/>
    <w:rsid w:val="00A66BE0"/>
    <w:rsid w:val="00A679ED"/>
    <w:rsid w:val="00A7517D"/>
    <w:rsid w:val="00A7528A"/>
    <w:rsid w:val="00A755C1"/>
    <w:rsid w:val="00A83756"/>
    <w:rsid w:val="00A86A55"/>
    <w:rsid w:val="00A91406"/>
    <w:rsid w:val="00A93D94"/>
    <w:rsid w:val="00AA3044"/>
    <w:rsid w:val="00AB1D9F"/>
    <w:rsid w:val="00AB417D"/>
    <w:rsid w:val="00AB4723"/>
    <w:rsid w:val="00AB5411"/>
    <w:rsid w:val="00AB5DEF"/>
    <w:rsid w:val="00AB6723"/>
    <w:rsid w:val="00AB7C31"/>
    <w:rsid w:val="00AC0BE6"/>
    <w:rsid w:val="00AD406A"/>
    <w:rsid w:val="00AD41CC"/>
    <w:rsid w:val="00AE13FC"/>
    <w:rsid w:val="00AE1453"/>
    <w:rsid w:val="00AE44E9"/>
    <w:rsid w:val="00AE4919"/>
    <w:rsid w:val="00AE53EC"/>
    <w:rsid w:val="00AF03F9"/>
    <w:rsid w:val="00AF285A"/>
    <w:rsid w:val="00AF50B0"/>
    <w:rsid w:val="00B01F68"/>
    <w:rsid w:val="00B04AD5"/>
    <w:rsid w:val="00B056AF"/>
    <w:rsid w:val="00B135A9"/>
    <w:rsid w:val="00B22FE5"/>
    <w:rsid w:val="00B24BAA"/>
    <w:rsid w:val="00B27958"/>
    <w:rsid w:val="00B27CF3"/>
    <w:rsid w:val="00B31492"/>
    <w:rsid w:val="00B33673"/>
    <w:rsid w:val="00B3670E"/>
    <w:rsid w:val="00B36810"/>
    <w:rsid w:val="00B40FE0"/>
    <w:rsid w:val="00B41971"/>
    <w:rsid w:val="00B47F18"/>
    <w:rsid w:val="00B5070B"/>
    <w:rsid w:val="00B51463"/>
    <w:rsid w:val="00B51FAE"/>
    <w:rsid w:val="00B5276B"/>
    <w:rsid w:val="00B53F8D"/>
    <w:rsid w:val="00B5730E"/>
    <w:rsid w:val="00B6238E"/>
    <w:rsid w:val="00B65A09"/>
    <w:rsid w:val="00B716DD"/>
    <w:rsid w:val="00B8031C"/>
    <w:rsid w:val="00B8644A"/>
    <w:rsid w:val="00B90608"/>
    <w:rsid w:val="00B93B2F"/>
    <w:rsid w:val="00B96A86"/>
    <w:rsid w:val="00BA3765"/>
    <w:rsid w:val="00BA462E"/>
    <w:rsid w:val="00BA5149"/>
    <w:rsid w:val="00BA5EDF"/>
    <w:rsid w:val="00BA5FD8"/>
    <w:rsid w:val="00BA7202"/>
    <w:rsid w:val="00BB0C6F"/>
    <w:rsid w:val="00BB302A"/>
    <w:rsid w:val="00BB5833"/>
    <w:rsid w:val="00BC0190"/>
    <w:rsid w:val="00BC07E2"/>
    <w:rsid w:val="00BC144D"/>
    <w:rsid w:val="00BC286D"/>
    <w:rsid w:val="00BD1266"/>
    <w:rsid w:val="00BD2A1E"/>
    <w:rsid w:val="00BD2A4D"/>
    <w:rsid w:val="00BD39FD"/>
    <w:rsid w:val="00BD3FCE"/>
    <w:rsid w:val="00BD4F0B"/>
    <w:rsid w:val="00BD5F85"/>
    <w:rsid w:val="00BD6AC7"/>
    <w:rsid w:val="00BD7230"/>
    <w:rsid w:val="00BE193D"/>
    <w:rsid w:val="00BE2065"/>
    <w:rsid w:val="00BE2C6E"/>
    <w:rsid w:val="00BE39EF"/>
    <w:rsid w:val="00BE4886"/>
    <w:rsid w:val="00BF4C4F"/>
    <w:rsid w:val="00C03C21"/>
    <w:rsid w:val="00C04B11"/>
    <w:rsid w:val="00C06C9C"/>
    <w:rsid w:val="00C112F3"/>
    <w:rsid w:val="00C12413"/>
    <w:rsid w:val="00C15B85"/>
    <w:rsid w:val="00C324B6"/>
    <w:rsid w:val="00C32BAC"/>
    <w:rsid w:val="00C34235"/>
    <w:rsid w:val="00C3532B"/>
    <w:rsid w:val="00C412A7"/>
    <w:rsid w:val="00C46307"/>
    <w:rsid w:val="00C63598"/>
    <w:rsid w:val="00C662EB"/>
    <w:rsid w:val="00C70C2A"/>
    <w:rsid w:val="00C71534"/>
    <w:rsid w:val="00C773B0"/>
    <w:rsid w:val="00C82FFB"/>
    <w:rsid w:val="00C835B8"/>
    <w:rsid w:val="00CA4A5D"/>
    <w:rsid w:val="00CA5B5A"/>
    <w:rsid w:val="00CA6AD2"/>
    <w:rsid w:val="00CA748F"/>
    <w:rsid w:val="00CB0869"/>
    <w:rsid w:val="00CB0AB8"/>
    <w:rsid w:val="00CB18A5"/>
    <w:rsid w:val="00CC0C0A"/>
    <w:rsid w:val="00CC2896"/>
    <w:rsid w:val="00CC543F"/>
    <w:rsid w:val="00CC5572"/>
    <w:rsid w:val="00CC6C9B"/>
    <w:rsid w:val="00CD5443"/>
    <w:rsid w:val="00CE471C"/>
    <w:rsid w:val="00CE5A71"/>
    <w:rsid w:val="00CE79A7"/>
    <w:rsid w:val="00CE7CD8"/>
    <w:rsid w:val="00CF034A"/>
    <w:rsid w:val="00CF083D"/>
    <w:rsid w:val="00D01CF3"/>
    <w:rsid w:val="00D037B8"/>
    <w:rsid w:val="00D073C5"/>
    <w:rsid w:val="00D076F5"/>
    <w:rsid w:val="00D11472"/>
    <w:rsid w:val="00D16FAC"/>
    <w:rsid w:val="00D20AE3"/>
    <w:rsid w:val="00D25EF3"/>
    <w:rsid w:val="00D267E9"/>
    <w:rsid w:val="00D26DEE"/>
    <w:rsid w:val="00D277B2"/>
    <w:rsid w:val="00D27E8D"/>
    <w:rsid w:val="00D32494"/>
    <w:rsid w:val="00D357D8"/>
    <w:rsid w:val="00D362CA"/>
    <w:rsid w:val="00D37743"/>
    <w:rsid w:val="00D37B22"/>
    <w:rsid w:val="00D41ED7"/>
    <w:rsid w:val="00D43DA3"/>
    <w:rsid w:val="00D4672B"/>
    <w:rsid w:val="00D50A48"/>
    <w:rsid w:val="00D524AB"/>
    <w:rsid w:val="00D551E6"/>
    <w:rsid w:val="00D56100"/>
    <w:rsid w:val="00D6172F"/>
    <w:rsid w:val="00D70C03"/>
    <w:rsid w:val="00D73941"/>
    <w:rsid w:val="00D805D0"/>
    <w:rsid w:val="00D868D4"/>
    <w:rsid w:val="00D91627"/>
    <w:rsid w:val="00D941B4"/>
    <w:rsid w:val="00D94B30"/>
    <w:rsid w:val="00D968D5"/>
    <w:rsid w:val="00DA7070"/>
    <w:rsid w:val="00DC1245"/>
    <w:rsid w:val="00DC24C9"/>
    <w:rsid w:val="00DC4F2A"/>
    <w:rsid w:val="00DC55AD"/>
    <w:rsid w:val="00DC5895"/>
    <w:rsid w:val="00DD173C"/>
    <w:rsid w:val="00DF0627"/>
    <w:rsid w:val="00DF06E8"/>
    <w:rsid w:val="00DF1A28"/>
    <w:rsid w:val="00DF1D23"/>
    <w:rsid w:val="00DF4169"/>
    <w:rsid w:val="00DF6497"/>
    <w:rsid w:val="00DF665D"/>
    <w:rsid w:val="00E00E44"/>
    <w:rsid w:val="00E01C81"/>
    <w:rsid w:val="00E01EE7"/>
    <w:rsid w:val="00E04551"/>
    <w:rsid w:val="00E1124F"/>
    <w:rsid w:val="00E14152"/>
    <w:rsid w:val="00E141A7"/>
    <w:rsid w:val="00E14469"/>
    <w:rsid w:val="00E14A75"/>
    <w:rsid w:val="00E20DBE"/>
    <w:rsid w:val="00E2214C"/>
    <w:rsid w:val="00E267DD"/>
    <w:rsid w:val="00E30C4B"/>
    <w:rsid w:val="00E31779"/>
    <w:rsid w:val="00E32EB5"/>
    <w:rsid w:val="00E47594"/>
    <w:rsid w:val="00E635CA"/>
    <w:rsid w:val="00E63AD8"/>
    <w:rsid w:val="00E73125"/>
    <w:rsid w:val="00E735A9"/>
    <w:rsid w:val="00E81FCB"/>
    <w:rsid w:val="00E84C3E"/>
    <w:rsid w:val="00E857FD"/>
    <w:rsid w:val="00E92865"/>
    <w:rsid w:val="00E94001"/>
    <w:rsid w:val="00E940C2"/>
    <w:rsid w:val="00EA2C06"/>
    <w:rsid w:val="00EA5F79"/>
    <w:rsid w:val="00EA6827"/>
    <w:rsid w:val="00EB142A"/>
    <w:rsid w:val="00EB436F"/>
    <w:rsid w:val="00EC4534"/>
    <w:rsid w:val="00EC4BFA"/>
    <w:rsid w:val="00EC529E"/>
    <w:rsid w:val="00EC6210"/>
    <w:rsid w:val="00ED2D9F"/>
    <w:rsid w:val="00ED4D76"/>
    <w:rsid w:val="00ED69AB"/>
    <w:rsid w:val="00ED7BA2"/>
    <w:rsid w:val="00EE0A65"/>
    <w:rsid w:val="00EE6ED0"/>
    <w:rsid w:val="00EE7C30"/>
    <w:rsid w:val="00EF4E45"/>
    <w:rsid w:val="00EF5DAA"/>
    <w:rsid w:val="00F05885"/>
    <w:rsid w:val="00F06BDA"/>
    <w:rsid w:val="00F0721B"/>
    <w:rsid w:val="00F12B2F"/>
    <w:rsid w:val="00F151E6"/>
    <w:rsid w:val="00F16BF1"/>
    <w:rsid w:val="00F2498B"/>
    <w:rsid w:val="00F306F2"/>
    <w:rsid w:val="00F340E8"/>
    <w:rsid w:val="00F46B31"/>
    <w:rsid w:val="00F46F00"/>
    <w:rsid w:val="00F506E5"/>
    <w:rsid w:val="00F53DA1"/>
    <w:rsid w:val="00F565BF"/>
    <w:rsid w:val="00F56CEC"/>
    <w:rsid w:val="00F57B77"/>
    <w:rsid w:val="00F63835"/>
    <w:rsid w:val="00F66CD6"/>
    <w:rsid w:val="00F7034D"/>
    <w:rsid w:val="00F76021"/>
    <w:rsid w:val="00F8340D"/>
    <w:rsid w:val="00F85C54"/>
    <w:rsid w:val="00F87F82"/>
    <w:rsid w:val="00F904EF"/>
    <w:rsid w:val="00F9207E"/>
    <w:rsid w:val="00F96C7B"/>
    <w:rsid w:val="00FA3516"/>
    <w:rsid w:val="00FA5A9F"/>
    <w:rsid w:val="00FA7C18"/>
    <w:rsid w:val="00FB4230"/>
    <w:rsid w:val="00FB6F13"/>
    <w:rsid w:val="00FC2EA8"/>
    <w:rsid w:val="00FC3AE6"/>
    <w:rsid w:val="00FC50FF"/>
    <w:rsid w:val="00FC636D"/>
    <w:rsid w:val="00FC6BC8"/>
    <w:rsid w:val="00FD1B39"/>
    <w:rsid w:val="00FD5EAB"/>
    <w:rsid w:val="00FF21EA"/>
    <w:rsid w:val="00FF4C51"/>
    <w:rsid w:val="02F43E1B"/>
    <w:rsid w:val="08772F38"/>
    <w:rsid w:val="0ECB6F11"/>
    <w:rsid w:val="0FC42A8F"/>
    <w:rsid w:val="10B631B9"/>
    <w:rsid w:val="124501D9"/>
    <w:rsid w:val="126B4AE9"/>
    <w:rsid w:val="1B3D7E0D"/>
    <w:rsid w:val="1C9921E5"/>
    <w:rsid w:val="1D196F61"/>
    <w:rsid w:val="1E5958C0"/>
    <w:rsid w:val="208B7938"/>
    <w:rsid w:val="337D3AF0"/>
    <w:rsid w:val="3A666D19"/>
    <w:rsid w:val="41094022"/>
    <w:rsid w:val="4B654BB2"/>
    <w:rsid w:val="534F71CA"/>
    <w:rsid w:val="5ADE3007"/>
    <w:rsid w:val="5C1713D7"/>
    <w:rsid w:val="5F2E5739"/>
    <w:rsid w:val="660B4DCF"/>
    <w:rsid w:val="688D3409"/>
    <w:rsid w:val="7E6515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uiPriority="99" w:name="footnote text"/>
    <w:lsdException w:qFormat="1" w:uiPriority="0" w:name="annotation text"/>
    <w:lsdException w:qFormat="1" w:uiPriority="0" w:semiHidden="0" w:name="header"/>
    <w:lsdException w:qFormat="1" w:uiPriority="99" w:semiHidden="0" w:name="footer"/>
    <w:lsdException w:uiPriority="99" w:name="index heading"/>
    <w:lsdException w:qFormat="1" w:uiPriority="35" w:name="caption"/>
    <w:lsdException w:qFormat="1" w:unhideWhenUsed="0" w:uiPriority="0" w:name="table of figures"/>
    <w:lsdException w:uiPriority="99" w:name="envelope address"/>
    <w:lsdException w:qFormat="1" w:uiPriority="99" w:semiHidden="0" w:name="envelope return"/>
    <w:lsdException w:uiPriority="99"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qFormat="1" w:unhideWhenUsed="0" w:uiPriority="0" w:semiHidden="0"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5">
    <w:name w:val="heading 1"/>
    <w:basedOn w:val="1"/>
    <w:next w:val="1"/>
    <w:link w:val="56"/>
    <w:qFormat/>
    <w:uiPriority w:val="0"/>
    <w:pPr>
      <w:keepNext/>
      <w:jc w:val="center"/>
      <w:outlineLvl w:val="0"/>
    </w:pPr>
    <w:rPr>
      <w:rFonts w:ascii="楷体_GB2312" w:eastAsia="楷体_GB2312"/>
      <w:sz w:val="28"/>
      <w:szCs w:val="28"/>
    </w:rPr>
  </w:style>
  <w:style w:type="paragraph" w:styleId="6">
    <w:name w:val="heading 2"/>
    <w:basedOn w:val="1"/>
    <w:next w:val="1"/>
    <w:link w:val="57"/>
    <w:qFormat/>
    <w:uiPriority w:val="0"/>
    <w:pPr>
      <w:keepNext/>
      <w:keepLines/>
      <w:spacing w:before="260" w:after="260" w:line="416" w:lineRule="auto"/>
      <w:jc w:val="center"/>
      <w:outlineLvl w:val="1"/>
    </w:pPr>
    <w:rPr>
      <w:rFonts w:ascii="Arial" w:hAnsi="Arial" w:eastAsia="幼圆" w:cs="Arial"/>
      <w:b/>
      <w:bCs/>
      <w:sz w:val="44"/>
      <w:szCs w:val="44"/>
    </w:rPr>
  </w:style>
  <w:style w:type="paragraph" w:styleId="7">
    <w:name w:val="heading 3"/>
    <w:basedOn w:val="1"/>
    <w:next w:val="8"/>
    <w:link w:val="58"/>
    <w:qFormat/>
    <w:uiPriority w:val="0"/>
    <w:pPr>
      <w:keepNext/>
      <w:keepLines/>
      <w:spacing w:before="260" w:after="260" w:line="416" w:lineRule="auto"/>
      <w:outlineLvl w:val="2"/>
    </w:pPr>
    <w:rPr>
      <w:b/>
      <w:bCs/>
      <w:sz w:val="32"/>
      <w:szCs w:val="32"/>
    </w:rPr>
  </w:style>
  <w:style w:type="paragraph" w:styleId="9">
    <w:name w:val="heading 4"/>
    <w:basedOn w:val="1"/>
    <w:next w:val="1"/>
    <w:link w:val="59"/>
    <w:qFormat/>
    <w:uiPriority w:val="0"/>
    <w:pPr>
      <w:keepNext/>
      <w:keepLines/>
      <w:spacing w:before="280" w:after="290" w:line="376" w:lineRule="auto"/>
      <w:outlineLvl w:val="3"/>
    </w:pPr>
    <w:rPr>
      <w:rFonts w:ascii="Arial" w:hAnsi="Arial" w:eastAsia="黑体" w:cs="Arial"/>
      <w:b/>
      <w:bCs/>
      <w:sz w:val="28"/>
      <w:szCs w:val="28"/>
    </w:rPr>
  </w:style>
  <w:style w:type="paragraph" w:styleId="10">
    <w:name w:val="heading 5"/>
    <w:basedOn w:val="1"/>
    <w:next w:val="8"/>
    <w:link w:val="60"/>
    <w:qFormat/>
    <w:uiPriority w:val="0"/>
    <w:pPr>
      <w:keepNext/>
      <w:autoSpaceDE w:val="0"/>
      <w:autoSpaceDN w:val="0"/>
      <w:adjustRightInd w:val="0"/>
      <w:outlineLvl w:val="4"/>
    </w:pPr>
    <w:rPr>
      <w:rFonts w:ascii="宋体"/>
      <w:color w:val="000000"/>
      <w:kern w:val="0"/>
      <w:sz w:val="28"/>
      <w:szCs w:val="28"/>
    </w:rPr>
  </w:style>
  <w:style w:type="paragraph" w:styleId="11">
    <w:name w:val="heading 6"/>
    <w:basedOn w:val="1"/>
    <w:next w:val="1"/>
    <w:link w:val="61"/>
    <w:qFormat/>
    <w:uiPriority w:val="0"/>
    <w:pPr>
      <w:keepNext/>
      <w:keepLines/>
      <w:spacing w:before="240" w:after="64" w:line="320" w:lineRule="auto"/>
      <w:outlineLvl w:val="5"/>
    </w:pPr>
    <w:rPr>
      <w:rFonts w:ascii="Arial" w:hAnsi="Arial" w:eastAsia="黑体"/>
      <w:b/>
      <w:bCs/>
      <w:sz w:val="24"/>
      <w:szCs w:val="24"/>
    </w:rPr>
  </w:style>
  <w:style w:type="paragraph" w:styleId="12">
    <w:name w:val="heading 7"/>
    <w:basedOn w:val="1"/>
    <w:next w:val="1"/>
    <w:link w:val="62"/>
    <w:qFormat/>
    <w:uiPriority w:val="0"/>
    <w:pPr>
      <w:keepNext/>
      <w:keepLines/>
      <w:spacing w:before="240" w:after="64" w:line="320" w:lineRule="auto"/>
      <w:outlineLvl w:val="6"/>
    </w:pPr>
    <w:rPr>
      <w:b/>
      <w:bCs/>
      <w:sz w:val="24"/>
      <w:szCs w:val="24"/>
    </w:rPr>
  </w:style>
  <w:style w:type="paragraph" w:styleId="13">
    <w:name w:val="heading 8"/>
    <w:basedOn w:val="1"/>
    <w:next w:val="1"/>
    <w:link w:val="63"/>
    <w:qFormat/>
    <w:uiPriority w:val="0"/>
    <w:pPr>
      <w:keepNext/>
      <w:keepLines/>
      <w:spacing w:before="240" w:after="64" w:line="320" w:lineRule="auto"/>
      <w:outlineLvl w:val="7"/>
    </w:pPr>
    <w:rPr>
      <w:rFonts w:ascii="Arial" w:hAnsi="Arial" w:eastAsia="黑体"/>
      <w:sz w:val="24"/>
      <w:szCs w:val="24"/>
    </w:rPr>
  </w:style>
  <w:style w:type="paragraph" w:styleId="14">
    <w:name w:val="heading 9"/>
    <w:basedOn w:val="1"/>
    <w:next w:val="1"/>
    <w:link w:val="64"/>
    <w:qFormat/>
    <w:uiPriority w:val="0"/>
    <w:pPr>
      <w:keepNext/>
      <w:keepLines/>
      <w:spacing w:before="240" w:after="64" w:line="320" w:lineRule="auto"/>
      <w:outlineLvl w:val="8"/>
    </w:pPr>
    <w:rPr>
      <w:rFonts w:ascii="Arial" w:hAnsi="Arial" w:eastAsia="黑体"/>
    </w:rPr>
  </w:style>
  <w:style w:type="character" w:default="1" w:styleId="48">
    <w:name w:val="Default Paragraph Font"/>
    <w:semiHidden/>
    <w:unhideWhenUsed/>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99"/>
    <w:qFormat/>
    <w:uiPriority w:val="0"/>
    <w:pPr>
      <w:spacing w:line="360" w:lineRule="auto"/>
      <w:ind w:firstLine="420" w:firstLineChars="200"/>
    </w:pPr>
    <w:rPr>
      <w:rFonts w:ascii="宋体" w:hAnsi="宋体" w:eastAsia="宋体"/>
      <w:sz w:val="21"/>
      <w:szCs w:val="20"/>
    </w:rPr>
  </w:style>
  <w:style w:type="paragraph" w:styleId="3">
    <w:name w:val="Body Text Indent"/>
    <w:basedOn w:val="1"/>
    <w:next w:val="4"/>
    <w:link w:val="96"/>
    <w:qFormat/>
    <w:uiPriority w:val="0"/>
    <w:pPr>
      <w:ind w:firstLine="645"/>
    </w:pPr>
    <w:rPr>
      <w:rFonts w:ascii="楷体_GB2312" w:eastAsia="楷体_GB2312"/>
      <w:sz w:val="32"/>
      <w:szCs w:val="32"/>
    </w:rPr>
  </w:style>
  <w:style w:type="paragraph" w:styleId="4">
    <w:name w:val="envelope return"/>
    <w:basedOn w:val="1"/>
    <w:unhideWhenUsed/>
    <w:qFormat/>
    <w:uiPriority w:val="99"/>
    <w:pPr>
      <w:snapToGrid w:val="0"/>
    </w:pPr>
    <w:rPr>
      <w:rFonts w:ascii="Arial" w:hAnsi="Arial"/>
    </w:rPr>
  </w:style>
  <w:style w:type="paragraph" w:styleId="8">
    <w:name w:val="Normal Indent"/>
    <w:basedOn w:val="1"/>
    <w:link w:val="75"/>
    <w:qFormat/>
    <w:uiPriority w:val="0"/>
    <w:pPr>
      <w:ind w:firstLine="420"/>
    </w:pPr>
    <w:rPr>
      <w:rFonts w:asciiTheme="minorHAnsi" w:hAnsiTheme="minorHAnsi" w:eastAsiaTheme="minorEastAsia" w:cstheme="minorBidi"/>
    </w:rPr>
  </w:style>
  <w:style w:type="paragraph" w:styleId="15">
    <w:name w:val="List 3"/>
    <w:basedOn w:val="1"/>
    <w:qFormat/>
    <w:uiPriority w:val="0"/>
    <w:pPr>
      <w:ind w:left="100" w:leftChars="400" w:hanging="200" w:hangingChars="200"/>
    </w:pPr>
  </w:style>
  <w:style w:type="paragraph" w:styleId="16">
    <w:name w:val="toc 7"/>
    <w:basedOn w:val="1"/>
    <w:next w:val="1"/>
    <w:semiHidden/>
    <w:qFormat/>
    <w:uiPriority w:val="0"/>
    <w:pPr>
      <w:ind w:left="1260"/>
      <w:jc w:val="left"/>
    </w:pPr>
  </w:style>
  <w:style w:type="paragraph" w:styleId="17">
    <w:name w:val="Document Map"/>
    <w:basedOn w:val="1"/>
    <w:link w:val="66"/>
    <w:semiHidden/>
    <w:qFormat/>
    <w:uiPriority w:val="0"/>
    <w:pPr>
      <w:shd w:val="clear" w:color="auto" w:fill="000080"/>
    </w:pPr>
    <w:rPr>
      <w:rFonts w:asciiTheme="minorHAnsi" w:hAnsiTheme="minorHAnsi" w:cstheme="minorBidi"/>
    </w:rPr>
  </w:style>
  <w:style w:type="paragraph" w:styleId="18">
    <w:name w:val="annotation text"/>
    <w:basedOn w:val="1"/>
    <w:link w:val="84"/>
    <w:semiHidden/>
    <w:unhideWhenUsed/>
    <w:qFormat/>
    <w:uiPriority w:val="0"/>
    <w:pPr>
      <w:jc w:val="left"/>
    </w:pPr>
  </w:style>
  <w:style w:type="paragraph" w:styleId="19">
    <w:name w:val="Body Text 3"/>
    <w:basedOn w:val="1"/>
    <w:link w:val="100"/>
    <w:qFormat/>
    <w:uiPriority w:val="0"/>
    <w:rPr>
      <w:rFonts w:ascii="仿宋_GB2312" w:hAnsi="Arial" w:eastAsia="仿宋_GB2312"/>
      <w:sz w:val="32"/>
      <w:szCs w:val="32"/>
    </w:rPr>
  </w:style>
  <w:style w:type="paragraph" w:styleId="20">
    <w:name w:val="Body Text"/>
    <w:basedOn w:val="1"/>
    <w:link w:val="81"/>
    <w:unhideWhenUsed/>
    <w:qFormat/>
    <w:uiPriority w:val="0"/>
    <w:pPr>
      <w:spacing w:after="120"/>
    </w:pPr>
  </w:style>
  <w:style w:type="paragraph" w:styleId="21">
    <w:name w:val="List 2"/>
    <w:basedOn w:val="1"/>
    <w:qFormat/>
    <w:uiPriority w:val="0"/>
    <w:pPr>
      <w:ind w:left="100" w:leftChars="200" w:hanging="200" w:hangingChars="200"/>
    </w:pPr>
  </w:style>
  <w:style w:type="paragraph" w:styleId="22">
    <w:name w:val="toc 5"/>
    <w:basedOn w:val="1"/>
    <w:next w:val="1"/>
    <w:semiHidden/>
    <w:qFormat/>
    <w:uiPriority w:val="0"/>
    <w:pPr>
      <w:ind w:left="840"/>
      <w:jc w:val="left"/>
    </w:pPr>
  </w:style>
  <w:style w:type="paragraph" w:styleId="23">
    <w:name w:val="toc 3"/>
    <w:basedOn w:val="1"/>
    <w:next w:val="1"/>
    <w:semiHidden/>
    <w:qFormat/>
    <w:uiPriority w:val="0"/>
    <w:pPr>
      <w:ind w:left="420"/>
      <w:jc w:val="left"/>
    </w:pPr>
    <w:rPr>
      <w:i/>
      <w:iCs/>
      <w:szCs w:val="24"/>
    </w:rPr>
  </w:style>
  <w:style w:type="paragraph" w:styleId="24">
    <w:name w:val="Plain Text"/>
    <w:basedOn w:val="1"/>
    <w:link w:val="69"/>
    <w:qFormat/>
    <w:uiPriority w:val="0"/>
    <w:rPr>
      <w:rFonts w:ascii="宋体" w:hAnsi="Courier New" w:cs="Courier New" w:eastAsiaTheme="minorEastAsia"/>
    </w:rPr>
  </w:style>
  <w:style w:type="paragraph" w:styleId="25">
    <w:name w:val="toc 8"/>
    <w:basedOn w:val="1"/>
    <w:next w:val="1"/>
    <w:semiHidden/>
    <w:qFormat/>
    <w:uiPriority w:val="0"/>
    <w:pPr>
      <w:ind w:left="1470"/>
      <w:jc w:val="left"/>
    </w:pPr>
  </w:style>
  <w:style w:type="paragraph" w:styleId="26">
    <w:name w:val="Date"/>
    <w:basedOn w:val="1"/>
    <w:next w:val="1"/>
    <w:link w:val="117"/>
    <w:qFormat/>
    <w:uiPriority w:val="0"/>
    <w:rPr>
      <w:sz w:val="24"/>
      <w:szCs w:val="24"/>
    </w:rPr>
  </w:style>
  <w:style w:type="paragraph" w:styleId="27">
    <w:name w:val="Body Text Indent 2"/>
    <w:basedOn w:val="1"/>
    <w:link w:val="80"/>
    <w:qFormat/>
    <w:uiPriority w:val="0"/>
    <w:pPr>
      <w:ind w:left="630" w:firstLine="645"/>
    </w:pPr>
    <w:rPr>
      <w:rFonts w:ascii="Arial" w:hAnsi="Arial" w:eastAsia="仿宋_GB2312" w:cs="Arial"/>
      <w:sz w:val="32"/>
      <w:szCs w:val="32"/>
    </w:rPr>
  </w:style>
  <w:style w:type="paragraph" w:styleId="28">
    <w:name w:val="Balloon Text"/>
    <w:basedOn w:val="1"/>
    <w:link w:val="95"/>
    <w:semiHidden/>
    <w:qFormat/>
    <w:uiPriority w:val="0"/>
    <w:rPr>
      <w:sz w:val="18"/>
      <w:szCs w:val="18"/>
    </w:rPr>
  </w:style>
  <w:style w:type="paragraph" w:styleId="29">
    <w:name w:val="footer"/>
    <w:basedOn w:val="1"/>
    <w:link w:val="55"/>
    <w:unhideWhenUsed/>
    <w:qFormat/>
    <w:uiPriority w:val="99"/>
    <w:pPr>
      <w:tabs>
        <w:tab w:val="center" w:pos="4153"/>
        <w:tab w:val="right" w:pos="8306"/>
      </w:tabs>
      <w:snapToGrid w:val="0"/>
      <w:jc w:val="left"/>
    </w:pPr>
    <w:rPr>
      <w:sz w:val="18"/>
      <w:szCs w:val="18"/>
    </w:rPr>
  </w:style>
  <w:style w:type="paragraph" w:styleId="30">
    <w:name w:val="header"/>
    <w:basedOn w:val="1"/>
    <w:link w:val="54"/>
    <w:unhideWhenUsed/>
    <w:qFormat/>
    <w:uiPriority w:val="0"/>
    <w:pPr>
      <w:pBdr>
        <w:bottom w:val="single" w:color="auto" w:sz="6" w:space="1"/>
      </w:pBdr>
      <w:tabs>
        <w:tab w:val="center" w:pos="4153"/>
        <w:tab w:val="right" w:pos="8306"/>
      </w:tabs>
      <w:snapToGrid w:val="0"/>
      <w:jc w:val="center"/>
    </w:pPr>
    <w:rPr>
      <w:sz w:val="18"/>
      <w:szCs w:val="18"/>
    </w:rPr>
  </w:style>
  <w:style w:type="paragraph" w:styleId="31">
    <w:name w:val="toc 1"/>
    <w:basedOn w:val="1"/>
    <w:next w:val="1"/>
    <w:semiHidden/>
    <w:qFormat/>
    <w:uiPriority w:val="0"/>
    <w:pPr>
      <w:tabs>
        <w:tab w:val="right" w:leader="dot" w:pos="8720"/>
      </w:tabs>
      <w:spacing w:before="120" w:after="120" w:line="400" w:lineRule="exact"/>
      <w:jc w:val="left"/>
    </w:pPr>
    <w:rPr>
      <w:rFonts w:ascii="宋体" w:hAnsi="宋体"/>
      <w:caps/>
      <w:sz w:val="24"/>
      <w:szCs w:val="24"/>
    </w:rPr>
  </w:style>
  <w:style w:type="paragraph" w:styleId="32">
    <w:name w:val="toc 4"/>
    <w:basedOn w:val="1"/>
    <w:next w:val="1"/>
    <w:semiHidden/>
    <w:qFormat/>
    <w:uiPriority w:val="0"/>
    <w:pPr>
      <w:ind w:left="630"/>
      <w:jc w:val="left"/>
    </w:pPr>
  </w:style>
  <w:style w:type="paragraph" w:styleId="33">
    <w:name w:val="List"/>
    <w:basedOn w:val="1"/>
    <w:qFormat/>
    <w:uiPriority w:val="0"/>
    <w:pPr>
      <w:ind w:left="200" w:hanging="200" w:hangingChars="200"/>
    </w:pPr>
  </w:style>
  <w:style w:type="paragraph" w:styleId="34">
    <w:name w:val="toc 6"/>
    <w:basedOn w:val="1"/>
    <w:next w:val="1"/>
    <w:semiHidden/>
    <w:qFormat/>
    <w:uiPriority w:val="0"/>
    <w:pPr>
      <w:ind w:left="1050"/>
      <w:jc w:val="left"/>
    </w:pPr>
  </w:style>
  <w:style w:type="paragraph" w:styleId="35">
    <w:name w:val="Body Text Indent 3"/>
    <w:basedOn w:val="1"/>
    <w:link w:val="112"/>
    <w:qFormat/>
    <w:uiPriority w:val="0"/>
    <w:pPr>
      <w:ind w:left="645" w:firstLine="645"/>
    </w:pPr>
    <w:rPr>
      <w:rFonts w:ascii="Arial" w:hAnsi="Arial" w:eastAsia="仿宋_GB2312" w:cs="Arial"/>
      <w:color w:val="FFFF00"/>
      <w:sz w:val="32"/>
      <w:szCs w:val="32"/>
    </w:rPr>
  </w:style>
  <w:style w:type="paragraph" w:styleId="36">
    <w:name w:val="table of figures"/>
    <w:basedOn w:val="1"/>
    <w:next w:val="1"/>
    <w:semiHidden/>
    <w:qFormat/>
    <w:uiPriority w:val="0"/>
    <w:pPr>
      <w:ind w:left="840" w:hanging="420"/>
    </w:pPr>
  </w:style>
  <w:style w:type="paragraph" w:styleId="37">
    <w:name w:val="toc 2"/>
    <w:basedOn w:val="1"/>
    <w:next w:val="1"/>
    <w:semiHidden/>
    <w:qFormat/>
    <w:uiPriority w:val="0"/>
    <w:pPr>
      <w:ind w:left="210"/>
      <w:jc w:val="left"/>
    </w:pPr>
    <w:rPr>
      <w:smallCaps/>
      <w:szCs w:val="24"/>
    </w:rPr>
  </w:style>
  <w:style w:type="paragraph" w:styleId="38">
    <w:name w:val="toc 9"/>
    <w:basedOn w:val="1"/>
    <w:next w:val="1"/>
    <w:semiHidden/>
    <w:qFormat/>
    <w:uiPriority w:val="0"/>
    <w:pPr>
      <w:ind w:left="1680"/>
      <w:jc w:val="left"/>
    </w:pPr>
  </w:style>
  <w:style w:type="paragraph" w:styleId="39">
    <w:name w:val="Body Text 2"/>
    <w:basedOn w:val="1"/>
    <w:link w:val="87"/>
    <w:qFormat/>
    <w:uiPriority w:val="0"/>
    <w:pPr>
      <w:widowControl/>
      <w:jc w:val="center"/>
    </w:pPr>
    <w:rPr>
      <w:rFonts w:ascii="楷体_GB2312" w:eastAsia="楷体_GB2312"/>
      <w:sz w:val="28"/>
      <w:szCs w:val="28"/>
    </w:rPr>
  </w:style>
  <w:style w:type="paragraph" w:styleId="40">
    <w:name w:val="Message Header"/>
    <w:basedOn w:val="1"/>
    <w:link w:val="78"/>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41">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42">
    <w:name w:val="index 1"/>
    <w:basedOn w:val="1"/>
    <w:next w:val="1"/>
    <w:semiHidden/>
    <w:qFormat/>
    <w:uiPriority w:val="0"/>
    <w:pPr>
      <w:spacing w:line="240" w:lineRule="atLeast"/>
    </w:pPr>
    <w:rPr>
      <w:b/>
      <w:bCs/>
    </w:rPr>
  </w:style>
  <w:style w:type="paragraph" w:styleId="43">
    <w:name w:val="Title"/>
    <w:basedOn w:val="1"/>
    <w:link w:val="126"/>
    <w:qFormat/>
    <w:uiPriority w:val="1"/>
    <w:pPr>
      <w:autoSpaceDE w:val="0"/>
      <w:autoSpaceDN w:val="0"/>
      <w:spacing w:before="38"/>
      <w:ind w:left="2652" w:right="880" w:hanging="1889"/>
      <w:jc w:val="left"/>
    </w:pPr>
    <w:rPr>
      <w:rFonts w:ascii="宋体" w:hAnsi="宋体" w:cs="宋体"/>
      <w:kern w:val="0"/>
      <w:sz w:val="36"/>
      <w:szCs w:val="36"/>
    </w:rPr>
  </w:style>
  <w:style w:type="paragraph" w:styleId="44">
    <w:name w:val="annotation subject"/>
    <w:basedOn w:val="18"/>
    <w:next w:val="18"/>
    <w:link w:val="85"/>
    <w:semiHidden/>
    <w:qFormat/>
    <w:uiPriority w:val="0"/>
    <w:rPr>
      <w:b/>
      <w:bCs/>
    </w:rPr>
  </w:style>
  <w:style w:type="paragraph" w:styleId="45">
    <w:name w:val="Body Text First Indent"/>
    <w:basedOn w:val="1"/>
    <w:link w:val="82"/>
    <w:qFormat/>
    <w:uiPriority w:val="0"/>
    <w:pPr>
      <w:spacing w:line="360" w:lineRule="auto"/>
      <w:ind w:firstLine="200" w:firstLineChars="200"/>
    </w:pPr>
    <w:rPr>
      <w:rFonts w:ascii="仿宋_GB2312" w:eastAsia="仿宋_GB2312"/>
      <w:sz w:val="30"/>
      <w:szCs w:val="30"/>
    </w:rPr>
  </w:style>
  <w:style w:type="table" w:styleId="47">
    <w:name w:val="Table Grid"/>
    <w:basedOn w:val="4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9">
    <w:name w:val="Strong"/>
    <w:qFormat/>
    <w:uiPriority w:val="0"/>
    <w:rPr>
      <w:b/>
      <w:bCs/>
    </w:rPr>
  </w:style>
  <w:style w:type="character" w:styleId="50">
    <w:name w:val="page number"/>
    <w:basedOn w:val="48"/>
    <w:qFormat/>
    <w:uiPriority w:val="0"/>
  </w:style>
  <w:style w:type="character" w:styleId="51">
    <w:name w:val="FollowedHyperlink"/>
    <w:qFormat/>
    <w:uiPriority w:val="0"/>
    <w:rPr>
      <w:color w:val="800080"/>
      <w:u w:val="single"/>
    </w:rPr>
  </w:style>
  <w:style w:type="character" w:styleId="52">
    <w:name w:val="Hyperlink"/>
    <w:qFormat/>
    <w:uiPriority w:val="0"/>
    <w:rPr>
      <w:color w:val="0000FF"/>
      <w:u w:val="single"/>
    </w:rPr>
  </w:style>
  <w:style w:type="character" w:styleId="53">
    <w:name w:val="annotation reference"/>
    <w:semiHidden/>
    <w:qFormat/>
    <w:uiPriority w:val="0"/>
    <w:rPr>
      <w:sz w:val="21"/>
      <w:szCs w:val="21"/>
    </w:rPr>
  </w:style>
  <w:style w:type="character" w:customStyle="1" w:styleId="54">
    <w:name w:val="页眉 Char"/>
    <w:basedOn w:val="48"/>
    <w:link w:val="30"/>
    <w:qFormat/>
    <w:uiPriority w:val="99"/>
    <w:rPr>
      <w:sz w:val="18"/>
      <w:szCs w:val="18"/>
    </w:rPr>
  </w:style>
  <w:style w:type="character" w:customStyle="1" w:styleId="55">
    <w:name w:val="页脚 Char"/>
    <w:basedOn w:val="48"/>
    <w:link w:val="29"/>
    <w:qFormat/>
    <w:uiPriority w:val="99"/>
    <w:rPr>
      <w:sz w:val="18"/>
      <w:szCs w:val="18"/>
    </w:rPr>
  </w:style>
  <w:style w:type="character" w:customStyle="1" w:styleId="56">
    <w:name w:val="标题 1 Char"/>
    <w:basedOn w:val="48"/>
    <w:link w:val="5"/>
    <w:qFormat/>
    <w:uiPriority w:val="0"/>
    <w:rPr>
      <w:rFonts w:ascii="楷体_GB2312" w:hAnsi="Times New Roman" w:eastAsia="楷体_GB2312" w:cs="Times New Roman"/>
      <w:sz w:val="28"/>
      <w:szCs w:val="28"/>
    </w:rPr>
  </w:style>
  <w:style w:type="character" w:customStyle="1" w:styleId="57">
    <w:name w:val="标题 2 Char"/>
    <w:basedOn w:val="48"/>
    <w:link w:val="6"/>
    <w:qFormat/>
    <w:uiPriority w:val="0"/>
    <w:rPr>
      <w:rFonts w:ascii="Arial" w:hAnsi="Arial" w:eastAsia="幼圆" w:cs="Arial"/>
      <w:b/>
      <w:bCs/>
      <w:sz w:val="44"/>
      <w:szCs w:val="44"/>
    </w:rPr>
  </w:style>
  <w:style w:type="character" w:customStyle="1" w:styleId="58">
    <w:name w:val="标题 3 Char"/>
    <w:basedOn w:val="48"/>
    <w:link w:val="7"/>
    <w:qFormat/>
    <w:uiPriority w:val="0"/>
    <w:rPr>
      <w:rFonts w:ascii="Times New Roman" w:hAnsi="Times New Roman" w:eastAsia="宋体" w:cs="Times New Roman"/>
      <w:b/>
      <w:bCs/>
      <w:sz w:val="32"/>
      <w:szCs w:val="32"/>
    </w:rPr>
  </w:style>
  <w:style w:type="character" w:customStyle="1" w:styleId="59">
    <w:name w:val="标题 4 Char"/>
    <w:basedOn w:val="48"/>
    <w:link w:val="9"/>
    <w:qFormat/>
    <w:uiPriority w:val="0"/>
    <w:rPr>
      <w:rFonts w:ascii="Arial" w:hAnsi="Arial" w:eastAsia="黑体" w:cs="Arial"/>
      <w:b/>
      <w:bCs/>
      <w:sz w:val="28"/>
      <w:szCs w:val="28"/>
    </w:rPr>
  </w:style>
  <w:style w:type="character" w:customStyle="1" w:styleId="60">
    <w:name w:val="标题 5 Char"/>
    <w:basedOn w:val="48"/>
    <w:link w:val="10"/>
    <w:qFormat/>
    <w:uiPriority w:val="0"/>
    <w:rPr>
      <w:rFonts w:ascii="宋体" w:hAnsi="Times New Roman" w:eastAsia="宋体" w:cs="Times New Roman"/>
      <w:color w:val="000000"/>
      <w:kern w:val="0"/>
      <w:sz w:val="28"/>
      <w:szCs w:val="28"/>
    </w:rPr>
  </w:style>
  <w:style w:type="character" w:customStyle="1" w:styleId="61">
    <w:name w:val="标题 6 Char"/>
    <w:basedOn w:val="48"/>
    <w:link w:val="11"/>
    <w:qFormat/>
    <w:uiPriority w:val="0"/>
    <w:rPr>
      <w:rFonts w:ascii="Arial" w:hAnsi="Arial" w:eastAsia="黑体" w:cs="Times New Roman"/>
      <w:b/>
      <w:bCs/>
      <w:sz w:val="24"/>
      <w:szCs w:val="24"/>
    </w:rPr>
  </w:style>
  <w:style w:type="character" w:customStyle="1" w:styleId="62">
    <w:name w:val="标题 7 Char"/>
    <w:basedOn w:val="48"/>
    <w:link w:val="12"/>
    <w:qFormat/>
    <w:uiPriority w:val="0"/>
    <w:rPr>
      <w:rFonts w:ascii="Times New Roman" w:hAnsi="Times New Roman" w:eastAsia="宋体" w:cs="Times New Roman"/>
      <w:b/>
      <w:bCs/>
      <w:sz w:val="24"/>
      <w:szCs w:val="24"/>
    </w:rPr>
  </w:style>
  <w:style w:type="character" w:customStyle="1" w:styleId="63">
    <w:name w:val="标题 8 Char"/>
    <w:basedOn w:val="48"/>
    <w:link w:val="13"/>
    <w:qFormat/>
    <w:uiPriority w:val="0"/>
    <w:rPr>
      <w:rFonts w:ascii="Arial" w:hAnsi="Arial" w:eastAsia="黑体" w:cs="Times New Roman"/>
      <w:sz w:val="24"/>
      <w:szCs w:val="24"/>
    </w:rPr>
  </w:style>
  <w:style w:type="character" w:customStyle="1" w:styleId="64">
    <w:name w:val="标题 9 Char"/>
    <w:basedOn w:val="48"/>
    <w:link w:val="14"/>
    <w:qFormat/>
    <w:uiPriority w:val="0"/>
    <w:rPr>
      <w:rFonts w:ascii="Arial" w:hAnsi="Arial" w:eastAsia="黑体" w:cs="Times New Roman"/>
      <w:szCs w:val="21"/>
    </w:rPr>
  </w:style>
  <w:style w:type="character" w:customStyle="1" w:styleId="65">
    <w:name w:val="纯文本 Char1"/>
    <w:qFormat/>
    <w:uiPriority w:val="0"/>
    <w:rPr>
      <w:rFonts w:ascii="宋体" w:hAnsi="Courier New" w:cs="Courier New"/>
      <w:szCs w:val="21"/>
    </w:rPr>
  </w:style>
  <w:style w:type="character" w:customStyle="1" w:styleId="66">
    <w:name w:val="文档结构图 Char"/>
    <w:link w:val="17"/>
    <w:semiHidden/>
    <w:qFormat/>
    <w:uiPriority w:val="0"/>
    <w:rPr>
      <w:rFonts w:eastAsia="宋体"/>
      <w:szCs w:val="21"/>
      <w:shd w:val="clear" w:color="auto" w:fill="000080"/>
    </w:rPr>
  </w:style>
  <w:style w:type="character" w:customStyle="1" w:styleId="67">
    <w:name w:val="二级目录 Char"/>
    <w:link w:val="68"/>
    <w:qFormat/>
    <w:uiPriority w:val="0"/>
    <w:rPr>
      <w:b/>
      <w:sz w:val="30"/>
      <w:szCs w:val="28"/>
    </w:rPr>
  </w:style>
  <w:style w:type="paragraph" w:customStyle="1" w:styleId="68">
    <w:name w:val="二级目录"/>
    <w:next w:val="1"/>
    <w:link w:val="67"/>
    <w:qFormat/>
    <w:uiPriority w:val="0"/>
    <w:pPr>
      <w:tabs>
        <w:tab w:val="left" w:pos="907"/>
        <w:tab w:val="left" w:pos="1145"/>
      </w:tabs>
      <w:ind w:left="907" w:hanging="907"/>
      <w:outlineLvl w:val="1"/>
    </w:pPr>
    <w:rPr>
      <w:rFonts w:asciiTheme="minorHAnsi" w:hAnsiTheme="minorHAnsi" w:eastAsiaTheme="minorEastAsia" w:cstheme="minorBidi"/>
      <w:b/>
      <w:kern w:val="2"/>
      <w:sz w:val="30"/>
      <w:szCs w:val="28"/>
      <w:lang w:val="en-US" w:eastAsia="zh-CN" w:bidi="ar-SA"/>
    </w:rPr>
  </w:style>
  <w:style w:type="character" w:customStyle="1" w:styleId="69">
    <w:name w:val="纯文本 Char"/>
    <w:link w:val="24"/>
    <w:qFormat/>
    <w:uiPriority w:val="0"/>
    <w:rPr>
      <w:rFonts w:ascii="宋体" w:hAnsi="Courier New" w:cs="Courier New"/>
      <w:szCs w:val="21"/>
    </w:rPr>
  </w:style>
  <w:style w:type="character" w:customStyle="1" w:styleId="70">
    <w:name w:val="Char Char Char Char Char"/>
    <w:link w:val="71"/>
    <w:qFormat/>
    <w:uiPriority w:val="0"/>
    <w:rPr>
      <w:rFonts w:ascii="Tahoma" w:hAnsi="Tahoma" w:eastAsia="宋体"/>
      <w:sz w:val="24"/>
      <w:szCs w:val="24"/>
      <w:shd w:val="clear" w:color="auto" w:fill="000080"/>
    </w:rPr>
  </w:style>
  <w:style w:type="paragraph" w:customStyle="1" w:styleId="71">
    <w:name w:val="Char Char Char Char1"/>
    <w:basedOn w:val="17"/>
    <w:link w:val="70"/>
    <w:qFormat/>
    <w:uiPriority w:val="0"/>
    <w:pPr>
      <w:adjustRightInd w:val="0"/>
      <w:snapToGrid w:val="0"/>
      <w:spacing w:line="360" w:lineRule="auto"/>
    </w:pPr>
    <w:rPr>
      <w:rFonts w:ascii="Tahoma" w:hAnsi="Tahoma"/>
      <w:sz w:val="24"/>
      <w:szCs w:val="24"/>
    </w:rPr>
  </w:style>
  <w:style w:type="character" w:customStyle="1" w:styleId="72">
    <w:name w:val="font5 Char"/>
    <w:qFormat/>
    <w:uiPriority w:val="0"/>
    <w:rPr>
      <w:rFonts w:ascii="宋体" w:hAnsi="宋体" w:eastAsia="宋体"/>
      <w:sz w:val="28"/>
      <w:szCs w:val="28"/>
      <w:lang w:val="en-US" w:eastAsia="zh-CN" w:bidi="ar-SA"/>
    </w:rPr>
  </w:style>
  <w:style w:type="character" w:customStyle="1" w:styleId="73">
    <w:name w:val="列出段落 Char"/>
    <w:link w:val="74"/>
    <w:qFormat/>
    <w:locked/>
    <w:uiPriority w:val="0"/>
    <w:rPr>
      <w:rFonts w:ascii="Calibri" w:hAnsi="Calibri"/>
      <w:sz w:val="24"/>
      <w:szCs w:val="24"/>
      <w:lang w:eastAsia="en-US" w:bidi="en-US"/>
    </w:rPr>
  </w:style>
  <w:style w:type="paragraph" w:customStyle="1" w:styleId="74">
    <w:name w:val="列出段落1"/>
    <w:basedOn w:val="1"/>
    <w:link w:val="73"/>
    <w:qFormat/>
    <w:uiPriority w:val="0"/>
    <w:pPr>
      <w:widowControl/>
      <w:ind w:left="720"/>
      <w:contextualSpacing/>
      <w:jc w:val="left"/>
    </w:pPr>
    <w:rPr>
      <w:rFonts w:ascii="Calibri" w:hAnsi="Calibri" w:eastAsiaTheme="minorEastAsia" w:cstheme="minorBidi"/>
      <w:sz w:val="24"/>
      <w:szCs w:val="24"/>
      <w:lang w:eastAsia="en-US" w:bidi="en-US"/>
    </w:rPr>
  </w:style>
  <w:style w:type="character" w:customStyle="1" w:styleId="75">
    <w:name w:val="正文缩进 Char"/>
    <w:link w:val="8"/>
    <w:qFormat/>
    <w:uiPriority w:val="0"/>
    <w:rPr>
      <w:szCs w:val="21"/>
    </w:rPr>
  </w:style>
  <w:style w:type="paragraph" w:customStyle="1" w:styleId="76">
    <w:name w:val="table_lines"/>
    <w:basedOn w:val="1"/>
    <w:qFormat/>
    <w:uiPriority w:val="0"/>
    <w:pPr>
      <w:widowControl/>
      <w:jc w:val="left"/>
    </w:pPr>
    <w:rPr>
      <w:kern w:val="0"/>
      <w:sz w:val="20"/>
      <w:szCs w:val="20"/>
      <w:lang w:val="de-DE" w:eastAsia="de-DE"/>
    </w:rPr>
  </w:style>
  <w:style w:type="paragraph" w:customStyle="1" w:styleId="77">
    <w:name w:val="font6"/>
    <w:basedOn w:val="1"/>
    <w:qFormat/>
    <w:uiPriority w:val="0"/>
    <w:pPr>
      <w:widowControl/>
      <w:spacing w:before="100" w:beforeAutospacing="1" w:after="100" w:afterAutospacing="1"/>
      <w:jc w:val="left"/>
    </w:pPr>
    <w:rPr>
      <w:rFonts w:hint="eastAsia" w:ascii="宋体" w:hAnsi="宋体"/>
      <w:kern w:val="0"/>
      <w:sz w:val="28"/>
      <w:szCs w:val="28"/>
      <w:u w:val="single"/>
    </w:rPr>
  </w:style>
  <w:style w:type="character" w:customStyle="1" w:styleId="78">
    <w:name w:val="信息标题 Char"/>
    <w:basedOn w:val="48"/>
    <w:link w:val="40"/>
    <w:qFormat/>
    <w:uiPriority w:val="0"/>
    <w:rPr>
      <w:rFonts w:ascii="Cambria" w:hAnsi="Cambria" w:eastAsia="宋体" w:cs="Times New Roman"/>
      <w:sz w:val="24"/>
      <w:szCs w:val="21"/>
      <w:shd w:val="pct20" w:color="auto" w:fill="auto"/>
    </w:rPr>
  </w:style>
  <w:style w:type="paragraph" w:customStyle="1" w:styleId="79">
    <w:name w:val="xl24"/>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kern w:val="0"/>
      <w:sz w:val="24"/>
      <w:szCs w:val="24"/>
    </w:rPr>
  </w:style>
  <w:style w:type="character" w:customStyle="1" w:styleId="80">
    <w:name w:val="正文文本缩进 2 Char"/>
    <w:basedOn w:val="48"/>
    <w:link w:val="27"/>
    <w:qFormat/>
    <w:uiPriority w:val="0"/>
    <w:rPr>
      <w:rFonts w:ascii="Arial" w:hAnsi="Arial" w:eastAsia="仿宋_GB2312" w:cs="Arial"/>
      <w:sz w:val="32"/>
      <w:szCs w:val="32"/>
    </w:rPr>
  </w:style>
  <w:style w:type="character" w:customStyle="1" w:styleId="81">
    <w:name w:val="正文文本 Char"/>
    <w:basedOn w:val="48"/>
    <w:link w:val="20"/>
    <w:semiHidden/>
    <w:qFormat/>
    <w:uiPriority w:val="99"/>
    <w:rPr>
      <w:rFonts w:ascii="Times New Roman" w:hAnsi="Times New Roman" w:eastAsia="宋体" w:cs="Times New Roman"/>
      <w:szCs w:val="21"/>
    </w:rPr>
  </w:style>
  <w:style w:type="character" w:customStyle="1" w:styleId="82">
    <w:name w:val="正文首行缩进 Char"/>
    <w:basedOn w:val="81"/>
    <w:link w:val="45"/>
    <w:qFormat/>
    <w:uiPriority w:val="0"/>
    <w:rPr>
      <w:rFonts w:ascii="仿宋_GB2312" w:hAnsi="Times New Roman" w:eastAsia="仿宋_GB2312" w:cs="Times New Roman"/>
      <w:sz w:val="30"/>
      <w:szCs w:val="30"/>
    </w:rPr>
  </w:style>
  <w:style w:type="paragraph" w:customStyle="1" w:styleId="83">
    <w:name w:val="xl2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84">
    <w:name w:val="批注文字 Char"/>
    <w:basedOn w:val="48"/>
    <w:link w:val="18"/>
    <w:semiHidden/>
    <w:qFormat/>
    <w:uiPriority w:val="99"/>
    <w:rPr>
      <w:rFonts w:ascii="Times New Roman" w:hAnsi="Times New Roman" w:eastAsia="宋体" w:cs="Times New Roman"/>
      <w:szCs w:val="21"/>
    </w:rPr>
  </w:style>
  <w:style w:type="character" w:customStyle="1" w:styleId="85">
    <w:name w:val="批注主题 Char"/>
    <w:basedOn w:val="84"/>
    <w:link w:val="44"/>
    <w:semiHidden/>
    <w:qFormat/>
    <w:uiPriority w:val="0"/>
    <w:rPr>
      <w:rFonts w:ascii="Times New Roman" w:hAnsi="Times New Roman" w:eastAsia="宋体" w:cs="Times New Roman"/>
      <w:b/>
      <w:bCs/>
      <w:szCs w:val="21"/>
    </w:rPr>
  </w:style>
  <w:style w:type="paragraph" w:customStyle="1" w:styleId="86">
    <w:name w:val="列表段落1"/>
    <w:basedOn w:val="1"/>
    <w:qFormat/>
    <w:uiPriority w:val="0"/>
    <w:pPr>
      <w:spacing w:beforeLines="25" w:afterLines="25" w:line="300" w:lineRule="auto"/>
      <w:ind w:firstLine="420"/>
    </w:pPr>
    <w:rPr>
      <w:rFonts w:cs="Calibri"/>
      <w:color w:val="000000"/>
    </w:rPr>
  </w:style>
  <w:style w:type="character" w:customStyle="1" w:styleId="87">
    <w:name w:val="正文文本 2 Char"/>
    <w:basedOn w:val="48"/>
    <w:link w:val="39"/>
    <w:qFormat/>
    <w:uiPriority w:val="0"/>
    <w:rPr>
      <w:rFonts w:ascii="楷体_GB2312" w:hAnsi="Times New Roman" w:eastAsia="楷体_GB2312" w:cs="Times New Roman"/>
      <w:sz w:val="28"/>
      <w:szCs w:val="28"/>
    </w:rPr>
  </w:style>
  <w:style w:type="paragraph" w:customStyle="1" w:styleId="88">
    <w:name w:val="4"/>
    <w:basedOn w:val="1"/>
    <w:next w:val="35"/>
    <w:qFormat/>
    <w:uiPriority w:val="0"/>
    <w:pPr>
      <w:spacing w:line="360" w:lineRule="auto"/>
      <w:ind w:firstLine="420"/>
    </w:pPr>
    <w:rPr>
      <w:color w:val="FF0000"/>
      <w:sz w:val="24"/>
      <w:szCs w:val="24"/>
    </w:rPr>
  </w:style>
  <w:style w:type="paragraph" w:customStyle="1" w:styleId="89">
    <w:name w:val="普通正文"/>
    <w:basedOn w:val="1"/>
    <w:qFormat/>
    <w:uiPriority w:val="0"/>
    <w:pPr>
      <w:adjustRightInd w:val="0"/>
      <w:spacing w:before="120" w:after="120" w:line="360" w:lineRule="auto"/>
      <w:ind w:firstLine="480"/>
      <w:jc w:val="left"/>
      <w:textAlignment w:val="baseline"/>
    </w:pPr>
    <w:rPr>
      <w:rFonts w:ascii="Arial" w:hAnsi="Arial"/>
      <w:kern w:val="0"/>
      <w:sz w:val="24"/>
      <w:szCs w:val="24"/>
    </w:rPr>
  </w:style>
  <w:style w:type="paragraph" w:customStyle="1" w:styleId="90">
    <w:name w:val="xl2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4"/>
      <w:szCs w:val="24"/>
    </w:rPr>
  </w:style>
  <w:style w:type="paragraph" w:customStyle="1" w:styleId="91">
    <w:name w:val="段"/>
    <w:next w:val="92"/>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92">
    <w:name w:val="正文 A"/>
    <w:next w:val="91"/>
    <w:qFormat/>
    <w:uiPriority w:val="0"/>
    <w:pPr>
      <w:widowControl w:val="0"/>
      <w:jc w:val="both"/>
    </w:pPr>
    <w:rPr>
      <w:rFonts w:ascii="Calibri" w:hAnsi="Calibri" w:eastAsia="Calibri" w:cs="Calibri"/>
      <w:color w:val="000000"/>
      <w:kern w:val="2"/>
      <w:sz w:val="21"/>
      <w:szCs w:val="21"/>
      <w:lang w:val="en-US" w:eastAsia="zh-CN" w:bidi="ar-SA"/>
    </w:rPr>
  </w:style>
  <w:style w:type="paragraph" w:customStyle="1" w:styleId="93">
    <w:name w:val="Char Char Char Char"/>
    <w:basedOn w:val="17"/>
    <w:qFormat/>
    <w:uiPriority w:val="0"/>
    <w:pPr>
      <w:adjustRightInd w:val="0"/>
      <w:snapToGrid w:val="0"/>
      <w:spacing w:line="360" w:lineRule="auto"/>
    </w:pPr>
    <w:rPr>
      <w:rFonts w:ascii="Tahoma" w:hAnsi="Tahoma"/>
      <w:sz w:val="24"/>
      <w:szCs w:val="24"/>
    </w:rPr>
  </w:style>
  <w:style w:type="paragraph" w:customStyle="1" w:styleId="94">
    <w:name w:val="样式1"/>
    <w:basedOn w:val="1"/>
    <w:qFormat/>
    <w:uiPriority w:val="0"/>
    <w:pPr>
      <w:tabs>
        <w:tab w:val="left" w:pos="709"/>
      </w:tabs>
      <w:adjustRightInd w:val="0"/>
      <w:ind w:left="709" w:hanging="709"/>
      <w:textAlignment w:val="baseline"/>
    </w:pPr>
    <w:rPr>
      <w:rFonts w:ascii="宋体" w:hAnsi="宋体"/>
      <w:kern w:val="0"/>
    </w:rPr>
  </w:style>
  <w:style w:type="character" w:customStyle="1" w:styleId="95">
    <w:name w:val="批注框文本 Char"/>
    <w:basedOn w:val="48"/>
    <w:link w:val="28"/>
    <w:semiHidden/>
    <w:qFormat/>
    <w:uiPriority w:val="0"/>
    <w:rPr>
      <w:rFonts w:ascii="Times New Roman" w:hAnsi="Times New Roman" w:eastAsia="宋体" w:cs="Times New Roman"/>
      <w:sz w:val="18"/>
      <w:szCs w:val="18"/>
    </w:rPr>
  </w:style>
  <w:style w:type="character" w:customStyle="1" w:styleId="96">
    <w:name w:val="正文文本缩进 Char"/>
    <w:basedOn w:val="48"/>
    <w:link w:val="3"/>
    <w:qFormat/>
    <w:uiPriority w:val="0"/>
    <w:rPr>
      <w:rFonts w:ascii="楷体_GB2312" w:hAnsi="Times New Roman" w:eastAsia="楷体_GB2312" w:cs="Times New Roman"/>
      <w:sz w:val="32"/>
      <w:szCs w:val="32"/>
    </w:rPr>
  </w:style>
  <w:style w:type="paragraph" w:customStyle="1" w:styleId="97">
    <w:name w:val="font5"/>
    <w:basedOn w:val="1"/>
    <w:qFormat/>
    <w:uiPriority w:val="0"/>
    <w:pPr>
      <w:widowControl/>
      <w:spacing w:before="100" w:beforeAutospacing="1" w:after="100" w:afterAutospacing="1"/>
      <w:jc w:val="left"/>
    </w:pPr>
    <w:rPr>
      <w:rFonts w:hint="eastAsia" w:ascii="宋体" w:hAnsi="宋体"/>
      <w:kern w:val="0"/>
      <w:sz w:val="28"/>
      <w:szCs w:val="28"/>
    </w:rPr>
  </w:style>
  <w:style w:type="paragraph" w:customStyle="1" w:styleId="98">
    <w:name w:val="xl30"/>
    <w:basedOn w:val="1"/>
    <w:qFormat/>
    <w:uiPriority w:val="0"/>
    <w:pPr>
      <w:widowControl/>
      <w:spacing w:before="100" w:beforeAutospacing="1" w:after="100" w:afterAutospacing="1"/>
      <w:jc w:val="center"/>
    </w:pPr>
    <w:rPr>
      <w:rFonts w:ascii="宋体" w:hAnsi="宋体"/>
      <w:b/>
      <w:bCs/>
      <w:kern w:val="0"/>
      <w:sz w:val="36"/>
      <w:szCs w:val="36"/>
    </w:rPr>
  </w:style>
  <w:style w:type="character" w:customStyle="1" w:styleId="99">
    <w:name w:val="正文首行缩进 2 Char"/>
    <w:basedOn w:val="96"/>
    <w:link w:val="2"/>
    <w:qFormat/>
    <w:uiPriority w:val="0"/>
    <w:rPr>
      <w:rFonts w:ascii="宋体" w:hAnsi="宋体" w:eastAsia="宋体" w:cs="Times New Roman"/>
      <w:sz w:val="32"/>
      <w:szCs w:val="20"/>
    </w:rPr>
  </w:style>
  <w:style w:type="character" w:customStyle="1" w:styleId="100">
    <w:name w:val="正文文本 3 Char"/>
    <w:basedOn w:val="48"/>
    <w:link w:val="19"/>
    <w:qFormat/>
    <w:uiPriority w:val="0"/>
    <w:rPr>
      <w:rFonts w:ascii="仿宋_GB2312" w:hAnsi="Arial" w:eastAsia="仿宋_GB2312" w:cs="Times New Roman"/>
      <w:sz w:val="32"/>
      <w:szCs w:val="32"/>
    </w:rPr>
  </w:style>
  <w:style w:type="paragraph" w:customStyle="1" w:styleId="101">
    <w:name w:val="xl29"/>
    <w:basedOn w:val="1"/>
    <w:qFormat/>
    <w:uiPriority w:val="0"/>
    <w:pPr>
      <w:widowControl/>
      <w:pBdr>
        <w:left w:val="single" w:color="auto" w:sz="4" w:space="0"/>
        <w:bottom w:val="single" w:color="auto" w:sz="4" w:space="0"/>
      </w:pBdr>
      <w:spacing w:before="100" w:beforeAutospacing="1" w:after="100" w:afterAutospacing="1"/>
      <w:jc w:val="left"/>
    </w:pPr>
    <w:rPr>
      <w:rFonts w:ascii="宋体" w:hAnsi="宋体"/>
      <w:kern w:val="0"/>
      <w:sz w:val="24"/>
      <w:szCs w:val="24"/>
    </w:rPr>
  </w:style>
  <w:style w:type="character" w:customStyle="1" w:styleId="102">
    <w:name w:val="文档结构图 Char1"/>
    <w:basedOn w:val="48"/>
    <w:semiHidden/>
    <w:qFormat/>
    <w:uiPriority w:val="99"/>
    <w:rPr>
      <w:rFonts w:ascii="宋体" w:hAnsi="Times New Roman" w:eastAsia="宋体" w:cs="Times New Roman"/>
      <w:sz w:val="18"/>
      <w:szCs w:val="18"/>
    </w:rPr>
  </w:style>
  <w:style w:type="paragraph" w:customStyle="1" w:styleId="103">
    <w:name w:val="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04">
    <w:name w:val="Char"/>
    <w:basedOn w:val="17"/>
    <w:qFormat/>
    <w:uiPriority w:val="0"/>
    <w:rPr>
      <w:rFonts w:ascii="Tahoma" w:hAnsi="Tahoma"/>
      <w:sz w:val="24"/>
      <w:szCs w:val="24"/>
    </w:rPr>
  </w:style>
  <w:style w:type="paragraph" w:customStyle="1" w:styleId="105">
    <w:name w:val="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06">
    <w:name w:val="font7"/>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107">
    <w:name w:val="Char1"/>
    <w:basedOn w:val="1"/>
    <w:qFormat/>
    <w:uiPriority w:val="0"/>
    <w:pPr>
      <w:tabs>
        <w:tab w:val="left" w:pos="360"/>
      </w:tabs>
      <w:ind w:firstLine="200" w:firstLineChars="200"/>
    </w:pPr>
    <w:rPr>
      <w:sz w:val="28"/>
      <w:szCs w:val="30"/>
    </w:rPr>
  </w:style>
  <w:style w:type="paragraph" w:customStyle="1" w:styleId="108">
    <w:name w:val="Body Text(ch)"/>
    <w:basedOn w:val="1"/>
    <w:next w:val="20"/>
    <w:qFormat/>
    <w:uiPriority w:val="0"/>
    <w:pPr>
      <w:spacing w:after="120"/>
    </w:pPr>
    <w:rPr>
      <w:rFonts w:ascii="宋体" w:hAnsi="Arial"/>
      <w:bCs/>
      <w:iCs/>
      <w:szCs w:val="24"/>
    </w:rPr>
  </w:style>
  <w:style w:type="paragraph" w:customStyle="1" w:styleId="109">
    <w:name w:val="table_1stline"/>
    <w:basedOn w:val="1"/>
    <w:qFormat/>
    <w:uiPriority w:val="0"/>
    <w:pPr>
      <w:widowControl/>
      <w:spacing w:before="120"/>
      <w:jc w:val="left"/>
    </w:pPr>
    <w:rPr>
      <w:bCs/>
      <w:kern w:val="0"/>
      <w:sz w:val="20"/>
      <w:szCs w:val="20"/>
      <w:lang w:val="de-DE" w:eastAsia="de-DE"/>
    </w:rPr>
  </w:style>
  <w:style w:type="character" w:customStyle="1" w:styleId="110">
    <w:name w:val="纯文本 Char2"/>
    <w:basedOn w:val="48"/>
    <w:semiHidden/>
    <w:qFormat/>
    <w:uiPriority w:val="99"/>
    <w:rPr>
      <w:rFonts w:ascii="宋体" w:hAnsi="Courier New" w:eastAsia="宋体" w:cs="Courier New"/>
      <w:szCs w:val="21"/>
    </w:rPr>
  </w:style>
  <w:style w:type="paragraph" w:customStyle="1" w:styleId="111">
    <w:name w:val="普通 (Web)"/>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112">
    <w:name w:val="正文文本缩进 3 Char"/>
    <w:basedOn w:val="48"/>
    <w:link w:val="35"/>
    <w:qFormat/>
    <w:uiPriority w:val="0"/>
    <w:rPr>
      <w:rFonts w:ascii="Arial" w:hAnsi="Arial" w:eastAsia="仿宋_GB2312" w:cs="Arial"/>
      <w:color w:val="FFFF00"/>
      <w:sz w:val="32"/>
      <w:szCs w:val="32"/>
    </w:rPr>
  </w:style>
  <w:style w:type="paragraph" w:customStyle="1" w:styleId="113">
    <w:name w:val="Char Char Char Char Char Char Char Char Char Char"/>
    <w:basedOn w:val="1"/>
    <w:qFormat/>
    <w:uiPriority w:val="0"/>
    <w:pPr>
      <w:adjustRightInd w:val="0"/>
      <w:spacing w:line="360" w:lineRule="auto"/>
    </w:pPr>
    <w:rPr>
      <w:kern w:val="0"/>
      <w:sz w:val="24"/>
      <w:szCs w:val="20"/>
    </w:rPr>
  </w:style>
  <w:style w:type="paragraph" w:customStyle="1" w:styleId="114">
    <w:name w:val="xl25"/>
    <w:basedOn w:val="1"/>
    <w:qFormat/>
    <w:uiPriority w:val="0"/>
    <w:pPr>
      <w:widowControl/>
      <w:spacing w:before="100" w:beforeAutospacing="1" w:after="100" w:afterAutospacing="1"/>
      <w:jc w:val="center"/>
      <w:textAlignment w:val="center"/>
    </w:pPr>
    <w:rPr>
      <w:rFonts w:ascii="Arial Unicode MS" w:hAnsi="Arial Unicode MS" w:eastAsia="Arial Unicode MS" w:cs="Arial Unicode MS"/>
      <w:kern w:val="0"/>
      <w:sz w:val="24"/>
      <w:szCs w:val="24"/>
    </w:rPr>
  </w:style>
  <w:style w:type="paragraph" w:customStyle="1" w:styleId="115">
    <w:name w:val="标题3"/>
    <w:basedOn w:val="1"/>
    <w:next w:val="1"/>
    <w:qFormat/>
    <w:uiPriority w:val="0"/>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116">
    <w:name w:val="xl2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szCs w:val="24"/>
    </w:rPr>
  </w:style>
  <w:style w:type="character" w:customStyle="1" w:styleId="117">
    <w:name w:val="日期 Char"/>
    <w:basedOn w:val="48"/>
    <w:link w:val="26"/>
    <w:qFormat/>
    <w:uiPriority w:val="0"/>
    <w:rPr>
      <w:rFonts w:ascii="Times New Roman" w:hAnsi="Times New Roman" w:eastAsia="宋体" w:cs="Times New Roman"/>
      <w:sz w:val="24"/>
      <w:szCs w:val="24"/>
    </w:rPr>
  </w:style>
  <w:style w:type="paragraph" w:customStyle="1" w:styleId="118">
    <w:name w:val="图标"/>
    <w:basedOn w:val="1"/>
    <w:next w:val="1"/>
    <w:qFormat/>
    <w:uiPriority w:val="0"/>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paragraph" w:customStyle="1" w:styleId="119">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120">
    <w:name w:val="附录1"/>
    <w:qFormat/>
    <w:uiPriority w:val="0"/>
    <w:pPr>
      <w:tabs>
        <w:tab w:val="left" w:pos="907"/>
      </w:tabs>
      <w:snapToGrid w:val="0"/>
      <w:spacing w:before="240" w:line="600" w:lineRule="atLeast"/>
      <w:ind w:left="907" w:hanging="907"/>
    </w:pPr>
    <w:rPr>
      <w:rFonts w:ascii="Times New Roman" w:hAnsi="Times New Roman" w:eastAsia="宋体" w:cs="Times New Roman"/>
      <w:b/>
      <w:i/>
      <w:sz w:val="28"/>
      <w:lang w:val="en-US" w:eastAsia="zh-CN" w:bidi="ar-SA"/>
    </w:rPr>
  </w:style>
  <w:style w:type="paragraph" w:customStyle="1" w:styleId="121">
    <w:name w:val="彩色列表 - 着色 1"/>
    <w:basedOn w:val="1"/>
    <w:qFormat/>
    <w:uiPriority w:val="34"/>
    <w:pPr>
      <w:widowControl/>
      <w:ind w:left="720"/>
      <w:contextualSpacing/>
      <w:jc w:val="left"/>
    </w:pPr>
    <w:rPr>
      <w:rFonts w:ascii="Calibri" w:hAnsi="Calibri"/>
      <w:kern w:val="0"/>
      <w:sz w:val="24"/>
      <w:szCs w:val="24"/>
      <w:lang w:eastAsia="en-US" w:bidi="en-US"/>
    </w:rPr>
  </w:style>
  <w:style w:type="paragraph" w:styleId="122">
    <w:name w:val="List Paragraph"/>
    <w:basedOn w:val="1"/>
    <w:qFormat/>
    <w:uiPriority w:val="34"/>
    <w:pPr>
      <w:ind w:firstLine="420" w:firstLineChars="200"/>
    </w:pPr>
  </w:style>
  <w:style w:type="character" w:customStyle="1" w:styleId="123">
    <w:name w:val="font01"/>
    <w:basedOn w:val="48"/>
    <w:qFormat/>
    <w:uiPriority w:val="0"/>
    <w:rPr>
      <w:rFonts w:hint="eastAsia" w:ascii="宋体" w:hAnsi="宋体" w:eastAsia="宋体" w:cs="宋体"/>
      <w:color w:val="FF0000"/>
      <w:sz w:val="22"/>
      <w:szCs w:val="22"/>
      <w:u w:val="none"/>
    </w:rPr>
  </w:style>
  <w:style w:type="character" w:customStyle="1" w:styleId="124">
    <w:name w:val="font51"/>
    <w:basedOn w:val="48"/>
    <w:qFormat/>
    <w:uiPriority w:val="0"/>
    <w:rPr>
      <w:rFonts w:hint="eastAsia" w:ascii="宋体" w:hAnsi="宋体" w:eastAsia="宋体" w:cs="宋体"/>
      <w:color w:val="000000"/>
      <w:sz w:val="22"/>
      <w:szCs w:val="22"/>
      <w:u w:val="none"/>
    </w:rPr>
  </w:style>
  <w:style w:type="character" w:customStyle="1" w:styleId="125">
    <w:name w:val="WW8Num31z2"/>
    <w:qFormat/>
    <w:uiPriority w:val="0"/>
  </w:style>
  <w:style w:type="character" w:customStyle="1" w:styleId="126">
    <w:name w:val="标题 Char"/>
    <w:basedOn w:val="48"/>
    <w:link w:val="43"/>
    <w:qFormat/>
    <w:uiPriority w:val="1"/>
    <w:rPr>
      <w:rFonts w:ascii="宋体" w:hAnsi="宋体" w:cs="宋体"/>
      <w:sz w:val="36"/>
      <w:szCs w:val="36"/>
    </w:rPr>
  </w:style>
  <w:style w:type="paragraph" w:customStyle="1" w:styleId="127">
    <w:name w:val="正文1"/>
    <w:qFormat/>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 w:type="paragraph" w:customStyle="1" w:styleId="12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table" w:customStyle="1" w:styleId="129">
    <w:name w:val="Table Normal"/>
    <w:semiHidden/>
    <w:qFormat/>
    <w:uiPriority w:val="2"/>
    <w:pPr>
      <w:widowControl w:val="0"/>
      <w:autoSpaceDE w:val="0"/>
      <w:autoSpaceDN w:val="0"/>
    </w:pPr>
    <w:rPr>
      <w:rFonts w:ascii="Calibri" w:hAnsi="Calibri" w:eastAsia="Times New Roman"/>
      <w:sz w:val="22"/>
      <w:szCs w:val="22"/>
      <w:lang w:eastAsia="en-US"/>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40</Pages>
  <Words>3119</Words>
  <Characters>17784</Characters>
  <Lines>148</Lines>
  <Paragraphs>41</Paragraphs>
  <TotalTime>553</TotalTime>
  <ScaleCrop>false</ScaleCrop>
  <LinksUpToDate>false</LinksUpToDate>
  <CharactersWithSpaces>20862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2021-03-01T09:00:00Z</dcterms:created>
  <dc:creator>周</dc:creator>
  <cp:lastModifiedBy>L&amp;W</cp:lastModifiedBy>
  <dcterms:modified xsi:type="dcterms:W3CDTF">2021-11-05T02:28:43Z</dcterms:modified>
  <dc:title>城天平监理</dc:title>
  <cp:revision>471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A687516BCF74487F87618F9A2368FAF7</vt:lpwstr>
  </property>
</Properties>
</file>