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8" w:beforeLines="100" w:after="318" w:afterLines="100" w:line="50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项目需求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2023年体育器材采购项目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需求</w:t>
      </w:r>
      <w:bookmarkEnd w:id="0"/>
    </w:p>
    <w:p>
      <w:pPr>
        <w:pStyle w:val="9"/>
        <w:spacing w:before="0" w:after="0" w:line="240" w:lineRule="auto"/>
        <w:ind w:firstLine="482" w:firstLineChars="200"/>
        <w:jc w:val="both"/>
        <w:rPr>
          <w:rFonts w:ascii="宋体" w:hAnsi="宋体" w:cs="宋体"/>
          <w:b/>
          <w:color w:val="000000"/>
          <w:kern w:val="2"/>
        </w:rPr>
      </w:pPr>
      <w:r>
        <w:rPr>
          <w:rFonts w:hint="eastAsia" w:ascii="宋体" w:hAnsi="宋体" w:cs="宋体"/>
          <w:b/>
          <w:color w:val="000000"/>
          <w:kern w:val="2"/>
        </w:rPr>
        <w:t>一、采购清单</w:t>
      </w:r>
    </w:p>
    <w:tbl>
      <w:tblPr>
        <w:tblStyle w:val="7"/>
        <w:tblpPr w:leftFromText="180" w:rightFromText="180" w:vertAnchor="page" w:horzAnchor="margin" w:tblpXSpec="center" w:tblpY="31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3675"/>
        <w:gridCol w:w="956"/>
        <w:gridCol w:w="956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数量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</w:t>
            </w:r>
          </w:p>
        </w:tc>
        <w:tc>
          <w:tcPr>
            <w:tcW w:w="137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电动伸缩看台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400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座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羽毛球地胶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羽毛球网架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副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乒乓球桌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电动液压篮球架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副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直插式网球柱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副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3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固定单臂篮球架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副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3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固定海燕式篮球架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副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3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室外排球柱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副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9"/>
        <w:spacing w:before="0" w:after="0" w:line="500" w:lineRule="exact"/>
        <w:ind w:left="0" w:leftChars="0" w:firstLine="482" w:firstLineChars="200"/>
        <w:jc w:val="both"/>
        <w:outlineLvl w:val="1"/>
        <w:rPr>
          <w:rFonts w:ascii="宋体" w:hAnsi="宋体" w:cs="宋体"/>
          <w:b/>
          <w:color w:val="000000"/>
          <w:kern w:val="2"/>
        </w:rPr>
      </w:pPr>
      <w:r>
        <w:rPr>
          <w:rFonts w:hint="eastAsia" w:ascii="宋体" w:hAnsi="宋体" w:cs="宋体"/>
          <w:b/>
          <w:color w:val="000000"/>
          <w:kern w:val="2"/>
        </w:rPr>
        <w:t>二、技术参数：</w:t>
      </w:r>
    </w:p>
    <w:tbl>
      <w:tblPr>
        <w:tblStyle w:val="7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"/>
        <w:gridCol w:w="658"/>
        <w:gridCol w:w="1088"/>
        <w:gridCol w:w="5575"/>
        <w:gridCol w:w="708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序号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名称</w:t>
            </w:r>
          </w:p>
        </w:tc>
        <w:tc>
          <w:tcPr>
            <w:tcW w:w="5575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主要技术需求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数量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trHeight w:val="3393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电动伸缩看台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575" w:type="dxa"/>
            <w:vAlign w:val="center"/>
          </w:tcPr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1、 看台层宽不小于（700±5mm），看台层高不小于（310±5mm）。</w:t>
            </w:r>
          </w:p>
          <w:p>
            <w:pPr>
              <w:pStyle w:val="3"/>
              <w:spacing w:before="0" w:after="0" w:line="300" w:lineRule="exact"/>
              <w:ind w:firstLine="210" w:firstLineChars="1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▲2、看台两侧安装固定护栏 看台收拢无需插拔，采用φ38和φ19钢性圆管，经拼装焊接而成。护栏性能要求：护栏垂直且相邻杆件最小有效间距≤110mm，护栏设计满足承受力如下：水平载荷承受每米1020N，侧向载荷承受每米600N， 端部侧向静载荷10次，每次保载10秒。竖向载荷≥1200 N/㎡，平行摇摆载荷≥750N/㎡，垂直摇摆载荷≥750N/㎡。</w:t>
            </w:r>
          </w:p>
          <w:p>
            <w:pPr>
              <w:pStyle w:val="3"/>
              <w:spacing w:before="0" w:after="0" w:line="300" w:lineRule="exact"/>
              <w:ind w:firstLine="210" w:firstLineChars="1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▲3、看台床架结构强度： 加载4200N/㎡加载时间为30min,去载后变形量≤20mm，能承受垂直负载的6％不失稳，床架结构承受300N/位的晃动力；床架负载强度：活动载荷，≥4500N/㎡、平行摇摆载荷，≥360N/㎡每排、垂直摇摆载荷，≥150N/㎡每排。床架耐冲击强度为：床架结构应能承受每层中间加载800N重量的冲击耳不变形。结构面层≥5000N/㎡的力而无损坏。</w:t>
            </w:r>
          </w:p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4、看台座椅：低靠背中空塑料座椅，采用中空吹塑制造工艺，选用高密度聚乙烯材料（HDPE）一次加工成型，座椅采用前置式安装，座椅安装中心距480mm。 </w:t>
            </w:r>
          </w:p>
          <w:p>
            <w:pPr>
              <w:pStyle w:val="3"/>
              <w:spacing w:before="0" w:after="0" w:line="300" w:lineRule="exact"/>
              <w:ind w:firstLine="210" w:firstLineChars="1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▲5、座椅力学性能：依据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zh-CN"/>
              </w:rPr>
              <w:t>QB/T2601-2013《体育场馆公共座椅》及企业技术条件，参照国际及国内体育场馆公共座椅检测标准，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椅面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zh-CN"/>
              </w:rPr>
              <w:t>静载荷2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zh-CN"/>
              </w:rPr>
              <w:t>00N，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zh-CN"/>
              </w:rPr>
              <w:t>0次，椅背静载荷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zh-CN"/>
              </w:rPr>
              <w:t>00N，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zh-CN"/>
              </w:rPr>
              <w:t>0次，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座椅平衡载荷2100N；座椅零部件无断裂或豁裂现象，加载部位无明显变形、座椅结构无松动。</w:t>
            </w:r>
          </w:p>
          <w:p>
            <w:pPr>
              <w:pStyle w:val="3"/>
              <w:spacing w:before="0" w:after="0" w:line="300" w:lineRule="exact"/>
              <w:ind w:firstLine="210" w:firstLineChars="1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▲6、座椅耐老化性能：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zh-CN"/>
              </w:rPr>
              <w:t>依据QB/T2601-2013《体育场馆公共座椅》及企业技术条件，老化试验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80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zh-CN"/>
              </w:rPr>
              <w:t>0h，外观颜色变色评级不小于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zh-CN"/>
              </w:rPr>
              <w:t>级。</w:t>
            </w:r>
          </w:p>
          <w:p>
            <w:pPr>
              <w:pStyle w:val="3"/>
              <w:spacing w:before="0" w:after="0" w:line="300" w:lineRule="exact"/>
              <w:ind w:firstLine="210" w:firstLineChars="1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▲7、环保性能：所使用的主辅材料应符合国家级环保标准，通过CQC环保检测认证。</w:t>
            </w:r>
          </w:p>
          <w:p>
            <w:pPr>
              <w:pStyle w:val="3"/>
              <w:spacing w:before="0" w:after="0" w:line="300" w:lineRule="exact"/>
              <w:ind w:firstLine="210" w:firstLineChars="1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▲8、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zh-CN"/>
              </w:rPr>
              <w:t>看台使用状态：看台伸缩灵活，无异响，定向跑偏尺寸≤50mm，收拢后排列允许差≤60 mm；看台伸缩噪音≤50 DBA。</w:t>
            </w:r>
          </w:p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9、每组活动看台配有单独电源控制箱，活动看台电动系统采用电动控制式，具备红外线遥控或手控两项功能。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trHeight w:val="334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88" w:type="dxa"/>
            <w:vAlign w:val="center"/>
          </w:tcPr>
          <w:p>
            <w:pPr>
              <w:pStyle w:val="10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羽毛球</w:t>
            </w:r>
          </w:p>
          <w:p>
            <w:pPr>
              <w:pStyle w:val="10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</w:rPr>
              <w:t>地胶</w:t>
            </w:r>
          </w:p>
        </w:tc>
        <w:tc>
          <w:tcPr>
            <w:tcW w:w="5575" w:type="dxa"/>
            <w:vAlign w:val="center"/>
          </w:tcPr>
          <w:p>
            <w:pPr>
              <w:pStyle w:val="3"/>
              <w:spacing w:before="0" w:after="0" w:line="300" w:lineRule="exact"/>
              <w:ind w:firstLine="210" w:firstLineChars="1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▲1、产品厚度不低于5.0mm，材质为沙粒纹；</w:t>
            </w:r>
          </w:p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2、挥发物含量≤50g/㎡；</w:t>
            </w:r>
          </w:p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3、防火燃烧性能B1级，20s内焰尖高度≤150mm；</w:t>
            </w:r>
          </w:p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4、焊接强度，平均值≥500N/50mm；最小值≥400N/50mm；</w:t>
            </w:r>
          </w:p>
          <w:p>
            <w:pPr>
              <w:pStyle w:val="3"/>
              <w:spacing w:before="0" w:after="0" w:line="300" w:lineRule="exact"/>
              <w:ind w:firstLine="241" w:firstLineChars="1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5、提供28天后甲苯、乙苯释放量≤50μg/m³的检测报告；</w:t>
            </w:r>
          </w:p>
          <w:p>
            <w:pPr>
              <w:pStyle w:val="3"/>
              <w:spacing w:before="0" w:after="0" w:line="300" w:lineRule="exact"/>
              <w:ind w:firstLine="210" w:firstLineChars="1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▲6、抗菌性能检测（大肠杆菌、金色葡萄球菌等5种以上细菌），抗菌率≥99.5%；</w:t>
            </w:r>
          </w:p>
          <w:p>
            <w:pPr>
              <w:pStyle w:val="3"/>
              <w:spacing w:before="0" w:after="0" w:line="300" w:lineRule="exact"/>
              <w:ind w:firstLine="210" w:firstLineChars="1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▲7、耐环境应力开裂检测≥2000h，达到破裂率0% ；</w:t>
            </w:r>
          </w:p>
          <w:p>
            <w:pPr>
              <w:pStyle w:val="3"/>
              <w:spacing w:before="0" w:after="0" w:line="300" w:lineRule="exact"/>
              <w:ind w:firstLine="222" w:firstLineChars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12"/>
                <w:rFonts w:ascii="宋体" w:hAnsi="宋体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8、要求和PVC地板同品牌的胶粘剂中苯，甲苯、二甲苯和可溶性铅全部未检出。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trHeight w:val="2307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88" w:type="dxa"/>
            <w:vAlign w:val="center"/>
          </w:tcPr>
          <w:p>
            <w:pPr>
              <w:pStyle w:val="10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羽毛球</w:t>
            </w:r>
          </w:p>
          <w:p>
            <w:pPr>
              <w:pStyle w:val="10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网架</w:t>
            </w:r>
          </w:p>
        </w:tc>
        <w:tc>
          <w:tcPr>
            <w:tcW w:w="5575" w:type="dxa"/>
            <w:vAlign w:val="center"/>
          </w:tcPr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1、移动式羽毛球柱由底座、立柱、锁绳装置和高度微调装置组成；</w:t>
            </w:r>
          </w:p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2、产品重量不低于85KG；</w:t>
            </w:r>
          </w:p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3、产品底部设有滚轮，底座底部垫有整块10mm钢板，钢板底部配置防震垫，方便移动且不损伤地板； </w:t>
            </w:r>
          </w:p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4、羽毛球柱立柱选用Φ40×5mm优质无缝管制作，一根立柱上置有系绳柱，系网方便，另一根立柱外侧置有锁绳装置，该装置锁紧可靠，不会产生卡滞或自动反松现象；</w:t>
            </w:r>
          </w:p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5、球网被拉紧时，网柱能稳固地与地面保持垂直，立柱轴线对水平面的垂直公差≤1/500，且网柱各部位均不侵入场地内边线的垂直线内；</w:t>
            </w:r>
          </w:p>
          <w:p>
            <w:pPr>
              <w:spacing w:line="300" w:lineRule="exact"/>
              <w:ind w:firstLine="210" w:firstLineChars="1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▲6、羽毛球网柱获得国际BWF羽联认证。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trHeight w:val="1485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088" w:type="dxa"/>
            <w:vAlign w:val="center"/>
          </w:tcPr>
          <w:p>
            <w:pPr>
              <w:pStyle w:val="10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乒乓球桌</w:t>
            </w:r>
          </w:p>
        </w:tc>
        <w:tc>
          <w:tcPr>
            <w:tcW w:w="5575" w:type="dxa"/>
            <w:vAlign w:val="center"/>
          </w:tcPr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1、台面尺寸2740*1525MM；</w:t>
            </w:r>
          </w:p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2、台高不低于760MM；</w:t>
            </w:r>
          </w:p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3、弹性: 230-260MM；</w:t>
            </w:r>
          </w:p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4、弹性均匀度:≤5MM；</w:t>
            </w:r>
          </w:p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5、台面光泽度:≤4度；</w:t>
            </w:r>
          </w:p>
          <w:p>
            <w:pPr>
              <w:pStyle w:val="3"/>
              <w:spacing w:before="0" w:after="0" w:line="300" w:lineRule="exact"/>
              <w:ind w:firstLine="210" w:firstLineChars="1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▲6、台面摩擦系数:≤0.3（符合专业大赛标准）；</w:t>
            </w:r>
          </w:p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7、球台稳定性:≤7mm；</w:t>
            </w:r>
          </w:p>
          <w:p>
            <w:pPr>
              <w:pStyle w:val="3"/>
              <w:spacing w:before="0" w:after="0" w:line="300" w:lineRule="exact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▲8、乒乓球桌获得NSCC国体认证证书。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trHeight w:val="90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088" w:type="dxa"/>
            <w:vAlign w:val="center"/>
          </w:tcPr>
          <w:p>
            <w:pPr>
              <w:pStyle w:val="10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电动液压篮球架</w:t>
            </w:r>
          </w:p>
        </w:tc>
        <w:tc>
          <w:tcPr>
            <w:tcW w:w="5575" w:type="dxa"/>
            <w:vAlign w:val="center"/>
          </w:tcPr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1、篮球架伸臂不小于2.5m，球架底座尺寸不小于1.9×1.1×0.67×0.4（m）（长×宽×前高×后高）。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2、篮球架底座、前立柱、后立柱支撑架铁板不小于6 mm厚；</w:t>
            </w:r>
          </w:p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3、设有篮架升降系统、走轮伸缩机构、电器、液压系统，篮架主体升降采用四连杆机构，也控制球架立柱升降和底座走轮起落。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▲4、篮板：篮球架篮板为双层夹胶玻璃篮板，厚度不低于13mm，规格为：1800×1050（mm），篮板弹性500N/1m，中心挠度≤6mm，取消外力1min后篮板恢复原状；</w:t>
            </w:r>
          </w:p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5、篮架前立柱、底座、伸臂配备有专用护套；</w:t>
            </w:r>
          </w:p>
          <w:p>
            <w:pPr>
              <w:pStyle w:val="3"/>
              <w:spacing w:before="0" w:after="0" w:line="300" w:lineRule="exact"/>
              <w:ind w:firstLine="420" w:firstLineChars="200"/>
              <w:rPr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6、篮架设有爬坡功能：底座的后侧有一专用爬坡轮；</w:t>
            </w:r>
          </w:p>
          <w:p>
            <w:pPr>
              <w:pStyle w:val="10"/>
              <w:framePr w:wrap="auto" w:vAnchor="margin" w:hAnchor="text" w:yAlign="inline"/>
              <w:widowControl/>
              <w:spacing w:line="300" w:lineRule="exact"/>
              <w:ind w:firstLine="210" w:firstLineChars="100"/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 xml:space="preserve">▲7、篮球架获得FIBA国际篮联认证证书。                             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trHeight w:val="1156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直插式网球柱</w:t>
            </w:r>
          </w:p>
        </w:tc>
        <w:tc>
          <w:tcPr>
            <w:tcW w:w="5575" w:type="dxa"/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1、直插式网球柱由立柱、预埋件和锁紧装置组成。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2、立柱选用特制铝合金型材制作，机构均采用铜质件组成，永不生锈，通过手柄转动；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3、网球柱配有专用预埋件，预埋件采用铝合金型材制作，使用时，将立柱插入预埋件即可使用；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4、立柱表面经喷塑处理；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5、网球柱含网。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trHeight w:val="1978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固定单臂篮球架</w:t>
            </w:r>
          </w:p>
        </w:tc>
        <w:tc>
          <w:tcPr>
            <w:tcW w:w="5575" w:type="dxa"/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1、篮球架伸臂长1.8m，球架立柱规格不小于180×180×4mm，篮架伸臂铁板不小于δ3mm；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2、篮板为玻璃篮板，规格：1800×1050（㎜）；       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3、篮圈采用不小于φ17mm实心圆钢制作；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4、篮架与预埋件通过法兰连接，法兰采用优质冲件，规格：350×350mm，四周呈大圆角，法兰上设计有5个孔。远离球场的一侧设计为3个孔，增强篮架整体的安全性；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5、篮架所有紧固件均经热镀锌处理，能保证长年不生锈；</w:t>
            </w: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6、产品涂层厚度70—80um，铅笔硬度达3H+。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trHeight w:val="1978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固定海燕式篮球架</w:t>
            </w:r>
          </w:p>
        </w:tc>
        <w:tc>
          <w:tcPr>
            <w:tcW w:w="5575" w:type="dxa"/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1、篮球架伸臂长1.8m，球架立柱规格不小于180×180×4mm，篮架伸臂铁板不小于δ3mm；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2、篮板为玻璃篮板，规格：1800×1050（㎜）；       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3、篮圈采用不小于φ17mm实心圆钢制作；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4、篮架与预埋件通过法兰连接，法兰采用优质冲件，规格：350×350mm，四周呈大圆角，法兰上设计有5个孔。远离球场的一侧设计为3个孔，增强篮架整体的安全性；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5、篮架所有紧固件均经热镀锌处理，能保证长年不生锈；</w:t>
            </w: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6、产品涂层厚度70—80um，铅笔硬度达3H+。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trHeight w:val="698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室外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排球柱</w:t>
            </w:r>
          </w:p>
        </w:tc>
        <w:tc>
          <w:tcPr>
            <w:tcW w:w="5575" w:type="dxa"/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1、排球柱由内外立柱，紧线机构和底座组成； 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2、排球柱外立柱选用φ89×3.75优质焊管，内立柱选用φ70异型管材制作，通过高度调节销使内立柱上下移动，实现网高调节高度：2.15m、2.24m、2.35m、2.43m。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3、排球柱底座单只配置铁配重不低于360kg，产品需携带带移动小推车，拆装移动方便；</w:t>
            </w: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4、产品涂层厚度70—80um，铅笔硬度达3H+。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副</w:t>
            </w:r>
          </w:p>
        </w:tc>
      </w:tr>
    </w:tbl>
    <w:p>
      <w:pPr>
        <w:spacing w:line="500" w:lineRule="exact"/>
        <w:rPr>
          <w:rFonts w:ascii="宋体" w:hAnsi="宋体"/>
          <w:bCs/>
          <w:sz w:val="24"/>
          <w:lang w:val="en"/>
        </w:rPr>
      </w:pPr>
      <w:r>
        <w:rPr>
          <w:rFonts w:hint="eastAsia" w:ascii="宋体" w:hAnsi="宋体"/>
          <w:bCs/>
          <w:sz w:val="24"/>
          <w:lang w:val="en"/>
        </w:rPr>
        <w:t>注：</w:t>
      </w:r>
    </w:p>
    <w:p>
      <w:pPr>
        <w:spacing w:line="500" w:lineRule="exact"/>
        <w:ind w:firstLine="480" w:firstLineChars="200"/>
        <w:rPr>
          <w:rFonts w:ascii="宋体" w:hAnsi="宋体"/>
          <w:bCs/>
          <w:sz w:val="24"/>
          <w:lang w:val="zh-CN"/>
        </w:rPr>
      </w:pPr>
      <w:r>
        <w:rPr>
          <w:rFonts w:hint="eastAsia" w:ascii="宋体" w:hAnsi="宋体"/>
          <w:bCs/>
          <w:sz w:val="24"/>
          <w:lang w:val="zh-CN"/>
        </w:rPr>
        <w:t>1、以上参数仅供参考，各潜在供应商可选用相当于或优于以上技术需求的货物。</w:t>
      </w:r>
    </w:p>
    <w:p>
      <w:pPr>
        <w:pStyle w:val="13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、上述产品技术参数中，不带数值的技术参数为不可量化参数，只做符合性审查；带数值的技术参数为可量化参数。全部产品外形规格允许偏差参数表中有要求的按照要求执行，没有要求的允许偏差±5mm。室外体育器材做好防锈防腐处理，除参数中明确约定的，其余室外体育器材验收合格后3年内不得出现漆面锈蚀、脱落等现象。</w:t>
      </w:r>
    </w:p>
    <w:p>
      <w:pPr>
        <w:pStyle w:val="13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3、投标人投标时须在附件（技术参数偏离表）中将货物的每项技术参数、指标逐一列明，如无列明，评委有权根据实际情况作出不利于投标人的评审决定。</w:t>
      </w:r>
    </w:p>
    <w:p>
      <w:pPr>
        <w:pStyle w:val="13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、本项目核心产品为：电动伸缩看台。（注：多家投标人提供的核心产品品牌相同的，按照提供相同品牌产品处理。提供相同品牌产品且通过资格审查、符合性审查的不同投标人参加同一合同项下投标的，按一家投标人计算。）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二、服务要求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2.1 质保期3年。质保期内免费维修或更换；质保期后，配件只能收取成本费。若出现</w:t>
      </w:r>
      <w:r>
        <w:rPr>
          <w:rFonts w:hint="eastAsia" w:ascii="宋体" w:hAnsi="宋体" w:cs="宋体"/>
          <w:bCs/>
          <w:sz w:val="24"/>
        </w:rPr>
        <w:t>一般故障，须在12小时之内做出及时响应，在24小时之内到达现场排除；较大故障和需要更换零件时，2个工作日排除故障。如货物在质量保证期间内不能正常使用，中标单位应根据本合同约定对货物进行维修或免费更换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2.2 质保期后应保证有充足的备件供应，中标人应对其产品提供终身技术服务、维修，更换只向招标人收取维修服务中所用的材料成本费，价格不得高于本次投标报价（备件价格须在供货范围明细表中列明），不收取人工费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2.3 除人为或不可抗力原因造成的设备损坏或者故障，设备使用过程中出现的任何故障中标人均应免费维修，不能收取任何费用，包含上门费、人工费、差旅费及配件费等。</w:t>
      </w:r>
    </w:p>
    <w:p>
      <w:pPr>
        <w:pStyle w:val="6"/>
        <w:ind w:firstLine="480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2.4</w:t>
      </w:r>
      <w:r>
        <w:rPr>
          <w:rFonts w:hint="eastAsia"/>
          <w:sz w:val="24"/>
          <w:szCs w:val="24"/>
        </w:rPr>
        <w:t>投标人须保证在质保期内，所供篮球架的产品责任险、公众责任险、产品质量险、人身意外险、雇主责任险均在有效期内，其费用由投标人自行考虑并加入投标报价中，采购人不再另行支付。投标人须在投标文件中提供处于有效期内的保单复印件，并承诺在质保期内维持保险的存续有效性并加盖投标单位公章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三、验收标准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1.符合相关技术要求及行业标准。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2.验收要求及其它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2.1质保期内维修费、零部件的更换等费用全免费。在质保期内发现的由于货物本身的原因造成故障或损坏，中标人应免费修复，无法修复的应免费更换。质保期内，维修、更换等一切支出（包括技术人员旅费等支出）由中标人负责；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2.3 中标人应对招标人技术人员和操作维修人员进行技术培训，且自行承担培训所需的费用。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2.4 中标人须保障招标人在使用该设备、软件或其任何一部分时不受到第三方关于侵犯专利权、商标权或工业设计权的指控。如果任何第三方提出侵权指控，中标人须与第三方交涉，并承担由此而产生的索赔、损失、损害、支出等一切费用（含律师费）。如招标人因此而遭致损失的，中标人应赔偿该损失。</w:t>
      </w:r>
    </w:p>
    <w:p>
      <w:pPr>
        <w:pStyle w:val="9"/>
        <w:spacing w:before="0" w:after="0" w:line="500" w:lineRule="exact"/>
        <w:ind w:firstLine="482" w:firstLineChars="200"/>
        <w:jc w:val="both"/>
        <w:outlineLvl w:val="1"/>
        <w:rPr>
          <w:rFonts w:ascii="宋体" w:hAnsi="宋体" w:cs="宋体"/>
          <w:b/>
          <w:color w:val="000000"/>
          <w:kern w:val="2"/>
        </w:rPr>
      </w:pPr>
      <w:r>
        <w:rPr>
          <w:rFonts w:hint="eastAsia" w:ascii="宋体" w:hAnsi="宋体" w:cs="宋体"/>
          <w:b/>
          <w:color w:val="000000"/>
          <w:kern w:val="2"/>
        </w:rPr>
        <w:t>四、现场踏勘</w:t>
      </w:r>
    </w:p>
    <w:p>
      <w:pPr>
        <w:spacing w:line="50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必须进行现场勘察，勘察现场所发生的费用由供应商自行承担。采购人向供应商提供的有关服务现场的资料和数据，是采购人现有的能使供应商利用的资料。采购人对供应商由此而做出的推论、理解和结论概不负责。供应商未到服务现场实地踏勘的，中标后签订合同时和履约过程中，不得以不完全了解现场情况为由，提出任何形式的增加合同价款或索赔的要求。供应商自行组织现场踏勘，现场踏勘可与业主单位联系。</w:t>
      </w:r>
    </w:p>
    <w:p>
      <w:pPr>
        <w:spacing w:line="500" w:lineRule="exact"/>
        <w:ind w:firstLine="482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技术咨询及现场踏勘联系人：陈老师，联系电话：17805190300</w:t>
      </w:r>
      <w:r>
        <w:rPr>
          <w:rFonts w:hint="eastAsia" w:ascii="宋体" w:hAnsi="宋体" w:cs="宋体"/>
          <w:bCs/>
          <w:sz w:val="24"/>
        </w:rPr>
        <w:t>。</w:t>
      </w:r>
    </w:p>
    <w:p>
      <w:pPr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</w:p>
    <w:p>
      <w:pPr>
        <w:spacing w:line="500" w:lineRule="exact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注：采购标的的所属行业为</w:t>
      </w:r>
      <w:r>
        <w:rPr>
          <w:rFonts w:hint="eastAsia" w:ascii="宋体" w:hAnsi="宋体" w:cs="宋体"/>
          <w:b/>
          <w:sz w:val="24"/>
          <w:u w:val="single"/>
        </w:rPr>
        <w:t xml:space="preserve">  工业  </w:t>
      </w:r>
      <w:r>
        <w:rPr>
          <w:rFonts w:hint="eastAsia" w:ascii="宋体" w:hAnsi="宋体" w:cs="宋体"/>
          <w:b/>
          <w:sz w:val="24"/>
        </w:rPr>
        <w:t>，根据《工业和信息化部、国家统计局、国家发展和改革委员会、财政部关于印发中小企业划型标准规定的通知》（工信部联企业[2011]300号）规定的划分标准填写。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5FD3FC-9583-44ED-AD7F-9E1D8FAEC50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33B34FA-4DB1-42C8-B9A4-3AD99796AFB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WQ1ZTFkNDMwOGNmYjMwNDE0ZjlhNTNiZTRlMjYifQ=="/>
  </w:docVars>
  <w:rsids>
    <w:rsidRoot w:val="00000000"/>
    <w:rsid w:val="21C962A9"/>
    <w:rsid w:val="319F32B8"/>
    <w:rsid w:val="407A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4">
    <w:name w:val="Body Text Indent"/>
    <w:basedOn w:val="1"/>
    <w:next w:val="5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6">
    <w:name w:val="Body Text First Indent 2"/>
    <w:basedOn w:val="4"/>
    <w:next w:val="1"/>
    <w:qFormat/>
    <w:uiPriority w:val="0"/>
    <w:pPr>
      <w:spacing w:line="360" w:lineRule="auto"/>
      <w:ind w:firstLine="420" w:firstLineChars="200"/>
    </w:pPr>
    <w:rPr>
      <w:rFonts w:ascii="Calibri" w:hAnsi="Calibri" w:eastAsia="宋体"/>
      <w:sz w:val="21"/>
    </w:rPr>
  </w:style>
  <w:style w:type="paragraph" w:customStyle="1" w:styleId="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0">
    <w:name w:val="正文 A"/>
    <w:next w:val="11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文本块1"/>
    <w:qFormat/>
    <w:uiPriority w:val="0"/>
    <w:pPr>
      <w:framePr w:wrap="around" w:vAnchor="margin" w:hAnchor="text" w:yAlign="top"/>
      <w:widowControl w:val="0"/>
      <w:spacing w:after="120"/>
      <w:ind w:left="1440" w:right="144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NormalCharacter"/>
    <w:qFormat/>
    <w:uiPriority w:val="0"/>
    <w:rPr>
      <w:kern w:val="2"/>
      <w:sz w:val="22"/>
      <w:lang w:val="en-US" w:eastAsia="zh-CN"/>
    </w:rPr>
  </w:style>
  <w:style w:type="paragraph" w:customStyle="1" w:styleId="13">
    <w:name w:val="BodyText1I2"/>
    <w:basedOn w:val="14"/>
    <w:next w:val="16"/>
    <w:qFormat/>
    <w:uiPriority w:val="0"/>
    <w:pPr>
      <w:spacing w:line="360" w:lineRule="auto"/>
      <w:ind w:firstLine="420" w:firstLineChars="200"/>
    </w:pPr>
    <w:rPr>
      <w:rFonts w:ascii="宋体" w:hAnsi="宋体" w:eastAsia="宋体"/>
      <w:sz w:val="21"/>
      <w:szCs w:val="20"/>
    </w:rPr>
  </w:style>
  <w:style w:type="paragraph" w:customStyle="1" w:styleId="14">
    <w:name w:val="BodyTextIndent"/>
    <w:basedOn w:val="1"/>
    <w:next w:val="15"/>
    <w:qFormat/>
    <w:uiPriority w:val="0"/>
    <w:pPr>
      <w:ind w:firstLine="645"/>
    </w:pPr>
    <w:rPr>
      <w:rFonts w:ascii="楷体_GB2312" w:eastAsia="楷体_GB2312"/>
      <w:sz w:val="32"/>
      <w:szCs w:val="32"/>
    </w:rPr>
  </w:style>
  <w:style w:type="paragraph" w:customStyle="1" w:styleId="15">
    <w:name w:val="Envelope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16">
    <w:name w:val="Normal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2023-07-26T03:02:00Z</dcterms:created>
  <dc:creator>JSGX01</dc:creator>
  <cp:lastModifiedBy>黑骑士</cp:lastModifiedBy>
  <dcterms:modified xsi:type="dcterms:W3CDTF">2023-07-26T03:09:48Z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0697385F974345C2A13FD922A52A5E7E_12</vt:lpwstr>
  </property>
</Properties>
</file>