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bookmarkStart w:id="0" w:name="项目需求"/>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项目需求</w:t>
      </w:r>
      <w:bookmarkEnd w:id="0"/>
    </w:p>
    <w:p>
      <w:pPr>
        <w:pStyle w:val="5"/>
        <w:spacing w:before="0" w:after="0" w:line="50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一、项目概况</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我校西园7、8、10号学生公寓门锁采购306套二维码物联网智能门锁，配套设施包括智能网关、门锁管理系统、交换机、网络布线、系统对接等，实现一卡通刷卡和二维码扫码两种开门方式，通过信息中心身份统一下发统一管理，对出入人员进行安全有效地控制和身份识别，能用智能方式代替传统的人工查验证件、大大提高管理工作效率，降低劳动强度，并在保障学生财产、人身安全、生活秩序等方面起到重要作用。具体内容包括：</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1、物联网智能门锁系统联网管理及控制；</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2、可以调取开门人的实时数据；</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3、能实现与一卡通的联合通用；</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4、数据实时下发，网络不通时可本地保存，即时上传；</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5、新生报到、老生离校、寒暑假临时住宿，都能相应的变化其权限；</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6、学生换卡、补卡、办理入住、调宿、退宿手续，开门权限同步生效；</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7、系统平台可实时显示每个宿舍门锁设备的状态；</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8、当出现非法开门等异常情况出现，系统可发出报警，同时启动相应系统的联动控制；</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9、对学生信息、门锁状态、刷卡记录等进行查询、统计、报表导出；</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10、系统可支持二维码开锁并与校园一卡通系统对接；</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11、每个网关必须能够独立工作，单个网关出现故障不会影响其他网关正常运行；</w:t>
      </w:r>
    </w:p>
    <w:p>
      <w:pPr>
        <w:spacing w:line="500" w:lineRule="exact"/>
        <w:ind w:firstLine="480" w:firstLineChars="200"/>
        <w:rPr>
          <w:rFonts w:hint="eastAsia"/>
          <w:color w:val="000000" w:themeColor="text1"/>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12、网络不通时可以使用本地授权方式给门锁进行授权。</w:t>
      </w:r>
    </w:p>
    <w:p>
      <w:pPr>
        <w:pStyle w:val="5"/>
        <w:spacing w:before="0" w:after="0" w:line="500" w:lineRule="exact"/>
        <w:ind w:firstLine="482" w:firstLineChars="200"/>
        <w:jc w:val="both"/>
        <w:outlineLvl w:val="1"/>
        <w:rPr>
          <w:rFonts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二、技术指标参数要求：</w:t>
      </w: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b/>
          <w:i/>
          <w:color w:val="000000" w:themeColor="text1"/>
          <w:kern w:val="2"/>
          <w:highlight w:val="none"/>
          <w14:textFill>
            <w14:solidFill>
              <w14:schemeClr w14:val="tx1"/>
            </w14:solidFill>
          </w14:textFill>
        </w:rPr>
        <w:t xml:space="preserve">本项目核心产品：二维码联网门锁 </w:t>
      </w:r>
      <w:r>
        <w:rPr>
          <w:rFonts w:hint="eastAsia" w:ascii="宋体" w:hAnsi="宋体" w:cs="宋体"/>
          <w:bCs/>
          <w:color w:val="000000" w:themeColor="text1"/>
          <w:highlight w:val="none"/>
          <w14:textFill>
            <w14:solidFill>
              <w14:schemeClr w14:val="tx1"/>
            </w14:solidFill>
          </w14:textFill>
        </w:rPr>
        <w:t>）</w:t>
      </w:r>
    </w:p>
    <w:tbl>
      <w:tblPr>
        <w:tblStyle w:val="3"/>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50"/>
        <w:gridCol w:w="5245"/>
        <w:gridCol w:w="709"/>
        <w:gridCol w:w="70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3" w:type="dxa"/>
            <w:noWrap w:val="0"/>
            <w:vAlign w:val="center"/>
          </w:tcPr>
          <w:p>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850" w:type="dxa"/>
            <w:noWrap w:val="0"/>
            <w:vAlign w:val="center"/>
          </w:tcPr>
          <w:p>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名称</w:t>
            </w:r>
          </w:p>
        </w:tc>
        <w:tc>
          <w:tcPr>
            <w:tcW w:w="5245" w:type="dxa"/>
            <w:tcBorders>
              <w:top w:val="single" w:color="000000" w:sz="4" w:space="0"/>
            </w:tcBorders>
            <w:noWrap w:val="0"/>
            <w:vAlign w:val="center"/>
          </w:tcPr>
          <w:p>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主要技术需求</w:t>
            </w:r>
          </w:p>
        </w:tc>
        <w:tc>
          <w:tcPr>
            <w:tcW w:w="709" w:type="dxa"/>
            <w:noWrap w:val="0"/>
            <w:vAlign w:val="center"/>
          </w:tcPr>
          <w:p>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709" w:type="dxa"/>
            <w:noWrap w:val="0"/>
            <w:vAlign w:val="center"/>
          </w:tcPr>
          <w:p>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单位</w:t>
            </w:r>
          </w:p>
        </w:tc>
        <w:tc>
          <w:tcPr>
            <w:tcW w:w="1245" w:type="dxa"/>
            <w:noWrap w:val="0"/>
            <w:vAlign w:val="center"/>
          </w:tcPr>
          <w:p>
            <w:pPr>
              <w:widowControl/>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850"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二维码物联网智能门锁</w:t>
            </w:r>
          </w:p>
        </w:tc>
        <w:tc>
          <w:tcPr>
            <w:tcW w:w="5245" w:type="dxa"/>
            <w:noWrap w:val="0"/>
            <w:vAlign w:val="center"/>
          </w:tcPr>
          <w:p>
            <w:pPr>
              <w:ind w:firstLine="480" w:firstLineChars="200"/>
              <w:jc w:val="left"/>
              <w:outlineLvl w:val="7"/>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投标时需提供门锁样品，刷卡+扫码+密码+钥匙开门</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1.行业标准：符合《电子防盗锁》（GA374-2019）标准，附证书；</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★2.前后面板：采用厚度≥1.5mm的304不锈钢钢板整体冲压一体成型，为防腐蚀防破坏，要求主体部分为304不锈钢材质；</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3.304不锈钢锁体：</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★（1）6068标准防盗门电子锁体；锁舌均为304不锈钢精密铸造；锁体必须与学校现有门扇完全匹配，门锁安装完毕后门扇需保持原有外观不得改变；</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（2）6068锁体配备开门检测门磁，采集门锁开启和关闭状态；</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4.超稳定锁体结构：固定螺钉≥7个；</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★5.把手：304不锈钢材质，转动灵活，能准确复位；</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6.锁芯：</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（1）C级铜制锁芯，技术开锁时间大于270分钟；</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（2）锁芯采用真插芯，钥匙孔位于锁面板表面；</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7.适应门厚：35mm——100mm；</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★8.开门方式：扫码+卡片+钥匙+web平台远程开门；</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9.二维码模块结构：</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前面板内置嵌入式二维码模块，二维码模块要求带工作状态指示灯。支持手机扫码开锁：用手机上的身份动态二维码对准锁二维码模块，以正扫（扫手机上的二维码）方式扫描，实现开锁，开锁时间小于3秒，可以根据权限设置为单次有效开锁；</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★（2）二维码扫码在光线较暗的情况下也可实现正常操作；</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10.通信方式：无线通信；</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11.欠压提醒：具备电池电压不足时，门锁提供语音报警“电量低请更换电池”当电池电量不足时（&lt;4.8V），开门有欠压提示，首次欠压提示后还能开门100次以上；</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12.钥匙开门告警：钥匙开门具有单独记录，在系统有告警显示；</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13.刷卡开门响应时间：小于1秒（根据用户需要配置）；</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14.驱动方式：高速直流电机，节能省电，经过100万次严格测试，性能稳定无障碍；</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15.数据存储：单把门锁至少支持200用户（每个用户最多3张卡）；当网络不通时，能够支持脱机正常使用，另外系统能脱机存储至少1000条开门记录，记录可采用循环覆盖方式存储；掉电数据永久保存；</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16.工作电源：</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（1）6V；4节1.5V碱性电池，使用时长≥12个月；</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（2）支持Micro-USB接口临时供电。</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17.门锁状态采集：包括但不限于刷卡流水，门锁状态，电池电量；</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18.证书：</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（1）智能门锁具备可视化前端管理功能，提供物联网智能门锁软件著作权登记证书、软件产品登记测试报告复印件；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（2）智能门锁提供中国合格评定国家认可委员会认可的带有CNAS或CMA标志的检测复印件；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（3）智能门锁具备防尘防水能力，经过第三方检测机构测试并出具提供不低于IP52测试报告复印件；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19.时钟：通过网络自动校时；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20.门锁品牌：与智能门锁管理平台为同一品牌；</w:t>
            </w:r>
          </w:p>
          <w:p>
            <w:pPr>
              <w:ind w:firstLine="480" w:firstLineChars="200"/>
              <w:jc w:val="left"/>
              <w:outlineLvl w:val="7"/>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★21.开门验证方式：为了避免手机卡模拟开门等安全隐患，要求智能门锁读取我校一卡通内容进行验证，不能采用序列号验证模式。</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306</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套</w:t>
            </w:r>
          </w:p>
        </w:tc>
        <w:tc>
          <w:tcPr>
            <w:tcW w:w="1245" w:type="dxa"/>
            <w:noWrap w:val="0"/>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核心</w:t>
            </w:r>
          </w:p>
          <w:p>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p>
        </w:tc>
        <w:tc>
          <w:tcPr>
            <w:tcW w:w="850" w:type="dxa"/>
            <w:noWrap w:val="0"/>
            <w:vAlign w:val="center"/>
          </w:tcPr>
          <w:p>
            <w:pPr>
              <w:widowControl/>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智能网关</w:t>
            </w:r>
          </w:p>
        </w:tc>
        <w:tc>
          <w:tcPr>
            <w:tcW w:w="5245" w:type="dxa"/>
            <w:noWrap w:val="0"/>
            <w:vAlign w:val="center"/>
          </w:tcPr>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门锁通讯网关</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1、物联网协议：无线通信协议；</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2、设备功耗：满负荷工作功耗≤5W；</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★3、架构方式：采用三级架构，门锁无线连接智能网关，智能网关网线直连校园网，单台网关故障不得影响其他网关或门锁的正常使用；</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4、管理方式：支持平台统一集中管理，具有软件著作权，提供证书复印件；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5、网关品牌：为保证兼容性与统一管理，要求与智能门锁同一品牌。</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p>
        </w:tc>
        <w:tc>
          <w:tcPr>
            <w:tcW w:w="850" w:type="dxa"/>
            <w:noWrap w:val="0"/>
            <w:vAlign w:val="center"/>
          </w:tcPr>
          <w:p>
            <w:pPr>
              <w:widowControl/>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智能门锁管理系统</w:t>
            </w:r>
          </w:p>
        </w:tc>
        <w:tc>
          <w:tcPr>
            <w:tcW w:w="5245" w:type="dxa"/>
            <w:noWrap w:val="0"/>
            <w:vAlign w:val="center"/>
          </w:tcPr>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实时上传最新发生事件记录，确保系统整体实时性能；实时监控门锁的开关状态、电池电量、信号强度等；便捷移动互联：查看门锁开关状态，人员进出情况，陌生人开门告警，实现安防监控的全面升级；详细记录了各门锁的开关时间，门锁状态，门锁故障等信息，可按时段、部门等条件对各类信息进行分析处理，实现大数据管理需要；便捷的权限管理：通过网络实现补卡、数据上传、下发权限等操作，方便快捷。可按区域、楼栋、层级等来灵活进行开门权限分配。</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1、门锁管理系统采用B/S架构，免安装，可远程维护，符合现代化信息建设整体规划;</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2、智能门锁管理软件通过数据中心统一数据库平台，实现各类业务数据信息实时、直接共享，不允许各应用软件系统间直接进行程序模块的调用、参数传递，以避免各应用软件系统间相互依赖;</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3、具有自主知识产权，并提供具有智能门锁管理软件著作权证书复印件;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4、单击片区可显示不同楼栋详细情况，如楼栋名称、楼栋编号、楼栋房间总数、楼栋入住情况、建筑类型等；单击楼栋可显示不同楼层详细情况，如楼层名称、楼层编号、楼层房间数、楼层入住情况等信息；单机楼层可显示不同房间详细情况，如名称、编号、别称、入住情况、入住性别等信息、系统标注每个房间在使用或空置状态; </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5、统计每个片区房间使用情况生产数据，支持单选、多选所要统计的学院，支持选择不同时间段；统计每栋楼房间的已使用、未使用情况，用数据显示；统计各类房间使用数据; </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6、显示采集平台、网关、门禁、门锁等各模块的设备信息; </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门锁指令：可单选或多选设置门锁的常开、常闭、远程开锁、删除门锁密码、下发用户卡、下发用户密码、设置心跳时间间隔、设置是否休眠、设置自唤醒时间、设置低电量报警电量、设置低电量保护电量、设置电机驱动时间、设置CPU标志、禁用/启用某功能、是否启用本地指纹添加、是否上报未成功开启锁流水、更新用户ID、下发指纹录入密码、清空数据、重新初始化、锁音量等指令；</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8、证书：</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（1）智能门锁管理平台具有非接触IC卡密钥系统，提供招标公告发布</w:t>
            </w:r>
            <w:r>
              <w:rPr>
                <w:rFonts w:hint="eastAsia" w:ascii="宋体" w:hAnsi="宋体" w:cs="宋体"/>
                <w:bCs/>
                <w:color w:val="000000" w:themeColor="text1"/>
                <w:sz w:val="24"/>
                <w:highlight w:val="none"/>
                <w14:textFill>
                  <w14:solidFill>
                    <w14:schemeClr w14:val="tx1"/>
                  </w14:solidFill>
                </w14:textFill>
              </w:rPr>
              <w:t>前生效的中国合格评定国家认可委员会认可的带有CNAS或CMA标志的非接触IC卡密钥系统检测报告复印件；</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★（2）智能门锁管理平台生产厂家具</w:t>
            </w:r>
            <w:r>
              <w:rPr>
                <w:rFonts w:hint="eastAsia" w:ascii="宋体" w:hAnsi="宋体" w:cs="宋体"/>
                <w:bCs/>
                <w:color w:val="000000" w:themeColor="text1"/>
                <w:sz w:val="24"/>
                <w:highlight w:val="none"/>
                <w14:textFill>
                  <w14:solidFill>
                    <w14:schemeClr w14:val="tx1"/>
                  </w14:solidFill>
                </w14:textFill>
              </w:rPr>
              <w:t>有安全信息服务资质，提供证书复印件，并配合学校完成GB/T22239-2019信息安全技术信息系统安全等级保护2级以上要求；</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★9、门锁管理系统无缝接入一卡通平台和宿管系统，实现数据同步与异动数据实时同步，实现校园卡/校园码开门（提供承诺书，并加盖</w:t>
            </w:r>
            <w:r>
              <w:rPr>
                <w:rFonts w:hint="eastAsia" w:cs="宋体"/>
                <w:bCs/>
                <w:color w:val="000000" w:themeColor="text1"/>
                <w:sz w:val="24"/>
                <w:highlight w:val="none"/>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公章）。</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套</w:t>
            </w:r>
          </w:p>
        </w:tc>
        <w:tc>
          <w:tcPr>
            <w:tcW w:w="1245"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850" w:type="dxa"/>
            <w:noWrap w:val="0"/>
            <w:vAlign w:val="center"/>
          </w:tcPr>
          <w:p>
            <w:pPr>
              <w:widowControl/>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平台对接集成</w:t>
            </w:r>
          </w:p>
        </w:tc>
        <w:tc>
          <w:tcPr>
            <w:tcW w:w="5245" w:type="dxa"/>
            <w:noWrap w:val="0"/>
            <w:vAlign w:val="center"/>
          </w:tcPr>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与在建的安全防控与智能平台进行数据交互集成</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1、智能门锁管理软件通过数据中心统一数据库平台，实现各类业务数据信息实时、直接共享，不允许各应用软件系统间直接进行程序模块的调用、参数传递，以避免各应用软件系统间相互依赖；</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2、住户基础档案管理； </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3、房间管理管理模块；</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4、统计、查询、报表模块； </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5、系统监控管理模块； </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6、设备管理模块；</w:t>
            </w:r>
          </w:p>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7、数据接口与融合。</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850" w:type="dxa"/>
            <w:noWrap w:val="0"/>
            <w:vAlign w:val="center"/>
          </w:tcPr>
          <w:p>
            <w:pPr>
              <w:widowControl/>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交换机</w:t>
            </w:r>
          </w:p>
        </w:tc>
        <w:tc>
          <w:tcPr>
            <w:tcW w:w="5245" w:type="dxa"/>
            <w:noWrap w:val="0"/>
            <w:vAlign w:val="center"/>
          </w:tcPr>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整机交换容量256Gbps，包转发率51Mpps，4个复用的1000Base-X千兆SFP端口，管理端口1个Console口。</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widowControl/>
              <w:jc w:val="left"/>
              <w:rPr>
                <w:rFonts w:hint="eastAsia" w:ascii="宋体" w:hAnsi="宋体" w:cs="宋体"/>
                <w:bCs/>
                <w:color w:val="000000" w:themeColor="text1"/>
                <w:kern w:val="0"/>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推荐品牌：华为、H3C、锐捷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w:t>
            </w:r>
          </w:p>
        </w:tc>
        <w:tc>
          <w:tcPr>
            <w:tcW w:w="850" w:type="dxa"/>
            <w:noWrap w:val="0"/>
            <w:vAlign w:val="center"/>
          </w:tcPr>
          <w:p>
            <w:pPr>
              <w:widowControl/>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综合</w:t>
            </w:r>
          </w:p>
          <w:p>
            <w:pPr>
              <w:widowControl/>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布线</w:t>
            </w:r>
          </w:p>
        </w:tc>
        <w:tc>
          <w:tcPr>
            <w:tcW w:w="5245" w:type="dxa"/>
            <w:noWrap w:val="0"/>
            <w:vAlign w:val="center"/>
          </w:tcPr>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含网线，电源线，套管，人工，水晶头、插线板、扎带、胶带、螺钉等辅材</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widowControl/>
              <w:jc w:val="left"/>
              <w:rPr>
                <w:rFonts w:hint="eastAsia" w:ascii="宋体" w:hAnsi="宋体" w:cs="宋体"/>
                <w:bCs/>
                <w:color w:val="000000" w:themeColor="text1"/>
                <w:kern w:val="0"/>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推荐品牌：安普、东强、普天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w:t>
            </w:r>
          </w:p>
        </w:tc>
        <w:tc>
          <w:tcPr>
            <w:tcW w:w="850" w:type="dxa"/>
            <w:noWrap w:val="0"/>
            <w:vAlign w:val="center"/>
          </w:tcPr>
          <w:p>
            <w:pPr>
              <w:widowControl/>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安装</w:t>
            </w:r>
          </w:p>
          <w:p>
            <w:pPr>
              <w:widowControl/>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调试</w:t>
            </w:r>
          </w:p>
        </w:tc>
        <w:tc>
          <w:tcPr>
            <w:tcW w:w="5245" w:type="dxa"/>
            <w:noWrap w:val="0"/>
            <w:vAlign w:val="center"/>
          </w:tcPr>
          <w:p>
            <w:pPr>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每把门锁安装调试及旧锁拆卸收纳</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709"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项</w:t>
            </w:r>
          </w:p>
        </w:tc>
        <w:tc>
          <w:tcPr>
            <w:tcW w:w="1245" w:type="dxa"/>
            <w:noWrap w:val="0"/>
            <w:vAlign w:val="center"/>
          </w:tcPr>
          <w:p>
            <w:pPr>
              <w:widowControl/>
              <w:jc w:val="center"/>
              <w:rPr>
                <w:rFonts w:hint="eastAsia" w:ascii="宋体" w:hAnsi="宋体" w:cs="宋体"/>
                <w:bCs/>
                <w:color w:val="000000" w:themeColor="text1"/>
                <w:kern w:val="0"/>
                <w:sz w:val="24"/>
                <w:highlight w:val="none"/>
                <w14:textFill>
                  <w14:solidFill>
                    <w14:schemeClr w14:val="tx1"/>
                  </w14:solidFill>
                </w14:textFill>
              </w:rPr>
            </w:pPr>
          </w:p>
        </w:tc>
      </w:tr>
    </w:tbl>
    <w:p>
      <w:pPr>
        <w:pStyle w:val="5"/>
        <w:spacing w:before="0" w:after="0" w:line="50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三、特别说明：</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1.为避免重复建设，便于统一管理和维护，定制与学校现有宿舍管理系统（南京新慧团信息科技有限公司 V3.0）进行数据对接，实现根据入住信息（退宿自动失去权限）生成门锁权限。</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2.定制与学校现一卡通管理系统Ecard-t6.0（新开普电子股份有限公司）进行数据整合对接，实现可通过校园卡、校园卡二维码进行刷卡开锁。卡片挂失、补卡、注销、新增开户等操作可自动同步卡权限数据到门锁内。</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3.本项目门锁识别记录需要与学校数据中心进行对接，所提供的软硬件设备符合江苏医药职业学院信息化标准和数据标准，为后期数据整合免费提供数据接口和服务。</w:t>
      </w:r>
    </w:p>
    <w:p>
      <w:pPr>
        <w:spacing w:line="500" w:lineRule="exact"/>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4.</w:t>
      </w:r>
      <w:r>
        <w:rPr>
          <w:rFonts w:hint="eastAsia" w:ascii="宋体" w:hAnsi="宋体" w:eastAsia="宋体"/>
          <w:bCs/>
          <w:color w:val="000000" w:themeColor="text1"/>
          <w:kern w:val="2"/>
          <w:sz w:val="24"/>
          <w:szCs w:val="24"/>
          <w:highlight w:val="none"/>
          <w:lang w:val="en"/>
          <w14:textFill>
            <w14:solidFill>
              <w14:schemeClr w14:val="tx1"/>
            </w14:solidFill>
          </w14:textFill>
        </w:rPr>
        <w:t>供应商承诺本项目建设的门锁管理系统与学校现有一卡通、宿管系统实现无缝对接，校方提供标准数据接口，供应商将对接承诺函附于响应文件中（承诺函需包含详细的对接方案能证明可以实现对接，否则不予采纳）。（对接承诺函格式附后）</w:t>
      </w:r>
    </w:p>
    <w:p>
      <w:pPr>
        <w:spacing w:line="360" w:lineRule="auto"/>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lang w:val="en"/>
          <w14:textFill>
            <w14:solidFill>
              <w14:schemeClr w14:val="tx1"/>
            </w14:solidFill>
          </w14:textFill>
        </w:rPr>
        <w:t>5.必须配备足够的维修零件用于日常维修更换。</w:t>
      </w:r>
    </w:p>
    <w:p>
      <w:pPr>
        <w:spacing w:line="360" w:lineRule="auto"/>
        <w:ind w:firstLine="480" w:firstLineChars="200"/>
        <w:rPr>
          <w:rFonts w:hint="eastAsia" w:ascii="宋体" w:hAnsi="宋体"/>
          <w:bCs/>
          <w:color w:val="000000" w:themeColor="text1"/>
          <w:sz w:val="24"/>
          <w:highlight w:val="none"/>
          <w:lang w:val="e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lang w:val="en"/>
          <w14:textFill>
            <w14:solidFill>
              <w14:schemeClr w14:val="tx1"/>
            </w14:solidFill>
          </w14:textFill>
        </w:rPr>
        <w:t>保修期或质保期：5年。质保期自验收合格之日起算。</w:t>
      </w:r>
    </w:p>
    <w:p>
      <w:pPr>
        <w:spacing w:line="360" w:lineRule="auto"/>
        <w:ind w:firstLine="480" w:firstLineChars="200"/>
        <w:rPr>
          <w:rFonts w:hint="eastAsia"/>
          <w:color w:val="000000" w:themeColor="text1"/>
          <w:highlight w:val="none"/>
          <w:lang w:val="e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w:t>
      </w:r>
      <w:r>
        <w:rPr>
          <w:rFonts w:hint="eastAsia" w:ascii="宋体" w:hAnsi="宋体"/>
          <w:bCs/>
          <w:color w:val="000000" w:themeColor="text1"/>
          <w:sz w:val="24"/>
          <w:highlight w:val="none"/>
          <w:lang w:val="en"/>
          <w14:textFill>
            <w14:solidFill>
              <w14:schemeClr w14:val="tx1"/>
            </w14:solidFill>
          </w14:textFill>
        </w:rPr>
        <w:t>质保要求：所有硬件5年免费保修（含提供、更换电池）、所有软件5年免费保修升级、电话报修后4小时上门服务、12小时内排除故障。</w:t>
      </w:r>
    </w:p>
    <w:p>
      <w:pPr>
        <w:pStyle w:val="5"/>
        <w:spacing w:before="0" w:after="0" w:line="50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四、投标样品要求：</w:t>
      </w:r>
    </w:p>
    <w:p>
      <w:pPr>
        <w:pStyle w:val="6"/>
        <w:spacing w:line="50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评审委员会根据供应商须提供的门锁实物样品（</w:t>
      </w:r>
      <w:r>
        <w:rPr>
          <w:rFonts w:hint="eastAsia" w:cs="宋体"/>
          <w:bCs/>
          <w:color w:val="000000" w:themeColor="text1"/>
          <w:sz w:val="24"/>
          <w:szCs w:val="24"/>
          <w:highlight w:val="none"/>
          <w14:textFill>
            <w14:solidFill>
              <w14:schemeClr w14:val="tx1"/>
            </w14:solidFill>
          </w14:textFill>
        </w:rPr>
        <w:t>二维码物联网智能门锁</w:t>
      </w:r>
      <w:r>
        <w:rPr>
          <w:rFonts w:hint="eastAsia" w:cs="宋体"/>
          <w:bCs/>
          <w:color w:val="000000" w:themeColor="text1"/>
          <w:sz w:val="24"/>
          <w:szCs w:val="24"/>
          <w:highlight w:val="none"/>
          <w14:textFill>
            <w14:solidFill>
              <w14:schemeClr w14:val="tx1"/>
            </w14:solidFill>
          </w14:textFill>
        </w:rPr>
        <w:t>）</w:t>
      </w:r>
    </w:p>
    <w:p>
      <w:pPr>
        <w:pStyle w:val="6"/>
        <w:spacing w:line="500" w:lineRule="exact"/>
        <w:ind w:firstLine="482"/>
        <w:rPr>
          <w:rFonts w:hint="eastAsia"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样品所有费用由供应商自行承担，中标供应商的样品将做封样处理，作为验收依据。</w:t>
      </w:r>
    </w:p>
    <w:p>
      <w:pPr>
        <w:pStyle w:val="6"/>
        <w:spacing w:line="500" w:lineRule="exact"/>
        <w:ind w:firstLine="482"/>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样品递交时间及相关注意事项：</w:t>
      </w:r>
    </w:p>
    <w:p>
      <w:pPr>
        <w:pStyle w:val="6"/>
        <w:spacing w:line="50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样品递交时间：2023年7月3日</w:t>
      </w:r>
      <w:r>
        <w:rPr>
          <w:rFonts w:hint="eastAsia" w:cs="宋体"/>
          <w:bCs/>
          <w:color w:val="000000" w:themeColor="text1"/>
          <w:sz w:val="24"/>
          <w:szCs w:val="24"/>
          <w:highlight w:val="none"/>
          <w:lang w:val="en-US" w:eastAsia="zh-CN"/>
          <w14:textFill>
            <w14:solidFill>
              <w14:schemeClr w14:val="tx1"/>
            </w14:solidFill>
          </w14:textFill>
        </w:rPr>
        <w:t>15</w:t>
      </w:r>
      <w:r>
        <w:rPr>
          <w:rFonts w:hint="eastAsia" w:cs="宋体"/>
          <w:bCs/>
          <w:color w:val="000000" w:themeColor="text1"/>
          <w:sz w:val="24"/>
          <w:szCs w:val="24"/>
          <w:highlight w:val="none"/>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0</w:t>
      </w:r>
      <w:r>
        <w:rPr>
          <w:rFonts w:hint="eastAsia" w:cs="宋体"/>
          <w:bCs/>
          <w:color w:val="000000" w:themeColor="text1"/>
          <w:sz w:val="24"/>
          <w:szCs w:val="24"/>
          <w:highlight w:val="none"/>
          <w14:textFill>
            <w14:solidFill>
              <w14:schemeClr w14:val="tx1"/>
            </w14:solidFill>
          </w14:textFill>
        </w:rPr>
        <w:t>0前。实物样品需包装及密封良好并签名加盖公章，封面需张贴本实物样品的有关标识，包括：投标单位名称、产品名称、规格、型号、封样日期、联系人及联 系方式。采购人及代理机构不接收在样品递交截止时间后递交的样品。</w:t>
      </w:r>
    </w:p>
    <w:p>
      <w:pPr>
        <w:pStyle w:val="6"/>
        <w:spacing w:line="50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样品递交地点：采购人指定位置。</w:t>
      </w:r>
    </w:p>
    <w:p>
      <w:pPr>
        <w:pStyle w:val="6"/>
        <w:spacing w:line="500" w:lineRule="exact"/>
        <w:ind w:firstLine="482"/>
        <w:rPr>
          <w:rFonts w:hint="eastAsia"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联系人：黄老师；联系电话：</w:t>
      </w:r>
      <w:r>
        <w:rPr>
          <w:rFonts w:hint="eastAsia" w:cs="宋体"/>
          <w:b/>
          <w:bCs/>
          <w:color w:val="000000" w:themeColor="text1"/>
          <w:sz w:val="24"/>
          <w:highlight w:val="none"/>
          <w14:textFill>
            <w14:solidFill>
              <w14:schemeClr w14:val="tx1"/>
            </w14:solidFill>
          </w14:textFill>
        </w:rPr>
        <w:t>18762399229</w:t>
      </w:r>
      <w:r>
        <w:rPr>
          <w:rFonts w:hint="eastAsia" w:cs="宋体"/>
          <w:b/>
          <w:bCs/>
          <w:color w:val="000000" w:themeColor="text1"/>
          <w:sz w:val="24"/>
          <w:szCs w:val="24"/>
          <w:highlight w:val="none"/>
          <w14:textFill>
            <w14:solidFill>
              <w14:schemeClr w14:val="tx1"/>
            </w14:solidFill>
          </w14:textFill>
        </w:rPr>
        <w:t>；</w:t>
      </w:r>
    </w:p>
    <w:p>
      <w:pPr>
        <w:pStyle w:val="6"/>
        <w:spacing w:line="500" w:lineRule="exact"/>
        <w:ind w:firstLine="48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样品的退还。联系人：黄老师，联系电话：1876</w:t>
      </w:r>
      <w:r>
        <w:rPr>
          <w:rFonts w:hint="eastAsia" w:cs="宋体"/>
          <w:bCs/>
          <w:color w:val="000000" w:themeColor="text1"/>
          <w:sz w:val="24"/>
          <w:szCs w:val="24"/>
          <w:highlight w:val="none"/>
          <w14:textFill>
            <w14:solidFill>
              <w14:schemeClr w14:val="tx1"/>
            </w14:solidFill>
          </w14:textFill>
        </w:rPr>
        <w:t>2399229；未中标样品在评审结束后统一由法定代表人或授权委托人自行领取退还，超过3小时未自行领取退还的，将采购人全权处置。中标人的样品由采购人进行封存，采购人应做好</w:t>
      </w:r>
      <w:bookmarkStart w:id="1" w:name="_GoBack"/>
      <w:bookmarkEnd w:id="1"/>
      <w:r>
        <w:rPr>
          <w:rFonts w:hint="eastAsia" w:cs="宋体"/>
          <w:bCs/>
          <w:color w:val="000000" w:themeColor="text1"/>
          <w:sz w:val="24"/>
          <w:szCs w:val="24"/>
          <w:highlight w:val="none"/>
          <w14:textFill>
            <w14:solidFill>
              <w14:schemeClr w14:val="tx1"/>
            </w14:solidFill>
          </w14:textFill>
        </w:rPr>
        <w:t>全工程的监督工作。</w:t>
      </w:r>
    </w:p>
    <w:p>
      <w:pPr>
        <w:pStyle w:val="5"/>
        <w:spacing w:before="0" w:after="0" w:line="500" w:lineRule="exact"/>
        <w:ind w:firstLine="482" w:firstLineChars="200"/>
        <w:jc w:val="both"/>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五、现场踏勘</w:t>
      </w:r>
    </w:p>
    <w:p>
      <w:pPr>
        <w:spacing w:line="5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必须进行现场勘察，勘察现场所发生的费用由供应商自行承担。采购人向供应商提供的有关服务现场的资料和数据，是采购人现有的能使供应商利用的资料。采购人对供应商由此而做出的推论、理解和结论概不负责。供应商未到服务现场实地踏勘的，中标后签订合同时和履约过程中，不得以不完全了解现场情况为由，提出任何形式的增加合同价款或索赔的要求。供应商自行组织现场踏勘，现场踏勘可与业主单位联系。</w:t>
      </w:r>
    </w:p>
    <w:p>
      <w:pPr>
        <w:spacing w:line="50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联系人：黄老师，联系电话：18762399229</w:t>
      </w:r>
    </w:p>
    <w:p>
      <w:pPr>
        <w:spacing w:line="500" w:lineRule="exact"/>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注：采购标的的所属行业为</w:t>
      </w:r>
      <w:r>
        <w:rPr>
          <w:rFonts w:hint="eastAsia" w:ascii="宋体" w:hAnsi="宋体" w:cs="宋体"/>
          <w:b/>
          <w:color w:val="000000" w:themeColor="text1"/>
          <w:sz w:val="24"/>
          <w:highlight w:val="none"/>
          <w:u w:val="single"/>
          <w14:textFill>
            <w14:solidFill>
              <w14:schemeClr w14:val="tx1"/>
            </w14:solidFill>
          </w14:textFill>
        </w:rPr>
        <w:t xml:space="preserve">  工业  </w:t>
      </w:r>
      <w:r>
        <w:rPr>
          <w:rFonts w:hint="eastAsia" w:ascii="宋体" w:hAnsi="宋体" w:cs="宋体"/>
          <w:b/>
          <w:color w:val="000000" w:themeColor="text1"/>
          <w:sz w:val="24"/>
          <w:highlight w:val="none"/>
          <w14:textFill>
            <w14:solidFill>
              <w14:schemeClr w14:val="tx1"/>
            </w14:solidFill>
          </w14:textFill>
        </w:rPr>
        <w:t>，根据《工业和信息化部、国家统计局、国家发展和改革委员会、财政部关于印发中小企业划型标准规定的通知》（工信部联企业[2011]300号）规定的划分标准填写。</w:t>
      </w:r>
    </w:p>
    <w:p>
      <w:pPr>
        <w:rPr>
          <w:color w:val="000000" w:themeColor="text1"/>
          <w:highlight w:val="none"/>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8D648D0"/>
    <w:rsid w:val="3C257A29"/>
    <w:rsid w:val="4B807A4A"/>
    <w:rsid w:val="5796147C"/>
    <w:rsid w:val="5A7E088E"/>
    <w:rsid w:val="5BFC68F7"/>
    <w:rsid w:val="5C4D76FA"/>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200" w:firstLineChars="200"/>
    </w:pPr>
    <w:rPr>
      <w:rFonts w:ascii="仿宋_GB2312" w:eastAsia="仿宋_GB2312"/>
      <w:kern w:val="0"/>
      <w:sz w:val="30"/>
      <w:szCs w:val="30"/>
    </w:r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6">
    <w:name w:val="BodyText1I2"/>
    <w:basedOn w:val="7"/>
    <w:qFormat/>
    <w:uiPriority w:val="0"/>
    <w:pPr>
      <w:spacing w:line="360" w:lineRule="auto"/>
      <w:ind w:firstLine="420" w:firstLineChars="200"/>
    </w:pPr>
    <w:rPr>
      <w:rFonts w:ascii="宋体" w:hAnsi="宋体" w:eastAsia="宋体"/>
      <w:sz w:val="21"/>
      <w:szCs w:val="20"/>
    </w:rPr>
  </w:style>
  <w:style w:type="paragraph" w:customStyle="1" w:styleId="7">
    <w:name w:val="BodyTextIndent"/>
    <w:basedOn w:val="1"/>
    <w:next w:val="8"/>
    <w:uiPriority w:val="0"/>
    <w:pPr>
      <w:ind w:firstLine="645"/>
    </w:pPr>
    <w:rPr>
      <w:rFonts w:ascii="楷体_GB2312" w:eastAsia="楷体_GB2312"/>
      <w:sz w:val="32"/>
      <w:szCs w:val="32"/>
    </w:rPr>
  </w:style>
  <w:style w:type="paragraph" w:customStyle="1" w:styleId="8">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4206</Words>
  <Characters>4444</Characters>
  <Lines>0</Lines>
  <Paragraphs>0</Paragraphs>
  <TotalTime>0</TotalTime>
  <ScaleCrop>false</ScaleCrop>
  <LinksUpToDate>false</LinksUpToDate>
  <CharactersWithSpaces>4457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2023-07-06T08:53:25Z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567C3DD905534D5CBE82ABB29CB728F4</vt:lpwstr>
  </property>
</Properties>
</file>