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outlineLvl w:val="1"/>
        <w:rPr>
          <w:rFonts w:hint="eastAsia" w:ascii="宋体" w:hAnsi="宋体" w:cs="宋体"/>
          <w:b/>
          <w:bCs/>
          <w:highlight w:val="none"/>
        </w:rPr>
      </w:pPr>
      <w:r>
        <w:rPr>
          <w:rFonts w:hint="eastAsia" w:ascii="宋体" w:hAnsi="宋体" w:eastAsia="宋体" w:cs="宋体"/>
          <w:b/>
          <w:sz w:val="21"/>
          <w:szCs w:val="21"/>
          <w:highlight w:val="none"/>
        </w:rPr>
        <w:t>第一部分：采购需求及参数要求</w:t>
      </w:r>
    </w:p>
    <w:p>
      <w:pPr>
        <w:pStyle w:val="9"/>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highlight w:val="none"/>
        </w:rPr>
      </w:pPr>
      <w:r>
        <w:rPr>
          <w:rFonts w:hint="eastAsia" w:ascii="宋体" w:hAnsi="宋体" w:cs="宋体"/>
          <w:b/>
          <w:bCs/>
          <w:highlight w:val="none"/>
        </w:rPr>
        <w:t>（一）基本情况</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1、拟在学校东园学生宿舍和教学楼、图书馆、行政楼等区域引入服务商投放开水设备，为学生提供开水服务。</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2、开水设备分布</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学校东园4栋学生宿舍及教学楼、图书馆、行政楼区域投放开水设备，为师生提供饮水服务。</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（1）宿舍楼：每栋楼每层布置1台开水器，每隔1层放置不少于1台步进式净化加热一体开水器；宿舍区域收费。</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（2）教学楼：布置4台，图书馆：布置1台，行政楼：布置2台，共计7台步进式净化加热一体开水器。教学楼、行政楼、图书馆区域实行免费供应直饮水，设备由投标人承担，</w:t>
      </w:r>
      <w:r>
        <w:rPr>
          <w:rFonts w:hint="eastAsia" w:ascii="宋体" w:hAnsi="宋体" w:cs="宋体"/>
          <w:b/>
          <w:bCs/>
          <w:kern w:val="3"/>
          <w:highlight w:val="none"/>
        </w:rPr>
        <w:t>日常维护（含滤芯、零件维修更换）由招标人委托投标人进行，费用由招标人承担（从应收水电费中扣除）。</w:t>
      </w:r>
      <w:r>
        <w:rPr>
          <w:rFonts w:hint="eastAsia" w:ascii="宋体" w:hAnsi="宋体" w:cs="宋体"/>
          <w:kern w:val="3"/>
          <w:highlight w:val="none"/>
        </w:rPr>
        <w:t>根据招标人实际需求增减设备。</w:t>
      </w:r>
    </w:p>
    <w:tbl>
      <w:tblPr>
        <w:tblStyle w:val="10"/>
        <w:tblW w:w="4573" w:type="pct"/>
        <w:jc w:val="center"/>
        <w:tblLayout w:type="fixed"/>
        <w:tblCellMar>
          <w:top w:w="0" w:type="dxa"/>
          <w:left w:w="108" w:type="dxa"/>
          <w:bottom w:w="0" w:type="dxa"/>
          <w:right w:w="108" w:type="dxa"/>
        </w:tblCellMar>
      </w:tblPr>
      <w:tblGrid>
        <w:gridCol w:w="977"/>
        <w:gridCol w:w="1803"/>
        <w:gridCol w:w="925"/>
        <w:gridCol w:w="2834"/>
        <w:gridCol w:w="1134"/>
        <w:gridCol w:w="1438"/>
      </w:tblGrid>
      <w:tr>
        <w:tblPrEx>
          <w:tblCellMar>
            <w:top w:w="0" w:type="dxa"/>
            <w:left w:w="108" w:type="dxa"/>
            <w:bottom w:w="0" w:type="dxa"/>
            <w:right w:w="108" w:type="dxa"/>
          </w:tblCellMar>
        </w:tblPrEx>
        <w:trPr>
          <w:trHeight w:val="1139"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zCs w:val="21"/>
                <w:highlight w:val="none"/>
              </w:rPr>
            </w:pPr>
            <w:r>
              <w:rPr>
                <w:rFonts w:hint="eastAsia" w:ascii="宋体" w:hAnsi="宋体" w:cs="宋体"/>
                <w:b/>
                <w:bCs/>
                <w:snapToGrid w:val="0"/>
                <w:szCs w:val="21"/>
                <w:highlight w:val="none"/>
              </w:rPr>
              <w:t>楼号</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zCs w:val="21"/>
                <w:highlight w:val="none"/>
              </w:rPr>
            </w:pPr>
            <w:r>
              <w:rPr>
                <w:rFonts w:hint="eastAsia" w:ascii="宋体" w:hAnsi="宋体" w:cs="宋体"/>
                <w:b/>
                <w:bCs/>
                <w:snapToGrid w:val="0"/>
                <w:szCs w:val="21"/>
                <w:highlight w:val="none"/>
              </w:rPr>
              <w:t>楼宇性质</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zCs w:val="21"/>
                <w:highlight w:val="none"/>
              </w:rPr>
            </w:pPr>
            <w:r>
              <w:rPr>
                <w:rFonts w:hint="eastAsia" w:ascii="宋体" w:hAnsi="宋体" w:cs="宋体"/>
                <w:b/>
                <w:bCs/>
                <w:snapToGrid w:val="0"/>
                <w:szCs w:val="21"/>
                <w:highlight w:val="none"/>
              </w:rPr>
              <w:t>楼层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zCs w:val="21"/>
                <w:highlight w:val="none"/>
              </w:rPr>
            </w:pPr>
            <w:r>
              <w:rPr>
                <w:rFonts w:hint="eastAsia" w:ascii="宋体" w:hAnsi="宋体" w:cs="宋体"/>
                <w:b/>
                <w:bCs/>
                <w:snapToGrid w:val="0"/>
                <w:szCs w:val="21"/>
                <w:highlight w:val="none"/>
              </w:rPr>
              <w:t>点位</w:t>
            </w:r>
          </w:p>
        </w:tc>
        <w:tc>
          <w:tcPr>
            <w:tcW w:w="6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napToGrid w:val="0"/>
                <w:szCs w:val="21"/>
                <w:highlight w:val="none"/>
              </w:rPr>
            </w:pPr>
            <w:r>
              <w:rPr>
                <w:rFonts w:hint="eastAsia" w:ascii="宋体" w:hAnsi="宋体" w:cs="宋体"/>
                <w:b/>
                <w:bCs/>
                <w:snapToGrid w:val="0"/>
                <w:szCs w:val="21"/>
                <w:highlight w:val="none"/>
              </w:rPr>
              <w:t>净化加热一体机</w:t>
            </w:r>
          </w:p>
        </w:tc>
        <w:tc>
          <w:tcPr>
            <w:tcW w:w="7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b/>
                <w:bCs/>
                <w:snapToGrid w:val="0"/>
                <w:szCs w:val="21"/>
                <w:highlight w:val="none"/>
              </w:rPr>
            </w:pPr>
            <w:r>
              <w:rPr>
                <w:rFonts w:hint="eastAsia" w:ascii="宋体" w:hAnsi="宋体" w:cs="宋体"/>
                <w:b/>
                <w:bCs/>
                <w:snapToGrid w:val="0"/>
                <w:szCs w:val="21"/>
                <w:highlight w:val="none"/>
              </w:rPr>
              <w:t>生活用水开水器（个）</w:t>
            </w:r>
          </w:p>
        </w:tc>
      </w:tr>
      <w:tr>
        <w:tblPrEx>
          <w:tblCellMar>
            <w:top w:w="0" w:type="dxa"/>
            <w:left w:w="108" w:type="dxa"/>
            <w:bottom w:w="0" w:type="dxa"/>
            <w:right w:w="108" w:type="dxa"/>
          </w:tblCellMar>
        </w:tblPrEx>
        <w:trPr>
          <w:trHeight w:val="1516"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2号楼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学生宿舍</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每隔层设置1台净化加热一体机（根据实际需要），1至6每层水房每层设一个生活用水。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3</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zCs w:val="21"/>
                <w:highlight w:val="none"/>
              </w:rPr>
              <w:t>6</w:t>
            </w:r>
          </w:p>
        </w:tc>
      </w:tr>
      <w:tr>
        <w:tblPrEx>
          <w:tblCellMar>
            <w:top w:w="0" w:type="dxa"/>
            <w:left w:w="108" w:type="dxa"/>
            <w:bottom w:w="0" w:type="dxa"/>
            <w:right w:w="108" w:type="dxa"/>
          </w:tblCellMar>
        </w:tblPrEx>
        <w:trPr>
          <w:trHeight w:val="1139"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3号楼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学生宿舍</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每隔层设置1台净化加热一体机（根据实际需要），1至6每层水房每层设一个生活用水。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3</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w:t>
            </w:r>
          </w:p>
        </w:tc>
      </w:tr>
      <w:tr>
        <w:tblPrEx>
          <w:tblCellMar>
            <w:top w:w="0" w:type="dxa"/>
            <w:left w:w="108" w:type="dxa"/>
            <w:bottom w:w="0" w:type="dxa"/>
            <w:right w:w="108" w:type="dxa"/>
          </w:tblCellMar>
        </w:tblPrEx>
        <w:trPr>
          <w:trHeight w:val="1139"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4号楼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学生宿舍</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每隔层设置1台净化加热一体机（根据实际需要），1至6每层水房每层设一个生活用水。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3</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6</w:t>
            </w:r>
          </w:p>
        </w:tc>
      </w:tr>
      <w:tr>
        <w:tblPrEx>
          <w:tblCellMar>
            <w:top w:w="0" w:type="dxa"/>
            <w:left w:w="108" w:type="dxa"/>
            <w:bottom w:w="0" w:type="dxa"/>
            <w:right w:w="108" w:type="dxa"/>
          </w:tblCellMar>
        </w:tblPrEx>
        <w:trPr>
          <w:trHeight w:val="1139"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5号楼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学生宿舍</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Style w:val="15"/>
                <w:rFonts w:hint="eastAsia"/>
                <w:snapToGrid w:val="0"/>
                <w:color w:val="auto"/>
                <w:sz w:val="21"/>
                <w:szCs w:val="21"/>
                <w:highlight w:val="none"/>
                <w:lang w:val="en-US" w:eastAsia="zh-CN"/>
              </w:rPr>
              <w:t>5</w:t>
            </w:r>
            <w:r>
              <w:rPr>
                <w:rStyle w:val="15"/>
                <w:rFonts w:hint="default"/>
                <w:snapToGrid w:val="0"/>
                <w:color w:val="auto"/>
                <w:sz w:val="21"/>
                <w:szCs w:val="21"/>
                <w:highlight w:val="none"/>
              </w:rPr>
              <w:t>层</w:t>
            </w: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每隔层设置1台净化加热一体机（根据实际需要），1至</w:t>
            </w:r>
            <w:r>
              <w:rPr>
                <w:rFonts w:hint="eastAsia" w:ascii="宋体" w:hAnsi="宋体" w:cs="宋体"/>
                <w:snapToGrid w:val="0"/>
                <w:szCs w:val="21"/>
                <w:highlight w:val="none"/>
                <w:lang w:val="en-US" w:eastAsia="zh-CN"/>
              </w:rPr>
              <w:t>5</w:t>
            </w:r>
            <w:r>
              <w:rPr>
                <w:rFonts w:hint="eastAsia" w:ascii="宋体" w:hAnsi="宋体" w:cs="宋体"/>
                <w:snapToGrid w:val="0"/>
                <w:szCs w:val="21"/>
                <w:highlight w:val="none"/>
              </w:rPr>
              <w:t>每层水房每层设一个生活用水。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2</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5</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A楼</w:t>
            </w:r>
          </w:p>
        </w:tc>
        <w:tc>
          <w:tcPr>
            <w:tcW w:w="9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教学楼</w:t>
            </w:r>
          </w:p>
        </w:tc>
        <w:tc>
          <w:tcPr>
            <w:tcW w:w="5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3层设一个直饮水处</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1</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B楼</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教学楼</w:t>
            </w: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1,3层各设一个直饮水</w:t>
            </w:r>
          </w:p>
        </w:tc>
        <w:tc>
          <w:tcPr>
            <w:tcW w:w="62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2</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D楼</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教学楼</w:t>
            </w: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4层设一个直饮水处</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1</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zCs w:val="21"/>
                <w:highlight w:val="none"/>
              </w:rPr>
              <w:t>图书馆</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2层设一个直饮水处</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r>
              <w:rPr>
                <w:rFonts w:hint="eastAsia" w:ascii="宋体" w:hAnsi="宋体" w:cs="宋体"/>
                <w:snapToGrid w:val="0"/>
                <w:szCs w:val="21"/>
                <w:highlight w:val="none"/>
              </w:rPr>
              <w:t>1</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86"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行政楼</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1,3层设各设一直饮水</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2</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394" w:hRule="atLeast"/>
          <w:jc w:val="center"/>
        </w:trPr>
        <w:tc>
          <w:tcPr>
            <w:tcW w:w="5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合计</w:t>
            </w:r>
          </w:p>
        </w:tc>
        <w:tc>
          <w:tcPr>
            <w:tcW w:w="9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p>
        </w:tc>
        <w:tc>
          <w:tcPr>
            <w:tcW w:w="5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zCs w:val="21"/>
                <w:highlight w:val="none"/>
              </w:rPr>
            </w:pPr>
          </w:p>
        </w:tc>
        <w:tc>
          <w:tcPr>
            <w:tcW w:w="155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宋体" w:hAnsi="宋体" w:cs="宋体"/>
                <w:snapToGrid w:val="0"/>
                <w:szCs w:val="21"/>
                <w:highlight w:val="none"/>
              </w:rPr>
            </w:pPr>
            <w:r>
              <w:rPr>
                <w:rFonts w:hint="eastAsia" w:ascii="宋体" w:hAnsi="宋体" w:cs="宋体"/>
                <w:snapToGrid w:val="0"/>
                <w:szCs w:val="21"/>
                <w:highlight w:val="none"/>
              </w:rPr>
              <w:t>18</w:t>
            </w:r>
          </w:p>
        </w:tc>
        <w:tc>
          <w:tcPr>
            <w:tcW w:w="7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szCs w:val="21"/>
                <w:highlight w:val="none"/>
              </w:rPr>
            </w:pPr>
            <w:r>
              <w:rPr>
                <w:rFonts w:hint="eastAsia" w:ascii="宋体" w:hAnsi="宋体" w:cs="宋体"/>
                <w:szCs w:val="21"/>
                <w:highlight w:val="none"/>
              </w:rPr>
              <w:t>23</w:t>
            </w:r>
          </w:p>
        </w:tc>
      </w:tr>
    </w:tbl>
    <w:p>
      <w:pPr>
        <w:keepNext w:val="0"/>
        <w:keepLines w:val="0"/>
        <w:pageBreakBefore w:val="0"/>
        <w:kinsoku/>
        <w:wordWrap/>
        <w:overflowPunct/>
        <w:topLinePunct w:val="0"/>
        <w:autoSpaceDE/>
        <w:autoSpaceDN/>
        <w:bidi w:val="0"/>
        <w:adjustRightInd/>
        <w:snapToGrid/>
        <w:spacing w:line="460" w:lineRule="exact"/>
        <w:ind w:firstLine="420" w:firstLineChars="200"/>
        <w:rPr>
          <w:rFonts w:ascii="宋体" w:hAnsi="宋体" w:cs="宋体"/>
          <w:szCs w:val="21"/>
          <w:highlight w:val="none"/>
        </w:rPr>
      </w:pPr>
      <w:r>
        <w:rPr>
          <w:rFonts w:hint="eastAsia" w:ascii="宋体" w:hAnsi="宋体" w:cs="宋体"/>
          <w:szCs w:val="21"/>
          <w:highlight w:val="none"/>
        </w:rPr>
        <w:t>如使用需求变化，直饮水及生活开水设备可在招标人认可的情况下根据实际使用需求酌情调整机器数量。</w:t>
      </w:r>
    </w:p>
    <w:p>
      <w:pPr>
        <w:pStyle w:val="9"/>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（二）产品技术参数</w:t>
      </w:r>
    </w:p>
    <w:p>
      <w:pPr>
        <w:pStyle w:val="9"/>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1、步进式净化加热一体开水器、生活用水开水器技术要求：</w:t>
      </w:r>
    </w:p>
    <w:p>
      <w:pPr>
        <w:pStyle w:val="9"/>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lang w:val="zh-TW"/>
        </w:rPr>
      </w:pPr>
      <w:r>
        <w:rPr>
          <w:rFonts w:hint="eastAsia" w:ascii="宋体" w:hAnsi="宋体" w:cs="宋体"/>
          <w:b/>
          <w:bCs/>
          <w:kern w:val="3"/>
          <w:highlight w:val="none"/>
          <w:lang w:val="zh-TW" w:eastAsia="zh-TW"/>
        </w:rPr>
        <w:t>（</w:t>
      </w:r>
      <w:r>
        <w:rPr>
          <w:rFonts w:hint="eastAsia" w:ascii="宋体" w:hAnsi="宋体" w:cs="宋体"/>
          <w:b/>
          <w:bCs/>
          <w:kern w:val="3"/>
          <w:highlight w:val="none"/>
        </w:rPr>
        <w:t>1</w:t>
      </w:r>
      <w:r>
        <w:rPr>
          <w:rFonts w:hint="eastAsia" w:ascii="宋体" w:hAnsi="宋体" w:cs="宋体"/>
          <w:b/>
          <w:bCs/>
          <w:kern w:val="3"/>
          <w:highlight w:val="none"/>
          <w:lang w:val="zh-TW" w:eastAsia="zh-TW"/>
        </w:rPr>
        <w:t>）步进式</w:t>
      </w:r>
      <w:r>
        <w:rPr>
          <w:rFonts w:hint="eastAsia" w:ascii="宋体" w:hAnsi="宋体" w:cs="宋体"/>
          <w:b/>
          <w:bCs/>
          <w:kern w:val="3"/>
          <w:highlight w:val="none"/>
          <w:lang w:val="zh-TW"/>
        </w:rPr>
        <w:t>净化加热一体</w:t>
      </w:r>
      <w:r>
        <w:rPr>
          <w:rFonts w:hint="eastAsia" w:ascii="宋体" w:hAnsi="宋体" w:cs="宋体"/>
          <w:b/>
          <w:bCs/>
          <w:kern w:val="3"/>
          <w:highlight w:val="none"/>
          <w:lang w:val="zh-TW" w:eastAsia="zh-TW"/>
        </w:rPr>
        <w:t>开水器技术要求</w:t>
      </w:r>
      <w:r>
        <w:rPr>
          <w:rFonts w:hint="eastAsia" w:ascii="宋体" w:hAnsi="宋体" w:cs="宋体"/>
          <w:b/>
          <w:bCs/>
          <w:kern w:val="3"/>
          <w:highlight w:val="none"/>
          <w:lang w:val="zh-TW"/>
        </w:rPr>
        <w:t>：</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rPr>
        <w:t>1）步进式净化加热一体开水器采用5级过滤反渗透工艺，不小于10寸滤芯，制水量≥400加仑，配备≥6加仑压力桶.热水箱容量≥60L.出水口不少于2个。</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w:t>
      </w:r>
      <w:r>
        <w:rPr>
          <w:rFonts w:hint="eastAsia" w:ascii="宋体" w:hAnsi="宋体" w:cs="宋体"/>
          <w:kern w:val="3"/>
          <w:highlight w:val="none"/>
          <w:lang w:val="zh-TW" w:eastAsia="zh-TW"/>
        </w:rPr>
        <w:t>）设备具有全自动智能控制定时开关机功能，可自行设定开关机时间，节能减耗。</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3</w:t>
      </w:r>
      <w:r>
        <w:rPr>
          <w:rFonts w:hint="eastAsia" w:ascii="宋体" w:hAnsi="宋体" w:cs="宋体"/>
          <w:kern w:val="3"/>
          <w:highlight w:val="none"/>
          <w:lang w:val="zh-TW" w:eastAsia="zh-TW"/>
        </w:rPr>
        <w:t>）设备具有防干烧功能，具有漏电保护功能。</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rPr>
        <w:t>4</w:t>
      </w:r>
      <w:r>
        <w:rPr>
          <w:rFonts w:hint="eastAsia" w:ascii="宋体" w:hAnsi="宋体" w:cs="宋体"/>
          <w:kern w:val="3"/>
          <w:highlight w:val="none"/>
          <w:lang w:val="zh-TW" w:eastAsia="zh-TW"/>
        </w:rPr>
        <w:t>）直饮水机要求至少</w:t>
      </w:r>
      <w:r>
        <w:rPr>
          <w:rFonts w:hint="eastAsia" w:ascii="宋体" w:hAnsi="宋体" w:cs="宋体"/>
          <w:kern w:val="3"/>
          <w:highlight w:val="none"/>
        </w:rPr>
        <w:t>1</w:t>
      </w:r>
      <w:r>
        <w:rPr>
          <w:rFonts w:hint="eastAsia" w:ascii="宋体" w:hAnsi="宋体" w:cs="宋体"/>
          <w:kern w:val="3"/>
          <w:highlight w:val="none"/>
          <w:lang w:val="zh-TW" w:eastAsia="zh-TW"/>
        </w:rPr>
        <w:t>个常温，</w:t>
      </w:r>
      <w:r>
        <w:rPr>
          <w:rFonts w:hint="eastAsia" w:ascii="宋体" w:hAnsi="宋体" w:cs="宋体"/>
          <w:kern w:val="3"/>
          <w:highlight w:val="none"/>
        </w:rPr>
        <w:t>1</w:t>
      </w:r>
      <w:r>
        <w:rPr>
          <w:rFonts w:hint="eastAsia" w:ascii="宋体" w:hAnsi="宋体" w:cs="宋体"/>
          <w:kern w:val="3"/>
          <w:highlight w:val="none"/>
          <w:lang w:val="zh-TW" w:eastAsia="zh-TW"/>
        </w:rPr>
        <w:t>个开水，满足师生在校期间的饮用水需求。</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w:t>
      </w:r>
      <w:r>
        <w:rPr>
          <w:rFonts w:hint="eastAsia" w:ascii="宋体" w:hAnsi="宋体" w:cs="宋体"/>
          <w:kern w:val="3"/>
          <w:highlight w:val="none"/>
          <w:lang w:val="zh-TW" w:eastAsia="zh-TW"/>
        </w:rPr>
        <w:t>）设备具有消毒功能（可自动消毒，可人工消毒）。</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6</w:t>
      </w:r>
      <w:r>
        <w:rPr>
          <w:rFonts w:hint="eastAsia" w:ascii="宋体" w:hAnsi="宋体" w:cs="宋体"/>
          <w:kern w:val="3"/>
          <w:highlight w:val="none"/>
          <w:lang w:val="zh-TW" w:eastAsia="zh-TW"/>
        </w:rPr>
        <w:t>）步进式加热技术，水不开无水出，防止饮用生水。</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7</w:t>
      </w:r>
      <w:r>
        <w:rPr>
          <w:rFonts w:hint="eastAsia" w:ascii="宋体" w:hAnsi="宋体" w:cs="宋体"/>
          <w:kern w:val="3"/>
          <w:highlight w:val="none"/>
          <w:lang w:val="zh-TW" w:eastAsia="zh-TW"/>
        </w:rPr>
        <w:t>）整机外壳采用</w:t>
      </w:r>
      <w:r>
        <w:rPr>
          <w:rFonts w:hint="eastAsia" w:ascii="宋体" w:hAnsi="宋体" w:cs="宋体"/>
          <w:kern w:val="3"/>
          <w:highlight w:val="none"/>
        </w:rPr>
        <w:t>304</w:t>
      </w:r>
      <w:r>
        <w:rPr>
          <w:rFonts w:hint="eastAsia" w:ascii="宋体" w:hAnsi="宋体" w:cs="宋体"/>
          <w:kern w:val="3"/>
          <w:highlight w:val="none"/>
          <w:lang w:val="zh-TW" w:eastAsia="zh-TW"/>
        </w:rPr>
        <w:t>不锈钢，涉水部分采用</w:t>
      </w:r>
      <w:r>
        <w:rPr>
          <w:rFonts w:hint="eastAsia" w:ascii="宋体" w:hAnsi="宋体" w:cs="宋体"/>
          <w:kern w:val="3"/>
          <w:highlight w:val="none"/>
        </w:rPr>
        <w:t>316</w:t>
      </w:r>
      <w:r>
        <w:rPr>
          <w:rFonts w:hint="eastAsia" w:ascii="宋体" w:hAnsi="宋体" w:cs="宋体"/>
          <w:kern w:val="3"/>
          <w:highlight w:val="none"/>
          <w:lang w:val="zh-TW" w:eastAsia="zh-TW"/>
        </w:rPr>
        <w:t>不锈钢。</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8</w:t>
      </w:r>
      <w:r>
        <w:rPr>
          <w:rFonts w:hint="eastAsia" w:ascii="宋体" w:hAnsi="宋体" w:cs="宋体"/>
          <w:kern w:val="3"/>
          <w:highlight w:val="none"/>
          <w:lang w:val="zh-TW" w:eastAsia="zh-TW"/>
        </w:rPr>
        <w:t>）液晶显示：有水位、温度、故障报警、时间、运行状态等显示。</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rPr>
        <w:t>9</w:t>
      </w:r>
      <w:r>
        <w:rPr>
          <w:rFonts w:hint="eastAsia" w:ascii="宋体" w:hAnsi="宋体" w:cs="宋体"/>
          <w:kern w:val="3"/>
          <w:highlight w:val="none"/>
          <w:lang w:val="zh-TW" w:eastAsia="zh-TW"/>
        </w:rPr>
        <w:t>）具有缺水保护功能并发出警报声，具有防干烧功能，具有漏电保护功能开水温度可根据需求设定。</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10</w:t>
      </w:r>
      <w:r>
        <w:rPr>
          <w:rFonts w:hint="eastAsia" w:ascii="宋体" w:hAnsi="宋体" w:cs="宋体"/>
          <w:kern w:val="3"/>
          <w:highlight w:val="none"/>
          <w:lang w:val="zh-TW" w:eastAsia="zh-TW"/>
        </w:rPr>
        <w:t>）直饮水设备功能标准：全自动智能控制定时开关机，做到节能减耗；具有缺水保护功能并发出警报声；所有设备必须具远程控制功能，实时显示设备运行情况及数据显示，如报修功能、报警功能、销售数据等</w:t>
      </w:r>
      <w:r>
        <w:rPr>
          <w:rFonts w:hint="eastAsia" w:ascii="宋体" w:hAnsi="宋体" w:cs="宋体"/>
          <w:kern w:val="3"/>
          <w:highlight w:val="none"/>
          <w:lang w:val="zh-TW"/>
        </w:rPr>
        <w:t>。</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rPr>
        <w:t>11</w:t>
      </w:r>
      <w:r>
        <w:rPr>
          <w:rFonts w:hint="eastAsia" w:ascii="宋体" w:hAnsi="宋体" w:cs="宋体"/>
          <w:kern w:val="3"/>
          <w:highlight w:val="none"/>
          <w:lang w:val="zh-TW" w:eastAsia="zh-TW"/>
        </w:rPr>
        <w:t>）内部采用全封闭管路。</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12</w:t>
      </w:r>
      <w:r>
        <w:rPr>
          <w:rFonts w:hint="eastAsia" w:ascii="宋体" w:hAnsi="宋体" w:cs="宋体"/>
          <w:kern w:val="3"/>
          <w:highlight w:val="none"/>
          <w:lang w:val="zh-TW" w:eastAsia="zh-TW"/>
        </w:rPr>
        <w:t>）流量式计量方式，计量要精准。</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13</w:t>
      </w:r>
      <w:r>
        <w:rPr>
          <w:rFonts w:hint="eastAsia" w:ascii="宋体" w:hAnsi="宋体" w:cs="宋体"/>
          <w:kern w:val="3"/>
          <w:highlight w:val="none"/>
          <w:lang w:val="zh-TW" w:eastAsia="zh-TW"/>
        </w:rPr>
        <w:t>）学校提供</w:t>
      </w:r>
      <w:r>
        <w:rPr>
          <w:rFonts w:hint="eastAsia" w:ascii="宋体" w:hAnsi="宋体" w:cs="宋体"/>
          <w:kern w:val="3"/>
          <w:highlight w:val="none"/>
          <w:lang w:val="zh-TW"/>
        </w:rPr>
        <w:t>安装</w:t>
      </w:r>
      <w:r>
        <w:rPr>
          <w:rFonts w:hint="eastAsia" w:ascii="宋体" w:hAnsi="宋体" w:cs="宋体"/>
          <w:kern w:val="3"/>
          <w:highlight w:val="none"/>
          <w:lang w:val="zh-TW" w:eastAsia="zh-TW"/>
        </w:rPr>
        <w:t>场地，水源、电源。设备安放位置，由中标</w:t>
      </w:r>
      <w:r>
        <w:rPr>
          <w:rFonts w:hint="eastAsia" w:ascii="宋体" w:hAnsi="宋体" w:cs="宋体"/>
          <w:kern w:val="3"/>
          <w:highlight w:val="none"/>
          <w:lang w:val="zh-TW"/>
        </w:rPr>
        <w:t>人</w:t>
      </w:r>
      <w:r>
        <w:rPr>
          <w:rFonts w:hint="eastAsia" w:ascii="宋体" w:hAnsi="宋体" w:cs="宋体"/>
          <w:kern w:val="3"/>
          <w:highlight w:val="none"/>
          <w:lang w:val="zh-TW" w:eastAsia="zh-TW"/>
        </w:rPr>
        <w:t>按照校方要求施工并安装计量表具</w:t>
      </w:r>
      <w:r>
        <w:rPr>
          <w:rFonts w:hint="eastAsia" w:ascii="宋体" w:hAnsi="宋体" w:cs="宋体"/>
          <w:kern w:val="3"/>
          <w:highlight w:val="none"/>
          <w:lang w:val="zh-TW"/>
        </w:rPr>
        <w:t>。</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14）须具有</w:t>
      </w:r>
      <w:r>
        <w:rPr>
          <w:rFonts w:hint="eastAsia" w:ascii="宋体" w:hAnsi="宋体" w:cs="宋体"/>
          <w:kern w:val="3"/>
          <w:highlight w:val="none"/>
          <w:lang w:val="zh-TW" w:eastAsia="zh-TW"/>
        </w:rPr>
        <w:t>《涉及饮用水卫生安全产品卫生许可批件》</w:t>
      </w:r>
      <w:r>
        <w:rPr>
          <w:rFonts w:hint="eastAsia" w:ascii="宋体" w:hAnsi="宋体" w:cs="宋体"/>
          <w:kern w:val="3"/>
          <w:highlight w:val="none"/>
          <w:lang w:val="zh-TW"/>
        </w:rPr>
        <w:t>。</w:t>
      </w:r>
    </w:p>
    <w:p>
      <w:pPr>
        <w:pStyle w:val="9"/>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lang w:val="zh-TW" w:eastAsia="zh-TW"/>
        </w:rPr>
      </w:pPr>
      <w:r>
        <w:rPr>
          <w:rFonts w:hint="eastAsia" w:ascii="宋体" w:hAnsi="宋体" w:cs="宋体"/>
          <w:b/>
          <w:bCs/>
          <w:kern w:val="3"/>
          <w:highlight w:val="none"/>
          <w:lang w:val="zh-TW" w:eastAsia="zh-TW"/>
        </w:rPr>
        <w:t>（</w:t>
      </w:r>
      <w:r>
        <w:rPr>
          <w:rFonts w:hint="eastAsia" w:ascii="宋体" w:hAnsi="宋体" w:cs="宋体"/>
          <w:b/>
          <w:bCs/>
          <w:kern w:val="3"/>
          <w:highlight w:val="none"/>
        </w:rPr>
        <w:t>2</w:t>
      </w:r>
      <w:r>
        <w:rPr>
          <w:rFonts w:hint="eastAsia" w:ascii="宋体" w:hAnsi="宋体" w:cs="宋体"/>
          <w:b/>
          <w:bCs/>
          <w:kern w:val="3"/>
          <w:highlight w:val="none"/>
          <w:lang w:val="zh-TW" w:eastAsia="zh-TW"/>
        </w:rPr>
        <w:t>）</w:t>
      </w:r>
      <w:r>
        <w:rPr>
          <w:rFonts w:hint="eastAsia" w:ascii="宋体" w:hAnsi="宋体" w:cs="宋体"/>
          <w:b/>
          <w:bCs/>
          <w:kern w:val="3"/>
          <w:highlight w:val="none"/>
        </w:rPr>
        <w:t>生活用水开水器</w:t>
      </w:r>
      <w:r>
        <w:rPr>
          <w:rFonts w:hint="eastAsia" w:ascii="宋体" w:hAnsi="宋体" w:cs="宋体"/>
          <w:b/>
          <w:bCs/>
          <w:kern w:val="3"/>
          <w:highlight w:val="none"/>
          <w:lang w:val="zh-TW" w:eastAsia="zh-TW"/>
        </w:rPr>
        <w:t>技术要求</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w:t>
      </w:r>
      <w:r>
        <w:rPr>
          <w:rFonts w:hint="eastAsia" w:ascii="宋体" w:hAnsi="宋体" w:cs="宋体"/>
          <w:kern w:val="3"/>
          <w:highlight w:val="none"/>
          <w:lang w:val="zh-TW" w:eastAsia="zh-TW"/>
        </w:rPr>
        <w:t>）设备具有全自动智能控制定时开关机功能，可自行设定开关机时间，节能减耗。</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w:t>
      </w:r>
      <w:r>
        <w:rPr>
          <w:rFonts w:hint="eastAsia" w:ascii="宋体" w:hAnsi="宋体" w:cs="宋体"/>
          <w:kern w:val="3"/>
          <w:highlight w:val="none"/>
          <w:lang w:val="zh-TW" w:eastAsia="zh-TW"/>
        </w:rPr>
        <w:t>）设备具有防干烧功能，具有漏电保护功能。</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lang w:val="zh-TW" w:eastAsia="zh-TW"/>
        </w:rPr>
        <w:t>3）水机要求至少</w:t>
      </w:r>
      <w:r>
        <w:rPr>
          <w:rFonts w:hint="eastAsia" w:ascii="宋体" w:hAnsi="宋体" w:cs="宋体"/>
          <w:kern w:val="3"/>
          <w:highlight w:val="none"/>
        </w:rPr>
        <w:t>2</w:t>
      </w:r>
      <w:r>
        <w:rPr>
          <w:rFonts w:hint="eastAsia" w:ascii="宋体" w:hAnsi="宋体" w:cs="宋体"/>
          <w:kern w:val="3"/>
          <w:highlight w:val="none"/>
          <w:lang w:val="zh-TW" w:eastAsia="zh-TW"/>
        </w:rPr>
        <w:t>个</w:t>
      </w:r>
      <w:r>
        <w:rPr>
          <w:rFonts w:hint="eastAsia" w:ascii="宋体" w:hAnsi="宋体" w:cs="宋体"/>
          <w:kern w:val="3"/>
          <w:highlight w:val="none"/>
        </w:rPr>
        <w:t>水嘴</w:t>
      </w:r>
      <w:r>
        <w:rPr>
          <w:rFonts w:hint="eastAsia" w:ascii="宋体" w:hAnsi="宋体" w:cs="宋体"/>
          <w:kern w:val="3"/>
          <w:highlight w:val="none"/>
          <w:lang w:val="zh-TW" w:eastAsia="zh-TW"/>
        </w:rPr>
        <w:t>，满足师生在校期间的</w:t>
      </w:r>
      <w:r>
        <w:rPr>
          <w:rFonts w:hint="eastAsia" w:ascii="宋体" w:hAnsi="宋体" w:cs="宋体"/>
          <w:kern w:val="3"/>
          <w:highlight w:val="none"/>
          <w:lang w:val="zh-TW"/>
        </w:rPr>
        <w:t>生活</w:t>
      </w:r>
      <w:r>
        <w:rPr>
          <w:rFonts w:hint="eastAsia" w:ascii="宋体" w:hAnsi="宋体" w:cs="宋体"/>
          <w:kern w:val="3"/>
          <w:highlight w:val="none"/>
          <w:lang w:val="zh-TW" w:eastAsia="zh-TW"/>
        </w:rPr>
        <w:t>用水需求。</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4</w:t>
      </w:r>
      <w:r>
        <w:rPr>
          <w:rFonts w:hint="eastAsia" w:ascii="宋体" w:hAnsi="宋体" w:cs="宋体"/>
          <w:kern w:val="3"/>
          <w:highlight w:val="none"/>
          <w:lang w:val="zh-TW" w:eastAsia="zh-TW"/>
        </w:rPr>
        <w:t>）设备具有消毒功能（可自动消毒，可人工消毒）。</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w:t>
      </w:r>
      <w:r>
        <w:rPr>
          <w:rFonts w:hint="eastAsia" w:ascii="宋体" w:hAnsi="宋体" w:cs="宋体"/>
          <w:kern w:val="3"/>
          <w:highlight w:val="none"/>
          <w:lang w:val="zh-TW" w:eastAsia="zh-TW"/>
        </w:rPr>
        <w:t>）</w:t>
      </w:r>
      <w:r>
        <w:rPr>
          <w:rFonts w:hint="eastAsia" w:ascii="宋体" w:hAnsi="宋体" w:cs="宋体"/>
          <w:kern w:val="3"/>
          <w:highlight w:val="none"/>
          <w:lang w:val="zh-TW"/>
        </w:rPr>
        <w:t>出水温度</w:t>
      </w:r>
      <w:r>
        <w:rPr>
          <w:rFonts w:hint="eastAsia" w:ascii="宋体" w:hAnsi="宋体" w:cs="宋体"/>
          <w:kern w:val="3"/>
          <w:highlight w:val="none"/>
        </w:rPr>
        <w:t>100°。</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6</w:t>
      </w:r>
      <w:r>
        <w:rPr>
          <w:rFonts w:hint="eastAsia" w:ascii="宋体" w:hAnsi="宋体" w:cs="宋体"/>
          <w:kern w:val="3"/>
          <w:highlight w:val="none"/>
          <w:lang w:val="zh-TW" w:eastAsia="zh-TW"/>
        </w:rPr>
        <w:t>）整机外壳采用</w:t>
      </w:r>
      <w:r>
        <w:rPr>
          <w:rFonts w:hint="eastAsia" w:ascii="宋体" w:hAnsi="宋体" w:cs="宋体"/>
          <w:kern w:val="3"/>
          <w:highlight w:val="none"/>
        </w:rPr>
        <w:t>304</w:t>
      </w:r>
      <w:r>
        <w:rPr>
          <w:rFonts w:hint="eastAsia" w:ascii="宋体" w:hAnsi="宋体" w:cs="宋体"/>
          <w:kern w:val="3"/>
          <w:highlight w:val="none"/>
          <w:lang w:val="zh-TW" w:eastAsia="zh-TW"/>
        </w:rPr>
        <w:t>不锈钢，涉水部分采用</w:t>
      </w:r>
      <w:r>
        <w:rPr>
          <w:rFonts w:hint="eastAsia" w:ascii="宋体" w:hAnsi="宋体" w:cs="宋体"/>
          <w:kern w:val="3"/>
          <w:highlight w:val="none"/>
        </w:rPr>
        <w:t>316</w:t>
      </w:r>
      <w:r>
        <w:rPr>
          <w:rFonts w:hint="eastAsia" w:ascii="宋体" w:hAnsi="宋体" w:cs="宋体"/>
          <w:kern w:val="3"/>
          <w:highlight w:val="none"/>
          <w:lang w:val="zh-TW" w:eastAsia="zh-TW"/>
        </w:rPr>
        <w:t>不锈钢。</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7</w:t>
      </w:r>
      <w:r>
        <w:rPr>
          <w:rFonts w:hint="eastAsia" w:ascii="宋体" w:hAnsi="宋体" w:cs="宋体"/>
          <w:kern w:val="3"/>
          <w:highlight w:val="none"/>
          <w:lang w:val="zh-TW" w:eastAsia="zh-TW"/>
        </w:rPr>
        <w:t>）液晶显示：有水位、温度、故障报警、时间、运行状态等显示。</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8</w:t>
      </w:r>
      <w:r>
        <w:rPr>
          <w:rFonts w:hint="eastAsia" w:ascii="宋体" w:hAnsi="宋体" w:cs="宋体"/>
          <w:kern w:val="3"/>
          <w:highlight w:val="none"/>
          <w:lang w:val="zh-TW" w:eastAsia="zh-TW"/>
        </w:rPr>
        <w:t>）设备功能标准：全自动智能控制定时开关机，做到节能减耗；所有设备必须具远程控制功能，实时显示设备运行情况及数据显示，如报修功能、报警功能、销售数据等，</w:t>
      </w:r>
      <w:r>
        <w:rPr>
          <w:rFonts w:hint="eastAsia" w:ascii="宋体" w:hAnsi="宋体" w:cs="宋体"/>
          <w:kern w:val="3"/>
          <w:highlight w:val="none"/>
          <w:lang w:val="zh-TW"/>
        </w:rPr>
        <w:t>招标人</w:t>
      </w:r>
      <w:r>
        <w:rPr>
          <w:rFonts w:hint="eastAsia" w:ascii="宋体" w:hAnsi="宋体" w:cs="宋体"/>
          <w:kern w:val="3"/>
          <w:highlight w:val="none"/>
          <w:lang w:val="zh-TW" w:eastAsia="zh-TW"/>
        </w:rPr>
        <w:t>开通监测账号，进行实时监测。</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9</w:t>
      </w:r>
      <w:r>
        <w:rPr>
          <w:rFonts w:hint="eastAsia" w:ascii="宋体" w:hAnsi="宋体" w:cs="宋体"/>
          <w:kern w:val="3"/>
          <w:highlight w:val="none"/>
          <w:lang w:val="zh-TW" w:eastAsia="zh-TW"/>
        </w:rPr>
        <w:t>）内部采用全封闭管路。根据人体工程学设计，适合不同身高，水咀与平台间可放置</w:t>
      </w:r>
      <w:r>
        <w:rPr>
          <w:rFonts w:hint="eastAsia" w:ascii="宋体" w:hAnsi="宋体" w:cs="宋体"/>
          <w:kern w:val="3"/>
          <w:highlight w:val="none"/>
        </w:rPr>
        <w:t>3.2L</w:t>
      </w:r>
      <w:r>
        <w:rPr>
          <w:rFonts w:hint="eastAsia" w:ascii="宋体" w:hAnsi="宋体" w:cs="宋体"/>
          <w:kern w:val="3"/>
          <w:highlight w:val="none"/>
          <w:lang w:val="zh-TW" w:eastAsia="zh-TW"/>
        </w:rPr>
        <w:t>暖水瓶。</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10</w:t>
      </w:r>
      <w:r>
        <w:rPr>
          <w:rFonts w:hint="eastAsia" w:ascii="宋体" w:hAnsi="宋体" w:cs="宋体"/>
          <w:kern w:val="3"/>
          <w:highlight w:val="none"/>
          <w:lang w:val="zh-TW" w:eastAsia="zh-TW"/>
        </w:rPr>
        <w:t>）流量式计量方式，计量要精准。</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11</w:t>
      </w:r>
      <w:r>
        <w:rPr>
          <w:rFonts w:hint="eastAsia" w:ascii="宋体" w:hAnsi="宋体" w:cs="宋体"/>
          <w:kern w:val="3"/>
          <w:highlight w:val="none"/>
          <w:lang w:val="zh-TW" w:eastAsia="zh-TW"/>
        </w:rPr>
        <w:t>）为保证学生集中取水，设备须采用单体加热水箱，热水箱的额定容积不得小于</w:t>
      </w:r>
      <w:r>
        <w:rPr>
          <w:rFonts w:hint="eastAsia" w:ascii="宋体" w:hAnsi="宋体" w:cs="宋体"/>
          <w:kern w:val="3"/>
          <w:highlight w:val="none"/>
        </w:rPr>
        <w:t>60L</w:t>
      </w:r>
      <w:r>
        <w:rPr>
          <w:rFonts w:hint="eastAsia" w:ascii="宋体" w:hAnsi="宋体" w:cs="宋体"/>
          <w:kern w:val="3"/>
          <w:highlight w:val="none"/>
          <w:lang w:val="zh-TW"/>
        </w:rPr>
        <w:t>。</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12</w:t>
      </w:r>
      <w:r>
        <w:rPr>
          <w:rFonts w:hint="eastAsia" w:ascii="宋体" w:hAnsi="宋体" w:cs="宋体"/>
          <w:kern w:val="3"/>
          <w:highlight w:val="none"/>
          <w:lang w:val="zh-TW" w:eastAsia="zh-TW"/>
        </w:rPr>
        <w:t>）</w:t>
      </w:r>
      <w:r>
        <w:rPr>
          <w:rFonts w:hint="eastAsia" w:ascii="宋体" w:hAnsi="宋体" w:cs="宋体"/>
          <w:kern w:val="3"/>
          <w:highlight w:val="none"/>
          <w:lang w:val="zh-TW"/>
        </w:rPr>
        <w:t>招标人</w:t>
      </w:r>
      <w:r>
        <w:rPr>
          <w:rFonts w:hint="eastAsia" w:ascii="宋体" w:hAnsi="宋体" w:cs="宋体"/>
          <w:kern w:val="3"/>
          <w:highlight w:val="none"/>
          <w:lang w:val="zh-TW" w:eastAsia="zh-TW"/>
        </w:rPr>
        <w:t>提供</w:t>
      </w:r>
      <w:r>
        <w:rPr>
          <w:rFonts w:hint="eastAsia" w:ascii="宋体" w:hAnsi="宋体" w:cs="宋体"/>
          <w:kern w:val="3"/>
          <w:highlight w:val="none"/>
          <w:lang w:val="zh-TW"/>
        </w:rPr>
        <w:t>安装</w:t>
      </w:r>
      <w:r>
        <w:rPr>
          <w:rFonts w:hint="eastAsia" w:ascii="宋体" w:hAnsi="宋体" w:cs="宋体"/>
          <w:kern w:val="3"/>
          <w:highlight w:val="none"/>
          <w:lang w:val="zh-TW" w:eastAsia="zh-TW"/>
        </w:rPr>
        <w:t>场地，水源、电源。设备安放位置，由</w:t>
      </w:r>
      <w:r>
        <w:rPr>
          <w:rFonts w:hint="eastAsia" w:ascii="宋体" w:hAnsi="宋体" w:cs="宋体"/>
          <w:kern w:val="3"/>
          <w:highlight w:val="none"/>
        </w:rPr>
        <w:t>投标人</w:t>
      </w:r>
      <w:r>
        <w:rPr>
          <w:rFonts w:hint="eastAsia" w:ascii="宋体" w:hAnsi="宋体" w:cs="宋体"/>
          <w:kern w:val="3"/>
          <w:highlight w:val="none"/>
          <w:lang w:val="zh-TW" w:eastAsia="zh-TW"/>
        </w:rPr>
        <w:t>按照</w:t>
      </w:r>
      <w:r>
        <w:rPr>
          <w:rFonts w:hint="eastAsia" w:ascii="宋体" w:hAnsi="宋体" w:cs="宋体"/>
          <w:kern w:val="3"/>
          <w:highlight w:val="none"/>
          <w:lang w:val="zh-TW"/>
        </w:rPr>
        <w:t>招标人</w:t>
      </w:r>
      <w:r>
        <w:rPr>
          <w:rFonts w:hint="eastAsia" w:ascii="宋体" w:hAnsi="宋体" w:cs="宋体"/>
          <w:kern w:val="3"/>
          <w:highlight w:val="none"/>
          <w:lang w:val="zh-TW" w:eastAsia="zh-TW"/>
        </w:rPr>
        <w:t>要求施工并安装计量表具</w:t>
      </w:r>
      <w:r>
        <w:rPr>
          <w:rFonts w:hint="eastAsia" w:ascii="宋体" w:hAnsi="宋体" w:cs="宋体"/>
          <w:kern w:val="3"/>
          <w:highlight w:val="none"/>
          <w:lang w:val="zh-TW"/>
        </w:rPr>
        <w:t>。</w:t>
      </w:r>
    </w:p>
    <w:p>
      <w:pPr>
        <w:pStyle w:val="9"/>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2、供水要求</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（1）水质要求：要求水质符合相关的直饮水国家标准、规范及规定等。</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（2）双方签订合同、合同附件、招标文件及直饮水其他相关标准、规范及规定。</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rPr>
      </w:pPr>
      <w:r>
        <w:rPr>
          <w:rFonts w:hint="eastAsia" w:ascii="宋体" w:hAnsi="宋体" w:cs="宋体"/>
          <w:kern w:val="3"/>
          <w:highlight w:val="none"/>
        </w:rPr>
        <w:t>（3）需支持微信、支付宝等收费方式，便于学生用水。</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lang w:val="zh-TW" w:eastAsia="zh-TW"/>
        </w:rPr>
      </w:pPr>
      <w:r>
        <w:rPr>
          <w:rFonts w:hint="eastAsia" w:ascii="宋体" w:hAnsi="宋体" w:cs="宋体"/>
          <w:kern w:val="3"/>
          <w:highlight w:val="none"/>
          <w:lang w:val="zh-TW" w:eastAsia="zh-TW"/>
        </w:rPr>
        <w:t>（</w:t>
      </w:r>
      <w:r>
        <w:rPr>
          <w:rFonts w:hint="eastAsia" w:ascii="宋体" w:hAnsi="宋体" w:cs="宋体"/>
          <w:kern w:val="3"/>
          <w:highlight w:val="none"/>
        </w:rPr>
        <w:t>4</w:t>
      </w:r>
      <w:r>
        <w:rPr>
          <w:rFonts w:hint="eastAsia" w:ascii="宋体" w:hAnsi="宋体" w:cs="宋体"/>
          <w:kern w:val="3"/>
          <w:highlight w:val="none"/>
          <w:lang w:val="zh-TW" w:eastAsia="zh-TW"/>
        </w:rPr>
        <w:t>）</w:t>
      </w:r>
      <w:r>
        <w:rPr>
          <w:rFonts w:hint="eastAsia" w:ascii="宋体" w:hAnsi="宋体" w:cs="宋体"/>
          <w:kern w:val="3"/>
          <w:highlight w:val="none"/>
        </w:rPr>
        <w:t>投标人</w:t>
      </w:r>
      <w:r>
        <w:rPr>
          <w:rFonts w:hint="eastAsia" w:ascii="宋体" w:hAnsi="宋体" w:cs="宋体"/>
          <w:kern w:val="3"/>
          <w:highlight w:val="none"/>
          <w:lang w:val="zh-TW" w:eastAsia="zh-TW"/>
        </w:rPr>
        <w:t>保证出现问题后</w:t>
      </w:r>
      <w:r>
        <w:rPr>
          <w:rFonts w:hint="eastAsia" w:ascii="宋体" w:hAnsi="宋体" w:cs="宋体"/>
          <w:kern w:val="3"/>
          <w:highlight w:val="none"/>
        </w:rPr>
        <w:t>1</w:t>
      </w:r>
      <w:r>
        <w:rPr>
          <w:rFonts w:hint="eastAsia" w:ascii="宋体" w:hAnsi="宋体" w:cs="宋体"/>
          <w:kern w:val="3"/>
          <w:highlight w:val="none"/>
          <w:lang w:val="zh-TW" w:eastAsia="zh-TW"/>
        </w:rPr>
        <w:t>小时内可以到现场，</w:t>
      </w:r>
      <w:r>
        <w:rPr>
          <w:rFonts w:hint="eastAsia" w:ascii="宋体" w:hAnsi="宋体" w:cs="宋体"/>
          <w:kern w:val="3"/>
          <w:highlight w:val="none"/>
        </w:rPr>
        <w:t>24</w:t>
      </w:r>
      <w:r>
        <w:rPr>
          <w:rFonts w:hint="eastAsia" w:ascii="宋体" w:hAnsi="宋体" w:cs="宋体"/>
          <w:kern w:val="3"/>
          <w:highlight w:val="none"/>
          <w:lang w:val="zh-TW" w:eastAsia="zh-TW"/>
        </w:rPr>
        <w:t>小时内解决所有问题。</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（5）无产权和知识产权等纠纷的正品。</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（6）能满足师生饮用水需求。</w:t>
      </w:r>
    </w:p>
    <w:p>
      <w:pPr>
        <w:pStyle w:val="9"/>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3、运行要求</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（1）主机净化设备、步进式开水器及相关设备设施按照国家标准规范进行维护，定期更换过滤装置等易耗件，确保水质质量。</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（2）投标人配备有专业管理及维护维修人员至少1人。</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（3）运行期间人员，直饮水机购置、运输、安装、运行、维护、保养、维修、消毒、置换、用电、经营等所有费用由中标方自行承担；设备运行出现故障，须在24小时内维修完毕。水电费</w:t>
      </w:r>
      <w:r>
        <w:rPr>
          <w:rFonts w:hint="eastAsia" w:ascii="宋体" w:hAnsi="宋体" w:cs="宋体"/>
          <w:b/>
          <w:bCs/>
          <w:kern w:val="3"/>
          <w:highlight w:val="none"/>
        </w:rPr>
        <w:t>（宿舍区域，其他免费供水区域不收费）</w:t>
      </w:r>
      <w:r>
        <w:rPr>
          <w:rFonts w:hint="eastAsia" w:ascii="宋体" w:hAnsi="宋体" w:cs="宋体"/>
          <w:kern w:val="3"/>
          <w:highlight w:val="none"/>
        </w:rPr>
        <w:t>按学校上缴地方水务部门、电力部门标准收取并随驻地收费标准调整，水费3.15元/吨，电费0.52元/度。</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lang w:val="zh-TW" w:eastAsia="zh-TW"/>
        </w:rPr>
        <w:t>（</w:t>
      </w:r>
      <w:r>
        <w:rPr>
          <w:rFonts w:hint="eastAsia" w:ascii="宋体" w:hAnsi="宋体" w:cs="宋体"/>
          <w:kern w:val="3"/>
          <w:highlight w:val="none"/>
        </w:rPr>
        <w:t>4</w:t>
      </w:r>
      <w:r>
        <w:rPr>
          <w:rFonts w:hint="eastAsia" w:ascii="宋体" w:hAnsi="宋体" w:cs="宋体"/>
          <w:kern w:val="3"/>
          <w:highlight w:val="none"/>
          <w:lang w:val="zh-TW" w:eastAsia="zh-TW"/>
        </w:rPr>
        <w:t>）</w:t>
      </w:r>
      <w:r>
        <w:rPr>
          <w:rFonts w:hint="eastAsia" w:ascii="宋体" w:hAnsi="宋体" w:cs="宋体"/>
          <w:kern w:val="3"/>
          <w:highlight w:val="none"/>
        </w:rPr>
        <w:t>收费形式：</w:t>
      </w:r>
      <w:r>
        <w:rPr>
          <w:rFonts w:hint="eastAsia" w:ascii="宋体" w:hAnsi="宋体" w:cs="宋体"/>
          <w:kern w:val="3"/>
          <w:highlight w:val="none"/>
          <w:lang w:val="zh-TW" w:eastAsia="zh-TW"/>
        </w:rPr>
        <w:t>所销售</w:t>
      </w:r>
      <w:r>
        <w:rPr>
          <w:rFonts w:hint="eastAsia" w:ascii="宋体" w:hAnsi="宋体" w:cs="宋体"/>
          <w:kern w:val="3"/>
          <w:highlight w:val="none"/>
          <w:lang w:val="zh-TW"/>
        </w:rPr>
        <w:t>直饮水</w:t>
      </w:r>
      <w:r>
        <w:rPr>
          <w:rFonts w:hint="eastAsia" w:ascii="宋体" w:hAnsi="宋体" w:cs="宋体"/>
          <w:kern w:val="3"/>
          <w:highlight w:val="none"/>
          <w:lang w:val="zh-TW" w:eastAsia="zh-TW"/>
        </w:rPr>
        <w:t>收费标准按中标金额执行</w:t>
      </w:r>
      <w:r>
        <w:rPr>
          <w:rFonts w:hint="eastAsia" w:ascii="宋体" w:hAnsi="宋体" w:cs="宋体"/>
          <w:kern w:val="3"/>
          <w:highlight w:val="none"/>
          <w:lang w:val="zh-TW"/>
        </w:rPr>
        <w:t>。</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b/>
          <w:bCs/>
          <w:kern w:val="3"/>
          <w:highlight w:val="none"/>
        </w:rPr>
      </w:pPr>
      <w:r>
        <w:rPr>
          <w:rFonts w:hint="eastAsia" w:ascii="宋体" w:hAnsi="宋体" w:cs="宋体"/>
          <w:kern w:val="3"/>
          <w:highlight w:val="none"/>
        </w:rPr>
        <w:t>（5）</w:t>
      </w:r>
      <w:r>
        <w:rPr>
          <w:rFonts w:hint="eastAsia" w:ascii="宋体" w:hAnsi="宋体" w:cs="宋体"/>
          <w:b/>
          <w:bCs/>
          <w:kern w:val="3"/>
          <w:highlight w:val="none"/>
        </w:rPr>
        <w:t>要求投标人在合同期内每个学期向学校提供1次由第三方具有相关检测资质的检测机构出具的水质检测报告。如需办理卫生许可等证件，由投标人办理，招标人不承担任何费用。（投标时需提供承诺函，格式自拟，并在签订合同时作为附件提供。）</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注：以上要求均为重要指标，投标人必须完全响应，否则视为投标文件无效。</w:t>
      </w:r>
    </w:p>
    <w:p>
      <w:pPr>
        <w:keepNext w:val="0"/>
        <w:keepLines w:val="0"/>
        <w:pageBreakBefore w:val="0"/>
        <w:kinsoku/>
        <w:wordWrap/>
        <w:overflowPunct/>
        <w:topLinePunct w:val="0"/>
        <w:autoSpaceDE/>
        <w:autoSpaceDN/>
        <w:bidi w:val="0"/>
        <w:adjustRightInd/>
        <w:snapToGrid/>
        <w:spacing w:line="460" w:lineRule="exact"/>
        <w:rPr>
          <w:rFonts w:ascii="宋体" w:hAnsi="宋体" w:cs="宋体"/>
          <w:kern w:val="3"/>
          <w:highlight w:val="none"/>
        </w:rPr>
      </w:pPr>
      <w:r>
        <w:rPr>
          <w:rFonts w:hint="eastAsia" w:ascii="宋体" w:hAnsi="宋体" w:cs="宋体"/>
          <w:b/>
          <w:bCs/>
          <w:szCs w:val="21"/>
          <w:highlight w:val="none"/>
        </w:rPr>
        <w:t>（三）</w:t>
      </w:r>
      <w:r>
        <w:rPr>
          <w:rFonts w:hint="eastAsia" w:ascii="宋体" w:hAnsi="宋体" w:cs="宋体"/>
          <w:b/>
          <w:bCs/>
          <w:kern w:val="3"/>
          <w:highlight w:val="none"/>
        </w:rPr>
        <w:t>项目运营模式</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1、建设模式</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本项目采用BOT（建设—运营—移交）模式，引进有经验、有实力的社会企业对本项目进行全额投资并提供经营管理服务。提供直饮水及普通开水服务，并向使用直饮水及开水的学生收取费用，在经营期满后，将该项目及其全部设施无偿移交给采购人。合作年限采用5+3模式（5年固定合同，合同期满后经招标人考核合格可续签3年），合同期内，企业负责维护和运营。</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工期:合同签订后20日历天内交付，并达到使用要求。</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2、收费标准</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为方便学生，本项目的收费系统采用支付宝或微信支付等模式（教学楼、图书馆、行政楼区域直饮水免费供应）。本项目学生的充值、消费流水进投标人指定账户，投标人必须无条件提供收费平台给招标人监管，如出现恶意乱收费，提高水价等行为，招标人有权终止合同。学生退款必须24小时内到账。</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（2）投标人应按学校用水、用电价格根据实际使用量承担管理、运营过程中产生的水电费。</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（3）如投标人因安全责任事故等产生其他费用，招标人有权在履约保证金中作相应的扣除。</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（4）投标人在提供开水直饮水服务过程中，必须按照不高于中标价的收费标准向使用人收取费用。</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（5）根据现场实际情况，制定改造方案，获得招标人认可后改造施工，费用由投标人承担。投标人应认真勘察施工现场，复核施工工程量，且应充分考虑各种不可预见因素发生的费用。</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highlight w:val="none"/>
        </w:rPr>
      </w:pPr>
      <w:r>
        <w:rPr>
          <w:rFonts w:hint="eastAsia" w:ascii="宋体" w:hAnsi="宋体" w:cs="宋体"/>
          <w:kern w:val="3"/>
          <w:highlight w:val="none"/>
        </w:rPr>
        <w:t>（7）在合同期内，由投标人负责东园开水服务的经营服务和管理，招标人负责服务质量、卫生状况、收费价格等监督。</w:t>
      </w:r>
    </w:p>
    <w:p>
      <w:pPr>
        <w:pStyle w:val="9"/>
        <w:keepNext w:val="0"/>
        <w:keepLines w:val="0"/>
        <w:pageBreakBefore w:val="0"/>
        <w:kinsoku/>
        <w:wordWrap/>
        <w:overflowPunct/>
        <w:topLinePunct w:val="0"/>
        <w:autoSpaceDE/>
        <w:autoSpaceDN/>
        <w:bidi w:val="0"/>
        <w:adjustRightInd/>
        <w:snapToGrid/>
        <w:spacing w:line="460" w:lineRule="exact"/>
        <w:ind w:left="0" w:leftChars="0"/>
        <w:rPr>
          <w:rFonts w:ascii="宋体" w:hAnsi="宋体" w:cs="宋体"/>
          <w:b/>
          <w:bCs/>
          <w:kern w:val="3"/>
          <w:highlight w:val="none"/>
        </w:rPr>
      </w:pPr>
      <w:r>
        <w:rPr>
          <w:rFonts w:hint="eastAsia" w:ascii="宋体" w:hAnsi="宋体" w:cs="宋体"/>
          <w:b/>
          <w:bCs/>
          <w:kern w:val="3"/>
          <w:highlight w:val="none"/>
        </w:rPr>
        <w:t>（四）验收标准</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1、水质：符合《生活饮用水卫生标准》GB5749-2006；</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2、计量：计量精准，费率无误差；</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3、系统的通水能力检验。按设计要求同时开放的最大数量的配水点应全部达到额定流量；</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4、系统各类阀门的启闭灵活性和仪表指示的灵敏性；</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5、系统工作压力的正确性；</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6、管道支、吊架安装位置和牢固性；</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7、连接点或接口的整洁、牢固和密封性；</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8、控制设备中各按钮的灵活性，显示屏显示字符清晰度；</w:t>
      </w:r>
    </w:p>
    <w:p>
      <w:pPr>
        <w:pStyle w:val="9"/>
        <w:keepNext w:val="0"/>
        <w:keepLines w:val="0"/>
        <w:pageBreakBefore w:val="0"/>
        <w:kinsoku/>
        <w:wordWrap/>
        <w:overflowPunct/>
        <w:topLinePunct w:val="0"/>
        <w:autoSpaceDE/>
        <w:autoSpaceDN/>
        <w:bidi w:val="0"/>
        <w:adjustRightInd/>
        <w:snapToGrid/>
        <w:spacing w:line="460" w:lineRule="exact"/>
        <w:ind w:left="0" w:leftChars="0" w:firstLine="420" w:firstLineChars="200"/>
        <w:rPr>
          <w:rFonts w:ascii="宋体" w:hAnsi="宋体" w:cs="宋体"/>
          <w:kern w:val="3"/>
          <w:highlight w:val="none"/>
        </w:rPr>
      </w:pPr>
      <w:r>
        <w:rPr>
          <w:rFonts w:hint="eastAsia" w:ascii="宋体" w:hAnsi="宋体" w:cs="宋体"/>
          <w:kern w:val="3"/>
          <w:highlight w:val="none"/>
        </w:rPr>
        <w:t>9、直饮水设备的产水量应达到设计要求；</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ODQxYThlZTdlZmYwNmI5ZWM2YjUyODdkODQwYjEifQ=="/>
  </w:docVars>
  <w:rsids>
    <w:rsidRoot w:val="00000000"/>
    <w:rsid w:val="02D7760F"/>
    <w:rsid w:val="0A2C7C1F"/>
    <w:rsid w:val="0FFB3470"/>
    <w:rsid w:val="113045A4"/>
    <w:rsid w:val="1A643794"/>
    <w:rsid w:val="1C6D07E2"/>
    <w:rsid w:val="23631876"/>
    <w:rsid w:val="299F5C62"/>
    <w:rsid w:val="2B906232"/>
    <w:rsid w:val="312A399A"/>
    <w:rsid w:val="3396573C"/>
    <w:rsid w:val="34795926"/>
    <w:rsid w:val="367107C6"/>
    <w:rsid w:val="3779742B"/>
    <w:rsid w:val="3C78715B"/>
    <w:rsid w:val="4BAB33D6"/>
    <w:rsid w:val="541148F9"/>
    <w:rsid w:val="56090860"/>
    <w:rsid w:val="5FD37C75"/>
    <w:rsid w:val="69277CAA"/>
    <w:rsid w:val="69CA0C10"/>
    <w:rsid w:val="730B4B38"/>
    <w:rsid w:val="7BFD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562" w:firstLineChars="200"/>
      <w:jc w:val="left"/>
      <w:outlineLvl w:val="0"/>
    </w:pPr>
    <w:rPr>
      <w:rFonts w:eastAsia="宋体" w:asciiTheme="minorAscii" w:hAnsiTheme="minorAscii"/>
      <w:b/>
      <w:kern w:val="44"/>
      <w:sz w:val="28"/>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楷体_GB2312" w:eastAsia="楷体_GB2312"/>
      <w:kern w:val="0"/>
      <w:sz w:val="32"/>
      <w:szCs w:val="20"/>
    </w:rPr>
  </w:style>
  <w:style w:type="paragraph" w:styleId="3">
    <w:name w:val="envelope return"/>
    <w:basedOn w:val="1"/>
    <w:qFormat/>
    <w:uiPriority w:val="0"/>
    <w:pPr>
      <w:snapToGrid w:val="0"/>
    </w:pPr>
    <w:rPr>
      <w:rFonts w:ascii="Arial" w:hAnsi="Arial"/>
    </w:rPr>
  </w:style>
  <w:style w:type="paragraph" w:styleId="5">
    <w:name w:val="Body Text"/>
    <w:basedOn w:val="1"/>
    <w:next w:val="6"/>
    <w:qFormat/>
    <w:uiPriority w:val="99"/>
    <w:rPr>
      <w:rFonts w:ascii="楷体_GB2312" w:hAnsi="Arial" w:eastAsia="楷体_GB2312"/>
      <w:kern w:val="0"/>
      <w:sz w:val="28"/>
      <w:szCs w:val="20"/>
    </w:rPr>
  </w:style>
  <w:style w:type="paragraph" w:customStyle="1" w:styleId="6">
    <w:name w:val="一级条标题"/>
    <w:basedOn w:val="7"/>
    <w:next w:val="8"/>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7">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8">
    <w:name w:val="段"/>
    <w:next w:val="1"/>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styleId="9">
    <w:name w:val="toc 3"/>
    <w:basedOn w:val="1"/>
    <w:next w:val="1"/>
    <w:qFormat/>
    <w:uiPriority w:val="39"/>
    <w:pPr>
      <w:ind w:left="840" w:leftChars="400"/>
    </w:pPr>
  </w:style>
  <w:style w:type="paragraph" w:customStyle="1" w:styleId="12">
    <w:name w:val="文库正文"/>
    <w:basedOn w:val="1"/>
    <w:next w:val="1"/>
    <w:autoRedefine/>
    <w:qFormat/>
    <w:uiPriority w:val="0"/>
    <w:pPr>
      <w:keepNext/>
      <w:keepLines w:val="0"/>
      <w:spacing w:beforeLines="0" w:afterLines="0" w:line="360" w:lineRule="auto"/>
      <w:ind w:firstLine="562" w:firstLineChars="200"/>
      <w:jc w:val="left"/>
      <w:outlineLvl w:val="0"/>
    </w:pPr>
    <w:rPr>
      <w:rFonts w:eastAsia="宋体" w:asciiTheme="minorAscii" w:hAnsiTheme="minorAscii"/>
      <w:kern w:val="44"/>
      <w:sz w:val="28"/>
    </w:rPr>
  </w:style>
  <w:style w:type="paragraph" w:customStyle="1" w:styleId="13">
    <w:name w:val="文本标题"/>
    <w:basedOn w:val="1"/>
    <w:next w:val="1"/>
    <w:qFormat/>
    <w:uiPriority w:val="0"/>
    <w:pPr>
      <w:keepNext/>
      <w:keepLines/>
      <w:spacing w:beforeLines="0" w:afterLines="0" w:line="360" w:lineRule="auto"/>
      <w:ind w:firstLine="562" w:firstLineChars="200"/>
      <w:jc w:val="center"/>
      <w:outlineLvl w:val="0"/>
    </w:pPr>
    <w:rPr>
      <w:rFonts w:eastAsia="宋体" w:asciiTheme="minorAscii" w:hAnsiTheme="minorAscii"/>
      <w:b/>
      <w:kern w:val="44"/>
      <w:sz w:val="36"/>
    </w:rPr>
  </w:style>
  <w:style w:type="paragraph" w:customStyle="1" w:styleId="14">
    <w:name w:val="一级标题"/>
    <w:basedOn w:val="1"/>
    <w:qFormat/>
    <w:uiPriority w:val="0"/>
    <w:pPr>
      <w:keepNext/>
      <w:keepLines/>
      <w:spacing w:beforeLines="0" w:afterLines="0" w:line="360" w:lineRule="auto"/>
      <w:ind w:firstLine="883" w:firstLineChars="200"/>
      <w:jc w:val="left"/>
      <w:outlineLvl w:val="0"/>
    </w:pPr>
    <w:rPr>
      <w:rFonts w:hint="eastAsia" w:ascii="宋体" w:hAnsi="宋体" w:eastAsia="宋体" w:cs="宋体"/>
      <w:b/>
      <w:kern w:val="44"/>
      <w:sz w:val="30"/>
    </w:rPr>
  </w:style>
  <w:style w:type="character" w:customStyle="1" w:styleId="15">
    <w:name w:val="font4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2022-03-16T06:57:00Z</dcterms:created>
  <dc:creator>Administrator</dc:creator>
  <cp:lastModifiedBy>携手阳光</cp:lastModifiedBy>
  <dcterms:modified xsi:type="dcterms:W3CDTF">2024-01-23T06:39:45Z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7BF74363C1A04E5490925FE0335434C6</vt:lpwstr>
  </property>
</Properties>
</file>