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2"/>
        <w:ind w:firstLine="0"/>
        <w:jc w:val="center"/>
        <w:rPr>
          <w:rFonts w:ascii="宋体" w:hAnsi="宋体" w:cs="宋体"/>
          <w:b/>
          <w:bCs/>
          <w:sz w:val="28"/>
          <w:szCs w:val="28"/>
        </w:rPr>
      </w:pPr>
      <w:r>
        <w:rPr>
          <w:rFonts w:ascii="宋体" w:hAnsi="宋体" w:cs="宋体"/>
          <w:b/>
          <w:color w:val="000000"/>
          <w:sz w:val="28"/>
          <w:szCs w:val="28"/>
        </w:rPr>
        <w:drawing>
          <wp:anchor distT="0" distB="0" distL="114300" distR="114300" simplePos="0" relativeHeight="251659264" behindDoc="1" locked="0" layoutInCell="1" allowOverlap="1">
            <wp:simplePos x="0" y="0"/>
            <wp:positionH relativeFrom="column">
              <wp:posOffset>3492500</wp:posOffset>
            </wp:positionH>
            <wp:positionV relativeFrom="paragraph">
              <wp:posOffset>-582930</wp:posOffset>
            </wp:positionV>
            <wp:extent cx="2019300" cy="1744345"/>
            <wp:effectExtent l="0" t="0" r="0" b="8255"/>
            <wp:wrapNone/>
            <wp:docPr id="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pic:cNvPicPr>
                      <a:picLocks noChangeAspect="1" noChangeArrowheads="1"/>
                    </pic:cNvPicPr>
                  </pic:nvPicPr>
                  <pic:blipFill>
                    <a:blip r:embed="rId7" cstate="print"/>
                    <a:srcRect r="7275"/>
                    <a:stretch>
                      <a:fillRect/>
                    </a:stretch>
                  </pic:blipFill>
                  <pic:spPr>
                    <a:xfrm>
                      <a:off x="0" y="0"/>
                      <a:ext cx="2019300" cy="1744345"/>
                    </a:xfrm>
                    <a:prstGeom prst="rect">
                      <a:avLst/>
                    </a:prstGeom>
                    <a:noFill/>
                    <a:ln w="9525" cmpd="sng">
                      <a:noFill/>
                      <a:miter lim="800000"/>
                      <a:headEnd/>
                      <a:tailEnd/>
                    </a:ln>
                  </pic:spPr>
                </pic:pic>
              </a:graphicData>
            </a:graphic>
          </wp:anchor>
        </w:drawing>
      </w:r>
      <w:r>
        <w:rPr>
          <w:rFonts w:ascii="宋体" w:hAnsi="宋体" w:cs="宋体"/>
        </w:rPr>
        <mc:AlternateContent>
          <mc:Choice Requires="wps">
            <w:drawing>
              <wp:anchor distT="0" distB="0" distL="114300" distR="114300" simplePos="0" relativeHeight="251660288" behindDoc="0" locked="0" layoutInCell="1" allowOverlap="1">
                <wp:simplePos x="0" y="0"/>
                <wp:positionH relativeFrom="column">
                  <wp:posOffset>-1088390</wp:posOffset>
                </wp:positionH>
                <wp:positionV relativeFrom="paragraph">
                  <wp:posOffset>-1216660</wp:posOffset>
                </wp:positionV>
                <wp:extent cx="2752725" cy="2762250"/>
                <wp:effectExtent l="0" t="0" r="9525" b="0"/>
                <wp:wrapNone/>
                <wp:docPr id="39" name="椭圆 39"/>
                <wp:cNvGraphicFramePr/>
                <a:graphic xmlns:a="http://schemas.openxmlformats.org/drawingml/2006/main">
                  <a:graphicData uri="http://schemas.microsoft.com/office/word/2010/wordprocessingShape">
                    <wps:wsp>
                      <wps:cNvSpPr/>
                      <wps:spPr>
                        <a:xfrm>
                          <a:off x="0" y="0"/>
                          <a:ext cx="2752725" cy="2762250"/>
                        </a:xfrm>
                        <a:prstGeom prst="ellipse">
                          <a:avLst/>
                        </a:prstGeom>
                        <a:gradFill rotWithShape="0">
                          <a:gsLst>
                            <a:gs pos="0">
                              <a:srgbClr val="C00000">
                                <a:alpha val="0"/>
                              </a:srgbClr>
                            </a:gs>
                            <a:gs pos="100000">
                              <a:srgbClr val="FFFFFF">
                                <a:alpha val="59999"/>
                              </a:srgbClr>
                            </a:gs>
                          </a:gsLst>
                          <a:lin ang="5400000" scaled="1"/>
                          <a:tileRect/>
                        </a:gradFill>
                        <a:ln>
                          <a:noFill/>
                        </a:ln>
                        <a:effectLst/>
                      </wps:spPr>
                      <wps:txbx>
                        <w:txbxContent>
                          <w:p>
                            <w:pPr>
                              <w:jc w:val="center"/>
                            </w:pPr>
                          </w:p>
                        </w:txbxContent>
                      </wps:txbx>
                      <wps:bodyPr upright="1"/>
                    </wps:wsp>
                  </a:graphicData>
                </a:graphic>
              </wp:anchor>
            </w:drawing>
          </mc:Choice>
          <mc:Fallback>
            <w:pict>
              <v:shape id="_x0000_s1026" o:spid="_x0000_s1026" o:spt="3" type="#_x0000_t3" style="position:absolute;left:0pt;margin-left:-85.7pt;margin-top:-95.8pt;height:217.5pt;width:216.75pt;z-index:251660288;mso-width-relative:page;mso-height-relative:page;" fillcolor="#C00000" filled="t" stroked="f" coordsize="21600,21600" o:gfxdata="UEsDBAoAAAAAAIdO4kAAAAAAAAAAAAAAAAAEAAAAZHJzL1BLAwQUAAAACACHTuJAOjK5EtwAAAAN&#10;AQAADwAAAGRycy9kb3ducmV2LnhtbE2PwU7DMAyG70i8Q2QkbluSUhVamu6ABENCQmMgAbesCW2h&#10;caom7ba3xzvB7bf86ffncnVwPZvtGDqPCuRSALNYe9Nho+Dt9X5xAyxEjUb3Hq2Cow2wqs7PSl0Y&#10;v8cXO29jw6gEQ6EVtDEOBeehbq3TYekHi7T78qPTkcax4WbUeyp3PU+EyLjTHdKFVg/2rrX1z3Zy&#10;Ct6fhu85X3/m4Xl62BzX/jF14kOpywspboFFe4h/MJz0SR0qctr5CU1gvYKFvJYpsaeUywwYMUmW&#10;SGA7CulVCrwq+f8vql9QSwMEFAAAAAgAh07iQCRggygUAgAAVAQAAA4AAABkcnMvZTJvRG9jLnht&#10;bK1UzY7TMBC+I/EOlu80baBbNmq6h63KBcGKBXF2HSex5D953DZ9AZ6CI1ceC56DsZ12S7nsAR/c&#10;8Yz9zXzfTLq8G7Qie+FBWlPT2WRKiTDcNtJ0Nf3yefPqLSUQmGmYskbU9CiA3q1evlgeXCVK21vV&#10;CE8QxEB1cDXtQ3BVUQDvhWYwsU4YDLbWaxbw6Lui8eyA6FoV5XR6Uxysb5y3XACgd52DdET0zwG0&#10;bSu5WFu+08KEjOqFYgEpQS8d0FWqtm0FDx/bFkQgqqbINKQdk6C9jXuxWrKq88z1ko8lsOeUcMVJ&#10;M2kw6RlqzQIjOy//gdKSewu2DRNudZGJJEWQxWx6pc1jz5xIXFBqcGfR4f/B8g/7B09kU9PXt5QY&#10;prHjv3/8/PX9G0EHqnNwUOGlR/fgxxOgGakOrdfxF0mQISl6PCsqhkA4OsvFvFyUc0o4xsrFTVnO&#10;k+bF03PnIbwTVpNo1FQohQ2MrFnF9u8hYFa8fbo1atxspFLE2/BVhj7JFFOnIOCbbBBnUansBt9t&#10;75Une4aDcD+NK6dQrmfZeypsvJrSdnAJNXt69xfeJq1rvPktrighln+Nia7uVKiShrD48c3fZHwC&#10;nCmBLZnl8QxSiU84yRkKhzWxj4UpE3djoxo5mj0iTf4oXuxg7lm0wrAd8Go0t7Y5YvN3zsuuR+lT&#10;uiJGcNgy/fxhxGm+PKN9+Wew+g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6MrkS3AAAAA0BAAAP&#10;AAAAAAAAAAEAIAAAACIAAABkcnMvZG93bnJldi54bWxQSwECFAAUAAAACACHTuJAJGCDKBQCAABU&#10;BAAADgAAAAAAAAABACAAAAArAQAAZHJzL2Uyb0RvYy54bWxQSwUGAAAAAAYABgBZAQAAsQUAAAAA&#10;">
                <v:fill type="gradient" on="t" color2="#FFFFFF" opacity="0f" o:opacity2="39320f" focus="100%" focussize="0,0"/>
                <v:stroke on="f"/>
                <v:imagedata o:title=""/>
                <o:lock v:ext="edit" aspectratio="f"/>
                <v:textbox>
                  <w:txbxContent>
                    <w:p>
                      <w:pPr>
                        <w:jc w:val="center"/>
                      </w:pPr>
                    </w:p>
                  </w:txbxContent>
                </v:textbox>
              </v:shape>
            </w:pict>
          </mc:Fallback>
        </mc:AlternateContent>
      </w:r>
    </w:p>
    <w:p>
      <w:pPr>
        <w:ind w:leftChars="-695" w:hanging="1459" w:hangingChars="695"/>
        <w:jc w:val="right"/>
        <w:rPr>
          <w:rFonts w:ascii="宋体" w:hAnsi="宋体" w:cs="宋体"/>
          <w:b/>
          <w:bCs/>
          <w:sz w:val="44"/>
          <w:szCs w:val="44"/>
          <w:lang w:val="zh-CN"/>
        </w:rPr>
      </w:pPr>
      <w:r>
        <w:rPr>
          <w:rFonts w:ascii="宋体" w:hAnsi="宋体" w:cs="宋体"/>
        </w:rPr>
        <mc:AlternateContent>
          <mc:Choice Requires="wps">
            <w:drawing>
              <wp:anchor distT="0" distB="0" distL="114300" distR="114300" simplePos="0" relativeHeight="251673600" behindDoc="0" locked="0" layoutInCell="1" allowOverlap="1">
                <wp:simplePos x="0" y="0"/>
                <wp:positionH relativeFrom="column">
                  <wp:posOffset>1445895</wp:posOffset>
                </wp:positionH>
                <wp:positionV relativeFrom="paragraph">
                  <wp:posOffset>3974465</wp:posOffset>
                </wp:positionV>
                <wp:extent cx="4709795" cy="478155"/>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3980815" cy="371475"/>
                        </a:xfrm>
                        <a:prstGeom prst="rect">
                          <a:avLst/>
                        </a:prstGeom>
                        <a:noFill/>
                        <a:ln w="6350">
                          <a:noFill/>
                        </a:ln>
                        <a:effectLst/>
                      </wps:spPr>
                      <wps:txbx>
                        <w:txbxContent>
                          <w:p>
                            <w:pPr>
                              <w:rPr>
                                <w:rFonts w:asciiTheme="minorEastAsia" w:hAnsiTheme="minorEastAsia" w:eastAsiaTheme="minorEastAsia" w:cstheme="minorEastAsia"/>
                                <w:kern w:val="24"/>
                                <w:sz w:val="30"/>
                                <w:szCs w:val="30"/>
                              </w:rPr>
                            </w:pPr>
                            <w:r>
                              <w:rPr>
                                <w:rFonts w:hint="eastAsia" w:asciiTheme="minorEastAsia" w:hAnsiTheme="minorEastAsia" w:eastAsiaTheme="minorEastAsia" w:cstheme="minorEastAsia"/>
                                <w:kern w:val="24"/>
                                <w:sz w:val="30"/>
                                <w:szCs w:val="30"/>
                              </w:rPr>
                              <w:t>江苏医药职业学院2023年预防医学专业教学设备采购</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3.85pt;margin-top:312.95pt;height:37.65pt;width:370.85pt;z-index:251673600;mso-width-relative:page;mso-height-relative:page;" filled="f" stroked="f" coordsize="21600,21600" o:gfxdata="UEsDBAoAAAAAAIdO4kAAAAAAAAAAAAAAAAAEAAAAZHJzL1BLAwQUAAAACACHTuJAb8Rue9wAAAAL&#10;AQAADwAAAGRycy9kb3ducmV2LnhtbE2Py07DMBBF90j8gzVI7KgdiyZNiFOhSBUSgkVLN+wm8TSJ&#10;iO0Quw/4eswKlqN7dO+Zcn0xIzvR7AdnFSQLAYxs6/RgOwX7t83dCpgPaDWOzpKCL/Kwrq6vSiy0&#10;O9stnXahY7HE+gIV9CFMBee+7cmgX7iJbMwObjYY4jl3XM94juVm5FKIlBscbFzocaK6p/ZjdzQK&#10;nuvNK24baVbfY/30cnicPvfvS6VubxLxACzQJfzB8Ksf1aGKTo07Wu3ZqEDKLIuoglQuc2CRyNP8&#10;HlijIBOJBF6V/P8P1Q9QSwMEFAAAAAgAh07iQMwrmodCAgAAdgQAAA4AAABkcnMvZTJvRG9jLnht&#10;bK1UzY7aMBC+V+o7WL6X8LuwiLCii6gqoe5KtOrZOA6JZHtc25DQB2jfoKdeeu9z8RwdO4FF2x72&#10;0IuZv3zj75sxs7taSXIQ1pWgU9rrdCkRmkNW6l1KP31cvZlQ4jzTGZOgRUqPwtG7+etXs8pMRR8K&#10;kJmwBEG0m1YmpYX3ZpokjhdCMdcBIzQmc7CKeXTtLsksqxBdyaTf7d4kFdjMWODCOYwumyRtEe1L&#10;ACHPSy6WwPdKaN+gWiGZR0quKI2j83jbPBfcP+S5E57IlCJTH09sgvY2nMl8xqY7y0xR8vYK7CVX&#10;eMZJsVJj0wvUknlG9rb8C0qV3IKD3Hc4qKQhEhVBFr3uM202BTMickGpnbmI7v4fLP9weLSkzHAT&#10;+pRopnDipx/fTz9/n359IxhDgSrjpli3MVjp67dQY/E57jAYeNe5VeEXGRHMo7zHi7yi9oRjcHA7&#10;6U56I0o45gbj3nA8CjDJ09fGOv9OgCLBSKnF8UVV2WHtfFN6LgnNNKxKKeMIpSZVSm8Go2784JJB&#10;cKlDrYjL0MIERs3Ng+Xrbd3S3EJ2RJYWmkVxhq9KvMqaOf/ILG4GEsO34x/wyCVgS2gtSgqwX/8V&#10;D/U4MMxSUuGmpdR92TMrKJHvNY7ytjcchtWMznA07qNjrzPb64zeq3vAZe7hKzU8mqHey7OZW1Cf&#10;8YktQldMMc2xd0r92bz3zf7jE+VisYhFuIyG+bXeGB6gG3EXew95GXUPMjXa4LyCg+sYJ9c+nbDv&#10;136sevq7mP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b8Rue9wAAAALAQAADwAAAAAAAAABACAA&#10;AAAiAAAAZHJzL2Rvd25yZXYueG1sUEsBAhQAFAAAAAgAh07iQMwrmodCAgAAdgQAAA4AAAAAAAAA&#10;AQAgAAAAKwEAAGRycy9lMm9Eb2MueG1sUEsFBgAAAAAGAAYAWQEAAN8FAAAAAA==&#10;">
                <v:fill on="f" focussize="0,0"/>
                <v:stroke on="f" weight="0.5pt"/>
                <v:imagedata o:title=""/>
                <o:lock v:ext="edit" aspectratio="f"/>
                <v:textbox>
                  <w:txbxContent>
                    <w:p>
                      <w:pPr>
                        <w:rPr>
                          <w:rFonts w:asciiTheme="minorEastAsia" w:hAnsiTheme="minorEastAsia" w:eastAsiaTheme="minorEastAsia" w:cstheme="minorEastAsia"/>
                          <w:kern w:val="24"/>
                          <w:sz w:val="30"/>
                          <w:szCs w:val="30"/>
                        </w:rPr>
                      </w:pPr>
                      <w:r>
                        <w:rPr>
                          <w:rFonts w:hint="eastAsia" w:asciiTheme="minorEastAsia" w:hAnsiTheme="minorEastAsia" w:eastAsiaTheme="minorEastAsia" w:cstheme="minorEastAsia"/>
                          <w:kern w:val="24"/>
                          <w:sz w:val="30"/>
                          <w:szCs w:val="30"/>
                        </w:rPr>
                        <w:t>江苏医药职业学院2023年预防医学专业教学设备采购</w:t>
                      </w:r>
                    </w:p>
                  </w:txbxContent>
                </v:textbox>
              </v:shape>
            </w:pict>
          </mc:Fallback>
        </mc:AlternateContent>
      </w:r>
      <w:r>
        <w:rPr>
          <w:rFonts w:ascii="宋体" w:hAnsi="宋体" w:cs="宋体"/>
        </w:rPr>
        <mc:AlternateContent>
          <mc:Choice Requires="wps">
            <w:drawing>
              <wp:anchor distT="0" distB="0" distL="114300" distR="114300" simplePos="0" relativeHeight="251668480" behindDoc="0" locked="0" layoutInCell="1" allowOverlap="1">
                <wp:simplePos x="0" y="0"/>
                <wp:positionH relativeFrom="column">
                  <wp:posOffset>-320040</wp:posOffset>
                </wp:positionH>
                <wp:positionV relativeFrom="paragraph">
                  <wp:posOffset>780415</wp:posOffset>
                </wp:positionV>
                <wp:extent cx="6354445" cy="61976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6180455" cy="944245"/>
                        </a:xfrm>
                        <a:prstGeom prst="rect">
                          <a:avLst/>
                        </a:prstGeom>
                        <a:noFill/>
                        <a:ln>
                          <a:noFill/>
                        </a:ln>
                        <a:effectLst/>
                      </wps:spPr>
                      <wps:txbx>
                        <w:txbxContent>
                          <w:p>
                            <w:pPr>
                              <w:jc w:val="center"/>
                              <w:rPr>
                                <w:rFonts w:ascii="黑体" w:hAnsi="黑体" w:eastAsia="黑体" w:cs="黑体"/>
                                <w:kern w:val="24"/>
                                <w:sz w:val="44"/>
                                <w:szCs w:val="44"/>
                              </w:rPr>
                            </w:pPr>
                            <w:r>
                              <w:rPr>
                                <w:rFonts w:hint="eastAsia" w:ascii="黑体" w:hAnsi="黑体" w:eastAsia="黑体" w:cs="黑体"/>
                                <w:kern w:val="24"/>
                                <w:sz w:val="36"/>
                                <w:szCs w:val="36"/>
                              </w:rPr>
                              <w:t>江苏医药职业学院2023年预防医学专业教学设备采购</w:t>
                            </w:r>
                          </w:p>
                        </w:txbxContent>
                      </wps:txbx>
                      <wps:bodyPr wrap="square" rtlCol="0">
                        <a:noAutofit/>
                      </wps:bodyPr>
                    </wps:wsp>
                  </a:graphicData>
                </a:graphic>
              </wp:anchor>
            </w:drawing>
          </mc:Choice>
          <mc:Fallback>
            <w:pict>
              <v:shape id="_x0000_s1026" o:spid="_x0000_s1026" o:spt="202" type="#_x0000_t202" style="position:absolute;left:0pt;margin-left:-25.2pt;margin-top:61.45pt;height:48.8pt;width:500.35pt;z-index:251668480;mso-width-relative:page;mso-height-relative:page;" filled="f" stroked="f" coordsize="21600,21600" o:gfxdata="UEsDBAoAAAAAAIdO4kAAAAAAAAAAAAAAAAAEAAAAZHJzL1BLAwQUAAAACACHTuJAyILu0tcAAAAL&#10;AQAADwAAAGRycy9kb3ducmV2LnhtbE2PwU7DMBBE70j8g7VI3Fq7pkFNiNMDiCuIFpB6c+NtEhGv&#10;o9htwt+znOC4mqeZt+V29r244Bi7QAZWSwUCqQ6uo8bA+/55sQERkyVn+0Bo4BsjbKvrq9IWLkz0&#10;hpddagSXUCysgTaloZAy1i16G5dhQOLsFEZvE59jI91oJy73vdRK3UtvO+KF1g742GL9tTt7Ax8v&#10;p8PnWr02Tz4bpjArST6XxtzerNQDiIRz+oPhV5/VoWKnYziTi6I3sMjUmlEOtM5BMJFn6g7E0YDW&#10;KgNZlfL/D9UPUEsDBBQAAAAIAIdO4kAYNSA3xgEAAIUDAAAOAAAAZHJzL2Uyb0RvYy54bWytU82O&#10;0zAQviPxDpbvNGnVrpao6QqolgsCpIUHcB27sRR7jMdt0heAN+DEhTvP1edg7GS7sFz2wMXx/H2e&#10;75vJ+mawHTuqgAZczeezkjPlJDTG7Wv++dPti2vOMArXiA6cqvlJIb/ZPH+27n2lFtBC16jACMRh&#10;1fuatzH6qihQtsoKnIFXjoIaghWRzLAvmiB6QrddsSjLq6KH0PgAUiGSdzsG+YQYngIIWhuptiAP&#10;Vrk4ogbViUiUsDUe+SZ3q7WS8YPWqCLrak5MYz7pEbrv0lls1qLaB+FbI6cWxFNaeMTJCuPo0QvU&#10;VkTBDsH8A2WNDICg40yCLUYiWRFiMS8faXPXCq8yF5Ia/UV0/H+w8v3xY2CmoU2Yc+aEpYmfv387&#10;//h1/vmVkY8E6j1WlHfnKTMOr2Gg5Hs/kjPxHnSw6UuMGMVJ3tNFXjVEJsl5Nb8ul6sVZ5JiL5fL&#10;xXKVYIqHah8wvlVgWbrUPND4sqri+A7jmHqfkh5zcGu6Lo+wc385CHP0qLwDU3UiMjacbnHYDRO7&#10;HTQnItfTHtQcvxxEUJyF2L2BvDYj9KtDBG1yG6l8rKH2k0HTyUSmTUrj/9POWQ9/z+Y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yILu0tcAAAALAQAADwAAAAAAAAABACAAAAAiAAAAZHJzL2Rvd25y&#10;ZXYueG1sUEsBAhQAFAAAAAgAh07iQBg1IDfGAQAAhQMAAA4AAAAAAAAAAQAgAAAAJgEAAGRycy9l&#10;Mm9Eb2MueG1sUEsFBgAAAAAGAAYAWQEAAF4FAAAAAA==&#10;">
                <v:fill on="f" focussize="0,0"/>
                <v:stroke on="f"/>
                <v:imagedata o:title=""/>
                <o:lock v:ext="edit" aspectratio="f"/>
                <v:textbox>
                  <w:txbxContent>
                    <w:p>
                      <w:pPr>
                        <w:jc w:val="center"/>
                        <w:rPr>
                          <w:rFonts w:ascii="黑体" w:hAnsi="黑体" w:eastAsia="黑体" w:cs="黑体"/>
                          <w:kern w:val="24"/>
                          <w:sz w:val="44"/>
                          <w:szCs w:val="44"/>
                        </w:rPr>
                      </w:pPr>
                      <w:r>
                        <w:rPr>
                          <w:rFonts w:hint="eastAsia" w:ascii="黑体" w:hAnsi="黑体" w:eastAsia="黑体" w:cs="黑体"/>
                          <w:kern w:val="24"/>
                          <w:sz w:val="36"/>
                          <w:szCs w:val="36"/>
                        </w:rPr>
                        <w:t>江苏医药职业学院2023年预防医学专业教学设备采购</w:t>
                      </w:r>
                    </w:p>
                  </w:txbxContent>
                </v:textbox>
              </v:shape>
            </w:pict>
          </mc:Fallback>
        </mc:AlternateContent>
      </w:r>
      <w:r>
        <w:rPr>
          <w:rFonts w:ascii="宋体" w:hAnsi="宋体" w:cs="宋体"/>
        </w:rPr>
        <mc:AlternateContent>
          <mc:Choice Requires="wps">
            <w:drawing>
              <wp:anchor distT="0" distB="0" distL="114300" distR="114300" simplePos="0" relativeHeight="251674624" behindDoc="0" locked="0" layoutInCell="1" allowOverlap="1">
                <wp:simplePos x="0" y="0"/>
                <wp:positionH relativeFrom="column">
                  <wp:posOffset>3300730</wp:posOffset>
                </wp:positionH>
                <wp:positionV relativeFrom="paragraph">
                  <wp:posOffset>5857875</wp:posOffset>
                </wp:positionV>
                <wp:extent cx="2752725" cy="2762250"/>
                <wp:effectExtent l="0" t="0" r="9525" b="0"/>
                <wp:wrapNone/>
                <wp:docPr id="41" name="椭圆 41"/>
                <wp:cNvGraphicFramePr/>
                <a:graphic xmlns:a="http://schemas.openxmlformats.org/drawingml/2006/main">
                  <a:graphicData uri="http://schemas.microsoft.com/office/word/2010/wordprocessingShape">
                    <wps:wsp>
                      <wps:cNvSpPr/>
                      <wps:spPr>
                        <a:xfrm>
                          <a:off x="0" y="0"/>
                          <a:ext cx="2752725" cy="2762250"/>
                        </a:xfrm>
                        <a:prstGeom prst="ellipse">
                          <a:avLst/>
                        </a:prstGeom>
                        <a:gradFill rotWithShape="0">
                          <a:gsLst>
                            <a:gs pos="0">
                              <a:srgbClr val="C00000">
                                <a:alpha val="0"/>
                              </a:srgbClr>
                            </a:gs>
                            <a:gs pos="100000">
                              <a:srgbClr val="FFFFFF"/>
                            </a:gs>
                          </a:gsLst>
                          <a:lin ang="5400000" scaled="1"/>
                          <a:tileRect/>
                        </a:gradFill>
                        <a:ln>
                          <a:noFill/>
                        </a:ln>
                        <a:effectLst/>
                      </wps:spPr>
                      <wps:txbx>
                        <w:txbxContent>
                          <w:p/>
                        </w:txbxContent>
                      </wps:txbx>
                      <wps:bodyPr upright="1"/>
                    </wps:wsp>
                  </a:graphicData>
                </a:graphic>
              </wp:anchor>
            </w:drawing>
          </mc:Choice>
          <mc:Fallback>
            <w:pict>
              <v:shape id="_x0000_s1026" o:spid="_x0000_s1026" o:spt="3" type="#_x0000_t3" style="position:absolute;left:0pt;margin-left:259.9pt;margin-top:461.25pt;height:217.5pt;width:216.75pt;z-index:251674624;mso-width-relative:page;mso-height-relative:page;" fillcolor="#C00000" filled="t" stroked="f" coordsize="21600,21600" o:gfxdata="UEsDBAoAAAAAAIdO4kAAAAAAAAAAAAAAAAAEAAAAZHJzL1BLAwQUAAAACACHTuJA9NJTktkAAAAM&#10;AQAADwAAAGRycy9kb3ducmV2LnhtbE2Py07DMBBF90j8gzVI7KidRAaSxqkAKRISLKDQvRtP4wg/&#10;Ittpy99jVrAc3aN7z7SbszXkiCFO3gkoVgwIusGryY0CPj/6m3sgMUmnpPEOBXxjhE13edHKRvmT&#10;e8fjNo0kl7jYSAE6pbmhNA4arYwrP6PL2cEHK1M+w0hVkKdcbg0tGbulVk4uL2g545PG4Wu7WAFL&#10;73X/9sge8PmAMwtm9/oyFEJcXxVsDSThOf3B8Kuf1aHLTnu/OBWJEcCLOqsnAXVZciCZqHlVAdln&#10;tOJ3HGjX0v9PdD9QSwMEFAAAAAgAh07iQMOBqLMLAgAAMwQAAA4AAABkcnMvZTJvRG9jLnhtbK1T&#10;zY7TMBC+I/EOlu80bbTdRVHTPWxVLghWLIjz1HESS45tedw2fQGegiNXHgueg7Gd7ZblsgdycMbz&#10;/30zXt2Og2YH6VFZU/PFbM6ZNMI2ynQ1//J5++YtZxjANKCtkTU/SeS369evVkdXydL2VjfSM0pi&#10;sDq6mvchuKooUPRyAJxZJw0ZW+sHCHT1XdF4OFL2QRflfH5dHK1vnLdCIpJ2k418yuhfktC2rRJy&#10;Y8V+kCbkrF5qCAQJe+WQr1O3bStF+Ni2KAPTNSekIZ1UhORdPIv1CqrOg+uVmFqAl7TwDNMAylDR&#10;c6oNBGB7r/5JNSjhLdo2zIQdigwkMUIoFvNn3Dz04GTCQlSjO5OO/y+t+HC490w1Nb9acGZgoIn/&#10;/vHz1/dvjBTEztFhRU4P7t5PNyQxQh1bP8Q/gWBjYvR0ZlSOgQlSljfL8qZccibIVt5cl+UycV48&#10;hTuP4Z20A4tCzaXWNMCIGio4vMdAVcn70WviuNkqrZm34asKfaIplk5GpJgsMGeJqaxG3+3utGcH&#10;oEW4m8cvl9Cuh6x9bGxyTWU7vEy1eIr7K982fZEt6jSGpN/Uh1aGQXxby6sczlCAlsR44heqoLT8&#10;RIs6hXtI4GJdbeJpbASbrVkj02JP3MQB5ZFEKYy7kVyjuLPNiWa7d151PTGbyhXRQruUe8x7H5f1&#10;8k7y5Vtf/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00lOS2QAAAAwBAAAPAAAAAAAAAAEAIAAA&#10;ACIAAABkcnMvZG93bnJldi54bWxQSwECFAAUAAAACACHTuJAw4GoswsCAAAzBAAADgAAAAAAAAAB&#10;ACAAAAAoAQAAZHJzL2Uyb0RvYy54bWxQSwUGAAAAAAYABgBZAQAApQUAAAAA&#10;">
                <v:fill type="gradient" on="t" color2="#FFFFFF" opacity="0f" focus="100%" focussize="0,0"/>
                <v:stroke on="f"/>
                <v:imagedata o:title=""/>
                <o:lock v:ext="edit" aspectratio="f"/>
                <v:textbox>
                  <w:txbxContent>
                    <w:p/>
                  </w:txbxContent>
                </v:textbox>
              </v:shape>
            </w:pict>
          </mc:Fallback>
        </mc:AlternateContent>
      </w:r>
      <w:r>
        <w:rPr>
          <w:rFonts w:ascii="宋体" w:hAnsi="宋体" w:cs="宋体"/>
        </w:rPr>
        <mc:AlternateContent>
          <mc:Choice Requires="wps">
            <w:drawing>
              <wp:anchor distT="0" distB="0" distL="114300" distR="114300" simplePos="0" relativeHeight="251661312" behindDoc="0" locked="0" layoutInCell="1" allowOverlap="1">
                <wp:simplePos x="0" y="0"/>
                <wp:positionH relativeFrom="column">
                  <wp:posOffset>-938530</wp:posOffset>
                </wp:positionH>
                <wp:positionV relativeFrom="paragraph">
                  <wp:posOffset>4803140</wp:posOffset>
                </wp:positionV>
                <wp:extent cx="7013575" cy="3789680"/>
                <wp:effectExtent l="0" t="0" r="15875" b="1270"/>
                <wp:wrapNone/>
                <wp:docPr id="43" name="直角三角形 43"/>
                <wp:cNvGraphicFramePr/>
                <a:graphic xmlns:a="http://schemas.openxmlformats.org/drawingml/2006/main">
                  <a:graphicData uri="http://schemas.microsoft.com/office/word/2010/wordprocessingShape">
                    <wps:wsp>
                      <wps:cNvSpPr/>
                      <wps:spPr>
                        <a:xfrm flipH="1">
                          <a:off x="0" y="0"/>
                          <a:ext cx="7013575" cy="3789680"/>
                        </a:xfrm>
                        <a:prstGeom prst="rtTriangle">
                          <a:avLst/>
                        </a:prstGeom>
                        <a:gradFill rotWithShape="1">
                          <a:gsLst>
                            <a:gs pos="0">
                              <a:srgbClr val="012D86"/>
                            </a:gs>
                            <a:gs pos="100000">
                              <a:srgbClr val="FFFFFF"/>
                            </a:gs>
                          </a:gsLst>
                          <a:lin ang="5400000" scaled="1"/>
                          <a:tileRect/>
                        </a:gradFill>
                        <a:ln>
                          <a:noFill/>
                        </a:ln>
                        <a:effectLst/>
                      </wps:spPr>
                      <wps:txbx>
                        <w:txbxContent>
                          <w:p/>
                        </w:txbxContent>
                      </wps:txbx>
                      <wps:bodyPr upright="1"/>
                    </wps:wsp>
                  </a:graphicData>
                </a:graphic>
              </wp:anchor>
            </w:drawing>
          </mc:Choice>
          <mc:Fallback>
            <w:pict>
              <v:shape id="_x0000_s1026" o:spid="_x0000_s1026" o:spt="6" type="#_x0000_t6" style="position:absolute;left:0pt;flip:x;margin-left:-73.9pt;margin-top:378.2pt;height:298.4pt;width:552.25pt;z-index:251661312;mso-width-relative:page;mso-height-relative:page;" fillcolor="#012D86" filled="t" stroked="f" coordsize="21600,21600" o:gfxdata="UEsDBAoAAAAAAIdO4kAAAAAAAAAAAAAAAAAEAAAAZHJzL1BLAwQUAAAACACHTuJAE9U8ddwAAAAN&#10;AQAADwAAAGRycy9kb3ducmV2LnhtbE2Py07DMBBF90j8gzVIbFBrp3m1IU4XlQCxJKlYO/E0CY3t&#10;yHbT8veYFSxH9+jeM+X+piayoHWj0RyiNQOCujNy1D2HY/Oy2gJxXmgpJqORwzc62Ff3d6UopLnq&#10;D1xq35NQol0hOAzezwWlrhtQCbc2M+qQnYxVwofT9lRacQ3laqIbxjKqxKjDwiBmPAzYneuL4vBV&#10;L0sTt59v76/bhtX2OJ6TpwPnjw8Rewbi8eb/YPjVD+pQBafWXLR0ZOKwipI8uHsOeZolQAKyS7Mc&#10;SBvYOI03QKuS/v+i+gFQSwMEFAAAAAgAh07iQLGSGZQfAgAALAQAAA4AAABkcnMvZTJvRG9jLnht&#10;bK1TvW7bMBDeC/QdCO61JDv+qWA5Qw23Q9EGTYrONEVJBCiSONK2/Ahdu3br0hfI0KVv06J5jBwp&#10;xTCSJUM1EEfe3Xf3fXdaXnatInsBThpd0GyUUiI0N6XUdUE/32xeLShxnumSKaNFQY/C0cvVyxfL&#10;g83F2DRGlQIIgmiXH2xBG+9tniSON6JlbmSs0OisDLTM4xXqpAR2QPRWJeM0nSUHA6UFw4Vz+Lru&#10;nXRAhOcAmqqSXKwN37VC+x4VhGIeKblGWkdXsduqEtx/rConPFEFRaY+nlgE7W04k9WS5TUw20g+&#10;tMCe08IjTi2TGoueoNbMM7ID+QSqlRyMM5UfcdMmPZGoCLLI0kfaXDfMisgFpXb2JLr7f7D8w/4K&#10;iCwLejGhRLMWJ/7v++3dz29/fn3F8+/vHwQ9KNPBuhyjr+0VDDeHZuDcVdCSSkn7DvcpqoC8SBdF&#10;Pp5EFp0nHB/naTaZzqeUcPRN5ovXs0UcQ9IDBUALzr8VpiXBKCj4G5BM1ypowXK2f+88toAJD4GD&#10;8uVGKkXA+C/SN1G8h4ZqhzkxyhFrUL80Qjmot28UkD0L65GN14tZoIrItTuPztLwPU3ZxO8sJWYO&#10;pZTUBLsu6PSiTyeOMyVQ6ixksNxLJT7hhg4VgcX+g0fpcGoT+PTe/kXEjR7oh4H0IwiW77YdhgZz&#10;a8ojDnVnQdYN6hfLJcGDS9Sz6xc+bOn5He3zn3x1D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BPV&#10;PHXcAAAADQEAAA8AAAAAAAAAAQAgAAAAIgAAAGRycy9kb3ducmV2LnhtbFBLAQIUABQAAAAIAIdO&#10;4kCxkhmUHwIAACwEAAAOAAAAAAAAAAEAIAAAACsBAABkcnMvZTJvRG9jLnhtbFBLBQYAAAAABgAG&#10;AFkBAAC8BQAAAAA=&#10;">
                <v:fill type="gradient" on="t" color2="#FFFFFF" focus="100%" focussize="0,0" rotate="t"/>
                <v:stroke on="f"/>
                <v:imagedata o:title=""/>
                <o:lock v:ext="edit" aspectratio="f"/>
                <v:textbox>
                  <w:txbxContent>
                    <w:p/>
                  </w:txbxContent>
                </v:textbox>
              </v:shape>
            </w:pict>
          </mc:Fallback>
        </mc:AlternateContent>
      </w:r>
      <w:r>
        <w:rPr>
          <w:rFonts w:ascii="宋体" w:hAnsi="宋体" w:cs="宋体"/>
        </w:rPr>
        <mc:AlternateContent>
          <mc:Choice Requires="wps">
            <w:drawing>
              <wp:anchor distT="0" distB="0" distL="114300" distR="114300" simplePos="0" relativeHeight="251671552" behindDoc="0" locked="0" layoutInCell="1" allowOverlap="1">
                <wp:simplePos x="0" y="0"/>
                <wp:positionH relativeFrom="column">
                  <wp:posOffset>1809750</wp:posOffset>
                </wp:positionH>
                <wp:positionV relativeFrom="paragraph">
                  <wp:posOffset>5163820</wp:posOffset>
                </wp:positionV>
                <wp:extent cx="3400425" cy="342900"/>
                <wp:effectExtent l="0" t="0" r="0" b="0"/>
                <wp:wrapNone/>
                <wp:docPr id="67" name="文本框 67"/>
                <wp:cNvGraphicFramePr/>
                <a:graphic xmlns:a="http://schemas.openxmlformats.org/drawingml/2006/main">
                  <a:graphicData uri="http://schemas.microsoft.com/office/word/2010/wordprocessingShape">
                    <wps:wsp>
                      <wps:cNvSpPr txBox="1"/>
                      <wps:spPr>
                        <a:xfrm flipH="1">
                          <a:off x="0" y="0"/>
                          <a:ext cx="3400425" cy="342900"/>
                        </a:xfrm>
                        <a:prstGeom prst="rect">
                          <a:avLst/>
                        </a:prstGeom>
                        <a:noFill/>
                        <a:ln>
                          <a:noFill/>
                        </a:ln>
                        <a:effectLst/>
                      </wps:spPr>
                      <wps:txbx>
                        <w:txbxContent>
                          <w:p>
                            <w:pPr>
                              <w:pStyle w:val="21"/>
                              <w:ind w:left="160" w:hanging="160" w:hangingChars="50"/>
                              <w:rPr>
                                <w:rFonts w:ascii="黑体" w:hAnsi="黑体" w:eastAsia="黑体" w:cs="黑体"/>
                                <w:sz w:val="32"/>
                                <w:szCs w:val="32"/>
                              </w:rPr>
                            </w:pPr>
                            <w:r>
                              <w:rPr>
                                <w:rFonts w:hint="eastAsia" w:ascii="黑体" w:hAnsi="黑体" w:eastAsia="黑体" w:cs="黑体"/>
                                <w:kern w:val="24"/>
                                <w:sz w:val="32"/>
                                <w:szCs w:val="32"/>
                              </w:rPr>
                              <w:t>盐城市携手阳光集中采购代理公司wcwcng 有限公司</w:t>
                            </w:r>
                          </w:p>
                        </w:txbxContent>
                      </wps:txbx>
                      <wps:bodyPr wrap="square" rtlCol="0">
                        <a:noAutofit/>
                      </wps:bodyPr>
                    </wps:wsp>
                  </a:graphicData>
                </a:graphic>
              </wp:anchor>
            </w:drawing>
          </mc:Choice>
          <mc:Fallback>
            <w:pict>
              <v:shape id="_x0000_s1026" o:spid="_x0000_s1026" o:spt="202" type="#_x0000_t202" style="position:absolute;left:0pt;flip:x;margin-left:142.5pt;margin-top:406.6pt;height:27pt;width:267.75pt;z-index:251671552;mso-width-relative:page;mso-height-relative:page;" filled="f" stroked="f" coordsize="21600,21600" o:gfxdata="UEsDBAoAAAAAAIdO4kAAAAAAAAAAAAAAAAAEAAAAZHJzL1BLAwQUAAAACACHTuJAgTEbvNsAAAAL&#10;AQAADwAAAGRycy9kb3ducmV2LnhtbE2PzU7DMBCE70i8g7VI3KgdQ9ooxOkBCYlDQDQglaMbu3HU&#10;eB3F7g9vz3KC26xmNPtNtb74kZ3sHIeACrKFAGaxC2bAXsHnx/NdASwmjUaPAa2CbxthXV9fVbo0&#10;4Ywbe2pTz6gEY6kVuJSmkvPYOet1XITJInn7MHud6Jx7bmZ9pnI/cinEkns9IH1werJPznaH9ugV&#10;mGa7zVeHqdm4r4f9y/hmmvb9Vanbm0w8Akv2kv7C8ItP6FAT0y4c0UQ2KpBFTluSgiK7l8AoUUiR&#10;A9uRWK4k8Lri/zfUP1BLAwQUAAAACACHTuJAS2SkEdABAACPAwAADgAAAGRycy9lMm9Eb2MueG1s&#10;rVPBbhMxEL0j8Q+W72S3aSglyqYCosIBAVLLBzjecdaS7TG2k938APwBJy698135DsbeNEC59MBl&#10;Zb958zxvZnZxNVjDdhCiRtfws0nNGTiJrXabhn++vX52yVlMwrXCoIOG7yHyq+XTJ4vez2GKHZoW&#10;AiMRF+e9b3iXkp9XVZQdWBEn6MFRUGGwItE1bKo2iJ7UrammdX1R9RhaH1BCjISuxiA/KobHCKJS&#10;WsIK5daCS6NqACMSWYqd9pEvS7VKgUwflYqQmGk4OU3lS4/QeZ2/1XIh5psgfKflsQTxmBIeeLJC&#10;O3r0JLUSSbBt0P9IWS0DRlRpItFWo5HSEXJxVj/ozU0nPBQv1OroT02P/09Wfth9Cky3Db94wZkT&#10;liZ++P7t8OPn4e4rI4wa1Ps4J96NJ2YaXuNAa3OPRwKz70EFy5TR/l0OZoS8MWJSo/enRsOQmCTw&#10;fFbXs+lzziTFzmfTl3WZRDXq5GwfYnoLaFk+NDzQIIuq2L2PiWoi6j0l0x1ea2PKMI37CyDiiEDZ&#10;hmN2tjSWnk9pWA9Hn2ts92Szp41oePyyFQE4C8m8wbJAo/SrbUKlSxk5fcyhmvKF5lSqO+5UXoQ/&#10;74X1+z9a/gJ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BMRu82wAAAAsBAAAPAAAAAAAAAAEAIAAA&#10;ACIAAABkcnMvZG93bnJldi54bWxQSwECFAAUAAAACACHTuJAS2SkEdABAACPAwAADgAAAAAAAAAB&#10;ACAAAAAqAQAAZHJzL2Uyb0RvYy54bWxQSwUGAAAAAAYABgBZAQAAbAUAAAAA&#10;">
                <v:fill on="f" focussize="0,0"/>
                <v:stroke on="f"/>
                <v:imagedata o:title=""/>
                <o:lock v:ext="edit" aspectratio="f"/>
                <v:textbox>
                  <w:txbxContent>
                    <w:p>
                      <w:pPr>
                        <w:pStyle w:val="21"/>
                        <w:ind w:left="160" w:hanging="160" w:hangingChars="50"/>
                        <w:rPr>
                          <w:rFonts w:ascii="黑体" w:hAnsi="黑体" w:eastAsia="黑体" w:cs="黑体"/>
                          <w:sz w:val="32"/>
                          <w:szCs w:val="32"/>
                        </w:rPr>
                      </w:pPr>
                      <w:r>
                        <w:rPr>
                          <w:rFonts w:hint="eastAsia" w:ascii="黑体" w:hAnsi="黑体" w:eastAsia="黑体" w:cs="黑体"/>
                          <w:kern w:val="24"/>
                          <w:sz w:val="32"/>
                          <w:szCs w:val="32"/>
                        </w:rPr>
                        <w:t>盐城市携手阳光集中采购代理公司wcwcng 有限公司</w:t>
                      </w:r>
                    </w:p>
                  </w:txbxContent>
                </v:textbox>
              </v:shape>
            </w:pict>
          </mc:Fallback>
        </mc:AlternateContent>
      </w:r>
      <w:r>
        <w:rPr>
          <w:rFonts w:ascii="宋体" w:hAnsi="宋体" w:cs="宋体"/>
        </w:rPr>
        <mc:AlternateContent>
          <mc:Choice Requires="wps">
            <w:drawing>
              <wp:anchor distT="0" distB="0" distL="114300" distR="114300" simplePos="0" relativeHeight="251670528" behindDoc="0" locked="0" layoutInCell="1" allowOverlap="1">
                <wp:simplePos x="0" y="0"/>
                <wp:positionH relativeFrom="column">
                  <wp:posOffset>1870075</wp:posOffset>
                </wp:positionH>
                <wp:positionV relativeFrom="paragraph">
                  <wp:posOffset>4739005</wp:posOffset>
                </wp:positionV>
                <wp:extent cx="2149475" cy="362585"/>
                <wp:effectExtent l="0" t="0" r="0" b="0"/>
                <wp:wrapNone/>
                <wp:docPr id="66" name="文本框 66"/>
                <wp:cNvGraphicFramePr/>
                <a:graphic xmlns:a="http://schemas.openxmlformats.org/drawingml/2006/main">
                  <a:graphicData uri="http://schemas.microsoft.com/office/word/2010/wordprocessingShape">
                    <wps:wsp>
                      <wps:cNvSpPr txBox="1"/>
                      <wps:spPr>
                        <a:xfrm flipH="1">
                          <a:off x="0" y="0"/>
                          <a:ext cx="2150076" cy="362585"/>
                        </a:xfrm>
                        <a:prstGeom prst="rect">
                          <a:avLst/>
                        </a:prstGeom>
                        <a:noFill/>
                        <a:ln>
                          <a:noFill/>
                        </a:ln>
                        <a:effectLst/>
                      </wps:spPr>
                      <wps:txbx>
                        <w:txbxContent>
                          <w:p>
                            <w:pPr>
                              <w:rPr>
                                <w:rFonts w:ascii="黑体" w:hAnsi="黑体" w:eastAsia="黑体" w:cs="黑体"/>
                                <w:kern w:val="24"/>
                                <w:sz w:val="32"/>
                                <w:szCs w:val="32"/>
                              </w:rPr>
                            </w:pPr>
                            <w:r>
                              <w:rPr>
                                <w:rFonts w:hint="eastAsia" w:ascii="黑体" w:hAnsi="黑体" w:eastAsia="黑体" w:cs="黑体"/>
                                <w:kern w:val="24"/>
                                <w:sz w:val="32"/>
                                <w:szCs w:val="32"/>
                              </w:rPr>
                              <w:t>江苏医药职业学院</w:t>
                            </w:r>
                          </w:p>
                        </w:txbxContent>
                      </wps:txbx>
                      <wps:bodyPr wrap="square" rtlCol="0">
                        <a:noAutofit/>
                      </wps:bodyPr>
                    </wps:wsp>
                  </a:graphicData>
                </a:graphic>
              </wp:anchor>
            </w:drawing>
          </mc:Choice>
          <mc:Fallback>
            <w:pict>
              <v:shape id="_x0000_s1026" o:spid="_x0000_s1026" o:spt="202" type="#_x0000_t202" style="position:absolute;left:0pt;flip:x;margin-left:147.25pt;margin-top:373.15pt;height:28.55pt;width:169.25pt;z-index:251670528;mso-width-relative:page;mso-height-relative:page;" filled="f" stroked="f" coordsize="21600,21600" o:gfxdata="UEsDBAoAAAAAAIdO4kAAAAAAAAAAAAAAAAAEAAAAZHJzL1BLAwQUAAAACACHTuJAGzN+INwAAAAL&#10;AQAADwAAAGRycy9kb3ducmV2LnhtbE2Py07DMBBF90j8gzVI7KjTJk3bNJMukJBYBNQGpLJ0YzeO&#10;ao+j2H3w95gVLEdzdO+55eZmDbuo0feOEKaTBJii1smeOoTPj5enJTAfBElhHCmEb+VhU93flaKQ&#10;7ko7dWlCx2II+UIg6BCGgnPfamWFn7hBUfwd3WhFiOfYcTmKawy3hs+SJOdW9BQbtBjUs1btqTlb&#10;BFnv9/PFaah3+is7vpp3WTfbN8THh2myBhbULfzB8Ksf1aGKTgd3JumZQZitsnlEERZZngKLRJ6m&#10;cd0BYZmkGfCq5P83VD9QSwMEFAAAAAgAh07iQLzXyZ/NAQAAjwMAAA4AAABkcnMvZTJvRG9jLnht&#10;bK1TwY7TMBC9I/EPlu80aVHLKmq6AqqFAwKkhQ9wHbuxZHuM7TbpD8AfcOLCne/qd+zYzhZYLnvg&#10;EtlvZp7nvZmsr0ejyVH4oMC2dD6rKRGWQ6fsvqWfP908u6IkRGY7psGKlp5EoNebp0/Wg2vEAnrQ&#10;nfAESWxoBtfSPkbXVFXgvTAszMAJi0EJ3rCIV7+vOs8GZDe6WtT1qhrAd84DFyEgui1BOjH6xxCC&#10;lIqLLfCDETYWVi80iygp9MoFusndSil4/CBlEJHolqLSmL/4CJ536Vtt1qzZe+Z6xacW2GNaeKDJ&#10;MGXx0QvVlkVGDl79Q2UU9xBAxhkHUxUh2RFUMa8feHPbMyeyFrQ6uIvp4f/R8vfHj56orqWrFSWW&#10;GZz4+fu3849f559fCWJo0OBCg3m3DjPj+ApGXJt7PCCYdI/SGyK1cm9TMCGojWAmGn26GC3GSDiC&#10;i/myrl/ggxxjz1eL5dUyEVaFJ1U7H+IbAYakQ0s9DjKzsuO7EEvqfUpKt3CjtM7D1PYvADkLIvI2&#10;TNVJUmk9neK4GyedO+hOKHPAjWhp+HJgXlDio34NeYEK9ctDBKlyG6m81GD76YJzykKmnUqL8Oc9&#10;Z/3+jzZ3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GzN+INwAAAALAQAADwAAAAAAAAABACAAAAAi&#10;AAAAZHJzL2Rvd25yZXYueG1sUEsBAhQAFAAAAAgAh07iQLzXyZ/NAQAAjwMAAA4AAAAAAAAAAQAg&#10;AAAAKwEAAGRycy9lMm9Eb2MueG1sUEsFBgAAAAAGAAYAWQEAAGoFAAAAAA==&#10;">
                <v:fill on="f" focussize="0,0"/>
                <v:stroke on="f"/>
                <v:imagedata o:title=""/>
                <o:lock v:ext="edit" aspectratio="f"/>
                <v:textbox>
                  <w:txbxContent>
                    <w:p>
                      <w:pPr>
                        <w:rPr>
                          <w:rFonts w:ascii="黑体" w:hAnsi="黑体" w:eastAsia="黑体" w:cs="黑体"/>
                          <w:kern w:val="24"/>
                          <w:sz w:val="32"/>
                          <w:szCs w:val="32"/>
                        </w:rPr>
                      </w:pPr>
                      <w:r>
                        <w:rPr>
                          <w:rFonts w:hint="eastAsia" w:ascii="黑体" w:hAnsi="黑体" w:eastAsia="黑体" w:cs="黑体"/>
                          <w:kern w:val="24"/>
                          <w:sz w:val="32"/>
                          <w:szCs w:val="32"/>
                        </w:rPr>
                        <w:t>江苏医药职业学院</w:t>
                      </w:r>
                    </w:p>
                  </w:txbxContent>
                </v:textbox>
              </v:shape>
            </w:pict>
          </mc:Fallback>
        </mc:AlternateContent>
      </w:r>
      <w:r>
        <w:rPr>
          <w:rFonts w:ascii="宋体" w:hAnsi="宋体" w:cs="宋体"/>
        </w:rPr>
        <mc:AlternateContent>
          <mc:Choice Requires="wps">
            <w:drawing>
              <wp:anchor distT="0" distB="0" distL="114300" distR="114300" simplePos="0" relativeHeight="251663360" behindDoc="0" locked="0" layoutInCell="1" allowOverlap="1">
                <wp:simplePos x="0" y="0"/>
                <wp:positionH relativeFrom="column">
                  <wp:posOffset>160020</wp:posOffset>
                </wp:positionH>
                <wp:positionV relativeFrom="paragraph">
                  <wp:posOffset>1880870</wp:posOffset>
                </wp:positionV>
                <wp:extent cx="5604510" cy="11684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5604510" cy="1168400"/>
                        </a:xfrm>
                        <a:prstGeom prst="rect">
                          <a:avLst/>
                        </a:prstGeom>
                        <a:noFill/>
                        <a:ln>
                          <a:noFill/>
                        </a:ln>
                        <a:effectLst/>
                      </wps:spPr>
                      <wps:txbx>
                        <w:txbxContent>
                          <w:p>
                            <w:pPr>
                              <w:pStyle w:val="21"/>
                              <w:rPr>
                                <w:rFonts w:ascii="方正大黑简体" w:hAnsi="方正大黑简体" w:eastAsia="方正大黑简体" w:cs="方正大黑简体"/>
                                <w:bCs/>
                                <w:color w:val="DA251C"/>
                                <w:sz w:val="144"/>
                                <w:szCs w:val="144"/>
                              </w:rPr>
                            </w:pPr>
                            <w:r>
                              <w:rPr>
                                <w:rFonts w:hint="eastAsia" w:ascii="方正大黑简体" w:hAnsi="方正大黑简体" w:eastAsia="方正大黑简体" w:cs="方正大黑简体"/>
                                <w:bCs/>
                                <w:color w:val="DA251C"/>
                                <w:sz w:val="144"/>
                                <w:szCs w:val="144"/>
                              </w:rPr>
                              <w:t>磋 商 文 件</w:t>
                            </w:r>
                          </w:p>
                        </w:txbxContent>
                      </wps:txbx>
                      <wps:bodyPr wrap="square" rtlCol="0">
                        <a:noAutofit/>
                      </wps:bodyPr>
                    </wps:wsp>
                  </a:graphicData>
                </a:graphic>
              </wp:anchor>
            </w:drawing>
          </mc:Choice>
          <mc:Fallback>
            <w:pict>
              <v:shape id="_x0000_s1026" o:spid="_x0000_s1026" o:spt="202" type="#_x0000_t202" style="position:absolute;left:0pt;margin-left:12.6pt;margin-top:148.1pt;height:92pt;width:441.3pt;z-index:251663360;mso-width-relative:page;mso-height-relative:page;" filled="f" stroked="f" coordsize="21600,21600" o:gfxdata="UEsDBAoAAAAAAIdO4kAAAAAAAAAAAAAAAAAEAAAAZHJzL1BLAwQUAAAACACHTuJAW/Yog9cAAAAK&#10;AQAADwAAAGRycy9kb3ducmV2LnhtbE2PT0/DMAzF70h8h8hI3FiyahtraboDiCuI8Ufi5jVeW9E4&#10;VZOt5dtjTnCyrff0/Hvlbva9OtMYu8AWlgsDirgOruPGwtvr480WVEzIDvvAZOGbIuyqy4sSCxcm&#10;fqHzPjVKQjgWaKFNaSi0jnVLHuMiDMSiHcPoMck5NtqNOEm473VmzEZ77Fg+tDjQfUv11/7kLbw/&#10;HT8/Vua5efDrYQqz0exzbe311dLcgUo0pz8z/OILOlTCdAgndlH1FrJ1Jk6Z+UYWMeTmVrocLKy2&#10;JgNdlfp/heoHUEsDBBQAAAAIAIdO4kBuDaIpyAEAAIYDAAAOAAAAZHJzL2Uyb0RvYy54bWytU8GO&#10;0zAQvSPxD5bvNMmyW62ipiugWi4IkBY+wHXsxpLtMR63SX8A/oATF+58V7+DiZPtwnLZAxfHnhk/&#10;v/dmsroZnGUHFdGAb3i1KDlTXkJr/K7hnz/dvrjmDJPwrbDgVcOPCvnN+vmzVR9qdQEd2FZFRiAe&#10;6z40vEsp1EWBslNO4AKC8pTUEJ1IdIy7oo2iJ3Rni4uyXBY9xDZEkAqRopspyWfE+BRA0NpItQG5&#10;d8qnCTUqKxJJws4E5OvMVmsl0wetUSVmG05KU17pEdpvx7VYr0S9iyJ0Rs4UxFMoPNLkhPH06Blq&#10;I5Jg+2j+gXJGRkDQaSHBFZOQ7AipqMpH3tx1IqishazGcDYd/x+sfH/4GJlpaRJecuaFo46fvn87&#10;/fh1+vmVUYwM6gPWVHcXqDINr2Gg4vs4UnDUPejoxi8pYpQne49ne9WQmKTg1bK8vKooJSlXVcvr&#10;yzI3oHi4HiKmtwocGzcNj9S/bKs4vMNEVKj0vmR8zcOtsTb30Pq/AlQ4RVQegvn2qGRiPO7SsB1m&#10;eVtoj6Sup0FoOH7Zi6g4i8m+gTw3E/SrfQJtMo3x+nSHOI0Hak9mN4/S2P8/z7nq4fdZ/w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b9iiD1wAAAAoBAAAPAAAAAAAAAAEAIAAAACIAAABkcnMvZG93&#10;bnJldi54bWxQSwECFAAUAAAACACHTuJAbg2iKcgBAACGAwAADgAAAAAAAAABACAAAAAmAQAAZHJz&#10;L2Uyb0RvYy54bWxQSwUGAAAAAAYABgBZAQAAYAUAAAAA&#10;">
                <v:fill on="f" focussize="0,0"/>
                <v:stroke on="f"/>
                <v:imagedata o:title=""/>
                <o:lock v:ext="edit" aspectratio="f"/>
                <v:textbox>
                  <w:txbxContent>
                    <w:p>
                      <w:pPr>
                        <w:pStyle w:val="21"/>
                        <w:rPr>
                          <w:rFonts w:ascii="方正大黑简体" w:hAnsi="方正大黑简体" w:eastAsia="方正大黑简体" w:cs="方正大黑简体"/>
                          <w:bCs/>
                          <w:color w:val="DA251C"/>
                          <w:sz w:val="144"/>
                          <w:szCs w:val="144"/>
                        </w:rPr>
                      </w:pPr>
                      <w:r>
                        <w:rPr>
                          <w:rFonts w:hint="eastAsia" w:ascii="方正大黑简体" w:hAnsi="方正大黑简体" w:eastAsia="方正大黑简体" w:cs="方正大黑简体"/>
                          <w:bCs/>
                          <w:color w:val="DA251C"/>
                          <w:sz w:val="144"/>
                          <w:szCs w:val="144"/>
                        </w:rPr>
                        <w:t>磋 商 文 件</w:t>
                      </w:r>
                    </w:p>
                  </w:txbxContent>
                </v:textbox>
              </v:shape>
            </w:pict>
          </mc:Fallback>
        </mc:AlternateContent>
      </w:r>
      <w:r>
        <w:rPr>
          <w:rFonts w:ascii="宋体" w:hAnsi="宋体" w:cs="宋体"/>
        </w:rPr>
        <mc:AlternateContent>
          <mc:Choice Requires="wps">
            <w:drawing>
              <wp:anchor distT="0" distB="0" distL="114300" distR="114300" simplePos="0" relativeHeight="251662336" behindDoc="0" locked="0" layoutInCell="1" allowOverlap="1">
                <wp:simplePos x="0" y="0"/>
                <wp:positionH relativeFrom="column">
                  <wp:posOffset>1866900</wp:posOffset>
                </wp:positionH>
                <wp:positionV relativeFrom="paragraph">
                  <wp:posOffset>5528945</wp:posOffset>
                </wp:positionV>
                <wp:extent cx="2423795" cy="401955"/>
                <wp:effectExtent l="0" t="0" r="0" b="0"/>
                <wp:wrapNone/>
                <wp:docPr id="6" name="文本框 6"/>
                <wp:cNvGraphicFramePr/>
                <a:graphic xmlns:a="http://schemas.openxmlformats.org/drawingml/2006/main">
                  <a:graphicData uri="http://schemas.microsoft.com/office/word/2010/wordprocessingShape">
                    <wps:wsp>
                      <wps:cNvSpPr txBox="1"/>
                      <wps:spPr>
                        <a:xfrm>
                          <a:off x="1923415" y="6977380"/>
                          <a:ext cx="2423795" cy="401955"/>
                        </a:xfrm>
                        <a:prstGeom prst="rect">
                          <a:avLst/>
                        </a:prstGeom>
                        <a:noFill/>
                        <a:ln w="6350">
                          <a:noFill/>
                        </a:ln>
                        <a:effectLst/>
                      </wps:spPr>
                      <wps:txbx>
                        <w:txbxContent>
                          <w:p>
                            <w:pPr>
                              <w:rPr>
                                <w:rFonts w:ascii="黑体" w:hAnsi="黑体" w:eastAsia="黑体" w:cs="黑体"/>
                                <w:sz w:val="32"/>
                                <w:szCs w:val="32"/>
                              </w:rPr>
                            </w:pPr>
                            <w:r>
                              <w:rPr>
                                <w:rFonts w:hint="eastAsia" w:ascii="黑体" w:hAnsi="黑体" w:eastAsia="黑体" w:cs="黑体"/>
                                <w:sz w:val="32"/>
                                <w:szCs w:val="32"/>
                              </w:rPr>
                              <w:t>2023年7月0</w:t>
                            </w:r>
                            <w:r>
                              <w:rPr>
                                <w:rFonts w:hint="eastAsia" w:ascii="黑体" w:hAnsi="黑体" w:eastAsia="黑体" w:cs="黑体"/>
                                <w:sz w:val="32"/>
                                <w:szCs w:val="32"/>
                                <w:lang w:val="en-US" w:eastAsia="zh-CN"/>
                              </w:rPr>
                              <w:t>4</w:t>
                            </w:r>
                            <w:r>
                              <w:rPr>
                                <w:rFonts w:hint="eastAsia" w:ascii="黑体" w:hAnsi="黑体" w:eastAsia="黑体" w:cs="黑体"/>
                                <w:sz w:val="32"/>
                                <w:szCs w:val="32"/>
                              </w:rPr>
                              <w:t>日</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47pt;margin-top:435.35pt;height:31.65pt;width:190.85pt;z-index:251662336;mso-width-relative:page;mso-height-relative:page;" filled="f" stroked="f" coordsize="21600,21600" o:gfxdata="UEsDBAoAAAAAAIdO4kAAAAAAAAAAAAAAAAAEAAAAZHJzL1BLAwQUAAAACACHTuJAZ+9YXdwAAAAL&#10;AQAADwAAAGRycy9kb3ducmV2LnhtbE2PS0/DMBCE70j8B2uRuFG7gTZpGqdCkSokRA8tvXDbxG4S&#10;1Y8Quw/49SwnuO1oRrPfFKurNeysx9B7J2E6EcC0a7zqXSth/75+yICFiE6h8U5L+NIBVuXtTYG5&#10;8he31eddbBmVuJCjhC7GIec8NJ22GCZ+0I68gx8tRpJjy9WIFyq3hidCzLnF3tGHDgdddbo57k5W&#10;wmu13uC2Tmz2baqXt8Pz8Ln/mEl5fzcVS2BRX+NfGH7xCR1KYqr9yanAjIRk8URbooQsFSkwSszT&#10;GR21hMUjWbws+P8N5Q9QSwMEFAAAAAgAh07iQBc5XeJLAgAAgAQAAA4AAABkcnMvZTJvRG9jLnht&#10;bK1UzY7TMBC+I/EOlu80/e+2aroqWxUhrdiVCuLsOk4TyfYY221SHgDegBMX7jxXn4Oxk3arhcMe&#10;uLgznq/f+JufzG9rJclBWFeCTmmv06VEaA5ZqXcp/fRx/eaGEueZzpgELVJ6FI7eLl6/mldmJvpQ&#10;gMyEJUii3awyKS28N7MkcbwQirkOGKExmINVzKNrd0lmWYXsSib9bnecVGAzY4EL5/B21QRpy2hf&#10;Qgh5XnKxAr5XQvuG1QrJPEpyRWkcXcTX5rng/iHPnfBEphSV+nhiErS34UwWczbbWWaKkrdPYC95&#10;wjNNipUak16oVswzsrflX1Sq5BYc5L7DQSWNkFgRVNHrPqvNpmBGRC1YamcuRXf/j5Z/ODxaUmYp&#10;HVOimcKGn358P/38ffr1jYxDeSrjZojaGMT5+i3UODTne4eXQXWdWxV+UQ8J8Wl/MOyNKDki7XQy&#10;Gdy0hRa1JxwB/WF/MJkigCNi2O1NR6NAmTwxGev8OwGKBCOlFhsZ68sO98430DMkJNawLqWMzZSa&#10;VJh2MOrGP1wiSC51wIo4Fi1NUNeoCJavt3UreQvZERVbaEbGGb4u8Sn3zPlHZnFGcIJwi/wDHrkE&#10;TAmtRUkB9uu/7gMeW4dRSiqcuZS6L3tmBSXyvcamTnvDYRjS6AxHkz469jqyvY7ovboDHOse7qvh&#10;0Qx4L89mbkF9xmVbhqwYYppj7pT6s3nnm03AZeViuYwgHEvD/L3eGB6om+Iu9x7yMtY9lKmpDfYr&#10;ODiYsXPtEoXJv/Yj6unDsfg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Z+9YXdwAAAALAQAADwAA&#10;AAAAAAABACAAAAAiAAAAZHJzL2Rvd25yZXYueG1sUEsBAhQAFAAAAAgAh07iQBc5XeJLAgAAgAQA&#10;AA4AAAAAAAAAAQAgAAAAKwEAAGRycy9lMm9Eb2MueG1sUEsFBgAAAAAGAAYAWQEAAOgFAAAAAA==&#10;">
                <v:fill on="f" focussize="0,0"/>
                <v:stroke on="f" weight="0.5pt"/>
                <v:imagedata o:title=""/>
                <o:lock v:ext="edit" aspectratio="f"/>
                <v:textbox>
                  <w:txbxContent>
                    <w:p>
                      <w:pPr>
                        <w:rPr>
                          <w:rFonts w:ascii="黑体" w:hAnsi="黑体" w:eastAsia="黑体" w:cs="黑体"/>
                          <w:sz w:val="32"/>
                          <w:szCs w:val="32"/>
                        </w:rPr>
                      </w:pPr>
                      <w:r>
                        <w:rPr>
                          <w:rFonts w:hint="eastAsia" w:ascii="黑体" w:hAnsi="黑体" w:eastAsia="黑体" w:cs="黑体"/>
                          <w:sz w:val="32"/>
                          <w:szCs w:val="32"/>
                        </w:rPr>
                        <w:t>2023年7月0</w:t>
                      </w:r>
                      <w:r>
                        <w:rPr>
                          <w:rFonts w:hint="eastAsia" w:ascii="黑体" w:hAnsi="黑体" w:eastAsia="黑体" w:cs="黑体"/>
                          <w:sz w:val="32"/>
                          <w:szCs w:val="32"/>
                          <w:lang w:val="en-US" w:eastAsia="zh-CN"/>
                        </w:rPr>
                        <w:t>4</w:t>
                      </w:r>
                      <w:r>
                        <w:rPr>
                          <w:rFonts w:hint="eastAsia" w:ascii="黑体" w:hAnsi="黑体" w:eastAsia="黑体" w:cs="黑体"/>
                          <w:sz w:val="32"/>
                          <w:szCs w:val="32"/>
                        </w:rPr>
                        <w:t>日</w:t>
                      </w:r>
                    </w:p>
                  </w:txbxContent>
                </v:textbox>
              </v:shape>
            </w:pict>
          </mc:Fallback>
        </mc:AlternateContent>
      </w:r>
      <w:r>
        <w:rPr>
          <w:rFonts w:ascii="宋体" w:hAnsi="宋体" w:cs="宋体"/>
        </w:rPr>
        <mc:AlternateContent>
          <mc:Choice Requires="wps">
            <w:drawing>
              <wp:anchor distT="0" distB="0" distL="114300" distR="114300" simplePos="0" relativeHeight="251667456" behindDoc="0" locked="0" layoutInCell="1" allowOverlap="1">
                <wp:simplePos x="0" y="0"/>
                <wp:positionH relativeFrom="column">
                  <wp:posOffset>962025</wp:posOffset>
                </wp:positionH>
                <wp:positionV relativeFrom="paragraph">
                  <wp:posOffset>5515610</wp:posOffset>
                </wp:positionV>
                <wp:extent cx="923925" cy="454025"/>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923925" cy="454025"/>
                        </a:xfrm>
                        <a:prstGeom prst="rect">
                          <a:avLst/>
                        </a:prstGeom>
                        <a:noFill/>
                        <a:ln>
                          <a:noFill/>
                        </a:ln>
                        <a:effectLst/>
                      </wps:spPr>
                      <wps:txbx>
                        <w:txbxContent>
                          <w:p>
                            <w:pPr>
                              <w:pStyle w:val="21"/>
                              <w:rPr>
                                <w:rFonts w:ascii="方正大黑简体" w:hAnsi="方正大黑简体" w:eastAsia="方正大黑简体" w:cs="方正大黑简体"/>
                                <w:b/>
                                <w:bCs/>
                                <w:color w:val="DA251C"/>
                                <w:sz w:val="32"/>
                                <w:szCs w:val="32"/>
                              </w:rPr>
                            </w:pPr>
                            <w:r>
                              <w:rPr>
                                <w:rFonts w:hint="eastAsia" w:ascii="方正大黑简体" w:hAnsi="方正大黑简体" w:eastAsia="方正大黑简体" w:cs="方正大黑简体"/>
                                <w:b/>
                                <w:bCs/>
                                <w:color w:val="DA251C"/>
                                <w:kern w:val="24"/>
                                <w:sz w:val="32"/>
                                <w:szCs w:val="32"/>
                              </w:rPr>
                              <w:t>日期</w:t>
                            </w:r>
                          </w:p>
                        </w:txbxContent>
                      </wps:txbx>
                      <wps:bodyPr wrap="square" rtlCol="0">
                        <a:noAutofit/>
                      </wps:bodyPr>
                    </wps:wsp>
                  </a:graphicData>
                </a:graphic>
              </wp:anchor>
            </w:drawing>
          </mc:Choice>
          <mc:Fallback>
            <w:pict>
              <v:shape id="_x0000_s1026" o:spid="_x0000_s1026" o:spt="202" type="#_x0000_t202" style="position:absolute;left:0pt;margin-left:75.75pt;margin-top:434.3pt;height:35.75pt;width:72.75pt;z-index:251667456;mso-width-relative:page;mso-height-relative:page;" filled="f" stroked="f" coordsize="21600,21600" o:gfxdata="UEsDBAoAAAAAAIdO4kAAAAAAAAAAAAAAAAAEAAAAZHJzL1BLAwQUAAAACACHTuJAGY02xNgAAAAL&#10;AQAADwAAAGRycy9kb3ducmV2LnhtbE2Py07DMBBF90j8gzVI7KidqglJiNMFiG0R5SGxc+NpEhGP&#10;o9ht0r9nWMHyao7unFttFzeIM06h96QhWSkQSI23PbUa3t+e73IQIRqyZvCEGi4YYFtfX1WmtH6m&#10;VzzvYyu4hEJpNHQxjqWUoenQmbDyIxLfjn5yJnKcWmknM3O5G+RaqUw60xN/6MyIjx023/uT0/Cx&#10;O359btRL++TScfaLkuQKqfXtTaIeQERc4h8Mv/qsDjU7HfyJbBAD5zRJGdWQZ3kGgol1cc/rDhqK&#10;jUpA1pX8v6H+AVBLAwQUAAAACACHTuJA5kKQ9MYBAACEAwAADgAAAGRycy9lMm9Eb2MueG1srVPN&#10;jtMwEL4j8Q6W7zRp2EVs1HQFVMsFAdLCA7iO3ViyPcbjNukLwBtw4sKd5+pzMHGyXVgue+DijOfn&#10;83zfTFbXg7PsoCIa8A1fLkrOlJfQGr9r+OdPN89ecoZJ+FZY8KrhR4X8ev30yaoPtaqgA9uqyAjE&#10;Y92HhncphbooUHbKCVxAUJ6CGqITia5xV7RR9ITubFGV5Yuih9iGCFIhknczBfmMGB8DCFobqTYg&#10;9075NKFGZUUiStiZgHydu9VayfRBa1SJ2YYT05RPeoTs7XgW65Wod1GEzsi5BfGYFh5wcsJ4evQM&#10;tRFJsH00/0A5IyMg6LSQ4IqJSFaEWCzLB9rcdiKozIWkxnAWHf8frHx/+BiZaRteLTnzwtHET9+/&#10;nX78Ov38yshHAvUBa8q7DZSZhtcw0Nrc+ZGcI+9BRzd+iRGjOMl7PMurhsQkOa+q51fVJWeSQheX&#10;FyXZhF7cF4eI6a0Cx0aj4ZGml0UVh3eYptS7lPEtDzfG2jxB6/9yEObkUXkF5uqRx9TvaKVhO8zk&#10;ttAeiVtPa9Bw/LIXUXEWk30DeWsm6Ff7BNrkNsbyqYbaHy80nExkXqRx+n/ec9b9z7P+D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BmNNsTYAAAACwEAAA8AAAAAAAAAAQAgAAAAIgAAAGRycy9kb3du&#10;cmV2LnhtbFBLAQIUABQAAAAIAIdO4kDmQpD0xgEAAIQDAAAOAAAAAAAAAAEAIAAAACcBAABkcnMv&#10;ZTJvRG9jLnhtbFBLBQYAAAAABgAGAFkBAABfBQAAAAA=&#10;">
                <v:fill on="f" focussize="0,0"/>
                <v:stroke on="f"/>
                <v:imagedata o:title=""/>
                <o:lock v:ext="edit" aspectratio="f"/>
                <v:textbox>
                  <w:txbxContent>
                    <w:p>
                      <w:pPr>
                        <w:pStyle w:val="21"/>
                        <w:rPr>
                          <w:rFonts w:ascii="方正大黑简体" w:hAnsi="方正大黑简体" w:eastAsia="方正大黑简体" w:cs="方正大黑简体"/>
                          <w:b/>
                          <w:bCs/>
                          <w:color w:val="DA251C"/>
                          <w:sz w:val="32"/>
                          <w:szCs w:val="32"/>
                        </w:rPr>
                      </w:pPr>
                      <w:r>
                        <w:rPr>
                          <w:rFonts w:hint="eastAsia" w:ascii="方正大黑简体" w:hAnsi="方正大黑简体" w:eastAsia="方正大黑简体" w:cs="方正大黑简体"/>
                          <w:b/>
                          <w:bCs/>
                          <w:color w:val="DA251C"/>
                          <w:kern w:val="24"/>
                          <w:sz w:val="32"/>
                          <w:szCs w:val="32"/>
                        </w:rPr>
                        <w:t>日期</w:t>
                      </w:r>
                    </w:p>
                  </w:txbxContent>
                </v:textbox>
              </v:shape>
            </w:pict>
          </mc:Fallback>
        </mc:AlternateContent>
      </w:r>
      <w:r>
        <w:rPr>
          <w:rFonts w:ascii="宋体" w:hAnsi="宋体" w:cs="宋体"/>
        </w:rPr>
        <mc:AlternateContent>
          <mc:Choice Requires="wps">
            <w:drawing>
              <wp:anchor distT="0" distB="0" distL="114300" distR="114300" simplePos="0" relativeHeight="251666432" behindDoc="0" locked="0" layoutInCell="1" allowOverlap="1">
                <wp:simplePos x="0" y="0"/>
                <wp:positionH relativeFrom="column">
                  <wp:posOffset>167005</wp:posOffset>
                </wp:positionH>
                <wp:positionV relativeFrom="paragraph">
                  <wp:posOffset>5097780</wp:posOffset>
                </wp:positionV>
                <wp:extent cx="1452880" cy="344805"/>
                <wp:effectExtent l="0" t="0" r="0" b="0"/>
                <wp:wrapNone/>
                <wp:docPr id="19" name="文本框 19"/>
                <wp:cNvGraphicFramePr/>
                <a:graphic xmlns:a="http://schemas.openxmlformats.org/drawingml/2006/main">
                  <a:graphicData uri="http://schemas.microsoft.com/office/word/2010/wordprocessingShape">
                    <wps:wsp>
                      <wps:cNvSpPr txBox="1"/>
                      <wps:spPr>
                        <a:xfrm flipH="1">
                          <a:off x="0" y="0"/>
                          <a:ext cx="1452880" cy="345416"/>
                        </a:xfrm>
                        <a:prstGeom prst="rect">
                          <a:avLst/>
                        </a:prstGeom>
                        <a:noFill/>
                        <a:ln>
                          <a:noFill/>
                        </a:ln>
                        <a:effectLst/>
                      </wps:spPr>
                      <wps:txbx>
                        <w:txbxContent>
                          <w:p>
                            <w:pPr>
                              <w:pStyle w:val="21"/>
                              <w:rPr>
                                <w:rFonts w:ascii="方正大黑简体" w:hAnsi="方正大黑简体" w:eastAsia="方正大黑简体" w:cs="方正大黑简体"/>
                                <w:b/>
                                <w:bCs/>
                                <w:color w:val="DA251C"/>
                              </w:rPr>
                            </w:pPr>
                            <w:r>
                              <w:rPr>
                                <w:rFonts w:hint="eastAsia" w:ascii="方正大黑简体" w:hAnsi="方正大黑简体" w:eastAsia="方正大黑简体" w:cs="方正大黑简体"/>
                                <w:b/>
                                <w:bCs/>
                                <w:color w:val="DA251C"/>
                                <w:kern w:val="24"/>
                                <w:sz w:val="32"/>
                                <w:szCs w:val="32"/>
                              </w:rPr>
                              <w:t>采购代理机构</w:t>
                            </w:r>
                          </w:p>
                        </w:txbxContent>
                      </wps:txbx>
                      <wps:bodyPr wrap="square" rtlCol="0">
                        <a:spAutoFit/>
                      </wps:bodyPr>
                    </wps:wsp>
                  </a:graphicData>
                </a:graphic>
              </wp:anchor>
            </w:drawing>
          </mc:Choice>
          <mc:Fallback>
            <w:pict>
              <v:shape id="_x0000_s1026" o:spid="_x0000_s1026" o:spt="202" type="#_x0000_t202" style="position:absolute;left:0pt;flip:x;margin-left:13.15pt;margin-top:401.4pt;height:27.15pt;width:114.4pt;z-index:251666432;mso-width-relative:page;mso-height-relative:page;" filled="f" stroked="f" coordsize="21600,21600" o:gfxdata="UEsDBAoAAAAAAIdO4kAAAAAAAAAAAAAAAAAEAAAAZHJzL1BLAwQUAAAACACHTuJAaPHwVNoAAAAK&#10;AQAADwAAAGRycy9kb3ducmV2LnhtbE2PTU/DMAyG70j8h8hI3FjSom5TaToB0gQXJCjTgJvbhrai&#10;cUqSfcCvx5zgaPvR6+ctVkc7ir3xYXCkIZkpEIYa1w7Uadg8ry+WIEJEanF0ZDR8mQCr8vSkwLx1&#10;B3oy+yp2gkMo5Kihj3HKpQxNbyyGmZsM8e3deYuRR9/J1uOBw+0oU6Xm0uJA/KHHydz2pvmodlbD&#10;I1376g6//c3avanPl+1r/bC41/r8LFFXIKI5xj8YfvVZHUp2qt2O2iBGDen8kkkNS5VyBQbSLEtA&#10;1LzJFgnIspD/K5Q/UEsDBBQAAAAIAIdO4kBv8OTOzgEAAI8DAAAOAAAAZHJzL2Uyb0RvYy54bWyt&#10;U82O0zAQviPxDpbvNG3prkrUdAVUCwcESMs+gOtMGkv+w+M26QvAG3Diwn2fq8/B2Ml2YbnsgUtk&#10;f/PN5/lmJqur3mh2gIDK2YrPJlPOwEpXK7ur+O2X6xdLzjAKWwvtLFT8CMiv1s+frTpfwty1TtcQ&#10;GIlYLDtf8TZGXxYFyhaMwInzYCnYuGBEpGvYFXUQHakbXcyn08uic6H2wUlAJHQzBPmoGJ4i6JpG&#10;Sdg4uTdg46AaQItIlrBVHvk6V9s0IOOnpkGITFecnMb8pUfovE3fYr0S5S4I3yo5liCeUsIjT0Yo&#10;S4+epTYiCrYP6h8po2Rw6Jo4kc4Ug5HcEXIxmz7qzU0rPGQv1Gr056bj/5OVHw+fA1M1bcIrzqww&#10;NPHTj++nn3enX98YYdSgzmNJvBtPzNi/cT2R73EkMPnum2BYo5V/n4IJIW+MmNTo47nR0EcmU/ri&#10;Yr5cUkhS7OXiYjG7TILFoJOyfcD4Dpxh6VDxQIPMquLwAeNAvackunXXSus8TG3/AkhzQCBvw5id&#10;LA2lp1Pst/3oc+vqI9nsaCMqjl/3IgBnIeq3Li9Qkkb/eh/pvVxGSh9yqPx0oTllI+NOpUX4855Z&#10;D//R+j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o8fBU2gAAAAoBAAAPAAAAAAAAAAEAIAAAACIA&#10;AABkcnMvZG93bnJldi54bWxQSwECFAAUAAAACACHTuJAb/Dkzs4BAACPAwAADgAAAAAAAAABACAA&#10;AAApAQAAZHJzL2Uyb0RvYy54bWxQSwUGAAAAAAYABgBZAQAAaQUAAAAA&#10;">
                <v:fill on="f" focussize="0,0"/>
                <v:stroke on="f"/>
                <v:imagedata o:title=""/>
                <o:lock v:ext="edit" aspectratio="f"/>
                <v:textbox style="mso-fit-shape-to-text:t;">
                  <w:txbxContent>
                    <w:p>
                      <w:pPr>
                        <w:pStyle w:val="21"/>
                        <w:rPr>
                          <w:rFonts w:ascii="方正大黑简体" w:hAnsi="方正大黑简体" w:eastAsia="方正大黑简体" w:cs="方正大黑简体"/>
                          <w:b/>
                          <w:bCs/>
                          <w:color w:val="DA251C"/>
                        </w:rPr>
                      </w:pPr>
                      <w:r>
                        <w:rPr>
                          <w:rFonts w:hint="eastAsia" w:ascii="方正大黑简体" w:hAnsi="方正大黑简体" w:eastAsia="方正大黑简体" w:cs="方正大黑简体"/>
                          <w:b/>
                          <w:bCs/>
                          <w:color w:val="DA251C"/>
                          <w:kern w:val="24"/>
                          <w:sz w:val="32"/>
                          <w:szCs w:val="32"/>
                        </w:rPr>
                        <w:t>采购代理机构</w:t>
                      </w:r>
                    </w:p>
                  </w:txbxContent>
                </v:textbox>
              </v:shape>
            </w:pict>
          </mc:Fallback>
        </mc:AlternateContent>
      </w:r>
      <w:r>
        <w:rPr>
          <w:rFonts w:ascii="宋体" w:hAnsi="宋体" w:cs="宋体"/>
        </w:rPr>
        <mc:AlternateContent>
          <mc:Choice Requires="wps">
            <w:drawing>
              <wp:anchor distT="0" distB="0" distL="114300" distR="114300" simplePos="0" relativeHeight="251665408" behindDoc="0" locked="0" layoutInCell="1" allowOverlap="1">
                <wp:simplePos x="0" y="0"/>
                <wp:positionH relativeFrom="column">
                  <wp:posOffset>786130</wp:posOffset>
                </wp:positionH>
                <wp:positionV relativeFrom="paragraph">
                  <wp:posOffset>4735830</wp:posOffset>
                </wp:positionV>
                <wp:extent cx="1082675" cy="344805"/>
                <wp:effectExtent l="0" t="0" r="0" b="0"/>
                <wp:wrapNone/>
                <wp:docPr id="17" name="文本框 17"/>
                <wp:cNvGraphicFramePr/>
                <a:graphic xmlns:a="http://schemas.openxmlformats.org/drawingml/2006/main">
                  <a:graphicData uri="http://schemas.microsoft.com/office/word/2010/wordprocessingShape">
                    <wps:wsp>
                      <wps:cNvSpPr txBox="1"/>
                      <wps:spPr>
                        <a:xfrm flipH="1">
                          <a:off x="0" y="0"/>
                          <a:ext cx="1083275" cy="345416"/>
                        </a:xfrm>
                        <a:prstGeom prst="rect">
                          <a:avLst/>
                        </a:prstGeom>
                        <a:noFill/>
                        <a:ln>
                          <a:noFill/>
                        </a:ln>
                        <a:effectLst/>
                      </wps:spPr>
                      <wps:txbx>
                        <w:txbxContent>
                          <w:p>
                            <w:pPr>
                              <w:pStyle w:val="21"/>
                              <w:rPr>
                                <w:rFonts w:ascii="方正大黑简体" w:hAnsi="方正大黑简体" w:eastAsia="方正大黑简体" w:cs="方正大黑简体"/>
                                <w:b/>
                                <w:bCs/>
                                <w:color w:val="DA251C"/>
                              </w:rPr>
                            </w:pPr>
                            <w:r>
                              <w:rPr>
                                <w:rFonts w:hint="eastAsia" w:ascii="方正大黑简体" w:hAnsi="方正大黑简体" w:eastAsia="方正大黑简体" w:cs="方正大黑简体"/>
                                <w:b/>
                                <w:bCs/>
                                <w:color w:val="DA251C"/>
                                <w:kern w:val="24"/>
                                <w:sz w:val="32"/>
                                <w:szCs w:val="32"/>
                              </w:rPr>
                              <w:t>采购人</w:t>
                            </w:r>
                          </w:p>
                        </w:txbxContent>
                      </wps:txbx>
                      <wps:bodyPr wrap="square" rtlCol="0">
                        <a:spAutoFit/>
                      </wps:bodyPr>
                    </wps:wsp>
                  </a:graphicData>
                </a:graphic>
              </wp:anchor>
            </w:drawing>
          </mc:Choice>
          <mc:Fallback>
            <w:pict>
              <v:shape id="_x0000_s1026" o:spid="_x0000_s1026" o:spt="202" type="#_x0000_t202" style="position:absolute;left:0pt;flip:x;margin-left:61.9pt;margin-top:372.9pt;height:27.15pt;width:85.25pt;z-index:251665408;mso-width-relative:page;mso-height-relative:page;" filled="f" stroked="f" coordsize="21600,21600" o:gfxdata="UEsDBAoAAAAAAIdO4kAAAAAAAAAAAAAAAAAEAAAAZHJzL1BLAwQUAAAACACHTuJAVitmaNwAAAAL&#10;AQAADwAAAGRycy9kb3ducmV2LnhtbE2PS0/DMBCE70j8B2uRuFE7aaElxKkAqYILEqQVj9smMUlE&#10;vA62+4Bfz3KC24xmNPttvjzYQeyMD70jDclEgTBUu6anVsNmvTpbgAgRqcHBkdHwZQIsi+OjHLPG&#10;7enJ7MrYCh6hkKGGLsYxkzLUnbEYJm40xNm78xYjW9/KxuOex+0gU6UupMWe+EKHo7ntTP1Rbq2G&#10;R7r25R1++5uVe1OfL8+v1cP8XuvTk0RdgYjmEP/K8IvP6FAwU+W21AQxsE+njB41zGfnLLiRXs6m&#10;ICoNC6USkEUu//9Q/ABQSwMEFAAAAAgAh07iQAZCPdDOAQAAjwMAAA4AAABkcnMvZTJvRG9jLnht&#10;bK1TzY7TMBC+I/EOlu80afdXUdMVUC0cECAtPIDrOI0l22M8bpO+ALwBJy7c97n6HIydbIHlsgcu&#10;kf3NN5/nm5ksbwZr2F4F1OBqPp+VnCknodFuW/PPn25fXHOGUbhGGHCq5geF/Gb1/Nmy95VaQAem&#10;UYGRiMOq9zXvYvRVUaDslBU4A68cBVsIVkS6hm3RBNGTujXFoiwvix5C4wNIhUjoegzySTE8RRDa&#10;Vku1BrmzysVRNSgjIlnCTnvkq1xt2yoZP7QtqshMzclpzF96hM6b9C1WS1Ftg/CdllMJ4iklPPJk&#10;hXb06ElqLaJgu6D/kbJaBkBo40yCLUYjuSPkYl4+6s1dJ7zKXqjV6E9Nx/8nK9/vPwamG9qEK86c&#10;sDTx4/dvxx/3x59fGWHUoN5jRbw7T8w4vIKByA84Eph8D22wrDXav03BhJA3Rkxq9OHUaDVEJlN6&#10;eX22uLrgTFLs7PzifH6ZBItRJ2X7gPGNAsvSoeaBBplVxf4dxpH6QEl0B7famDxM4/4CSHNEVN6G&#10;KTtZGktPpzhshsnnBpoD2expI2qOX3YiKM5CNK8hL1CSRv9yF+m9XEZKH3Oo/HShOWUj006lRfjz&#10;nlm//6PVL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FYrZmjcAAAACwEAAA8AAAAAAAAAAQAgAAAA&#10;IgAAAGRycy9kb3ducmV2LnhtbFBLAQIUABQAAAAIAIdO4kAGQj3QzgEAAI8DAAAOAAAAAAAAAAEA&#10;IAAAACsBAABkcnMvZTJvRG9jLnhtbFBLBQYAAAAABgAGAFkBAABrBQAAAAA=&#10;">
                <v:fill on="f" focussize="0,0"/>
                <v:stroke on="f"/>
                <v:imagedata o:title=""/>
                <o:lock v:ext="edit" aspectratio="f"/>
                <v:textbox style="mso-fit-shape-to-text:t;">
                  <w:txbxContent>
                    <w:p>
                      <w:pPr>
                        <w:pStyle w:val="21"/>
                        <w:rPr>
                          <w:rFonts w:ascii="方正大黑简体" w:hAnsi="方正大黑简体" w:eastAsia="方正大黑简体" w:cs="方正大黑简体"/>
                          <w:b/>
                          <w:bCs/>
                          <w:color w:val="DA251C"/>
                        </w:rPr>
                      </w:pPr>
                      <w:r>
                        <w:rPr>
                          <w:rFonts w:hint="eastAsia" w:ascii="方正大黑简体" w:hAnsi="方正大黑简体" w:eastAsia="方正大黑简体" w:cs="方正大黑简体"/>
                          <w:b/>
                          <w:bCs/>
                          <w:color w:val="DA251C"/>
                          <w:kern w:val="24"/>
                          <w:sz w:val="32"/>
                          <w:szCs w:val="32"/>
                        </w:rPr>
                        <w:t>采购人</w:t>
                      </w:r>
                    </w:p>
                  </w:txbxContent>
                </v:textbox>
              </v:shape>
            </w:pict>
          </mc:Fallback>
        </mc:AlternateContent>
      </w:r>
    </w:p>
    <w:p>
      <w:pPr>
        <w:rPr>
          <w:rFonts w:ascii="宋体" w:hAnsi="宋体" w:cs="宋体"/>
          <w:sz w:val="44"/>
          <w:szCs w:val="44"/>
          <w:lang w:val="zh-CN"/>
        </w:rPr>
      </w:pPr>
    </w:p>
    <w:p>
      <w:pPr>
        <w:rPr>
          <w:rFonts w:ascii="宋体" w:hAnsi="宋体" w:cs="宋体"/>
          <w:sz w:val="44"/>
          <w:szCs w:val="44"/>
          <w:lang w:val="zh-CN"/>
        </w:rPr>
      </w:pPr>
    </w:p>
    <w:p>
      <w:pPr>
        <w:rPr>
          <w:rFonts w:ascii="宋体" w:hAnsi="宋体" w:cs="宋体"/>
          <w:sz w:val="44"/>
          <w:szCs w:val="44"/>
          <w:lang w:val="zh-CN"/>
        </w:rPr>
      </w:pPr>
    </w:p>
    <w:p>
      <w:pPr>
        <w:rPr>
          <w:rFonts w:ascii="宋体" w:hAnsi="宋体" w:cs="宋体"/>
          <w:sz w:val="44"/>
          <w:szCs w:val="44"/>
          <w:lang w:val="zh-CN"/>
        </w:rPr>
      </w:pPr>
    </w:p>
    <w:p>
      <w:pPr>
        <w:rPr>
          <w:rFonts w:ascii="宋体" w:hAnsi="宋体" w:cs="宋体"/>
          <w:sz w:val="44"/>
          <w:szCs w:val="44"/>
          <w:lang w:val="zh-CN"/>
        </w:rPr>
      </w:pPr>
    </w:p>
    <w:p>
      <w:pPr>
        <w:rPr>
          <w:rFonts w:ascii="宋体" w:hAnsi="宋体" w:cs="宋体"/>
          <w:sz w:val="44"/>
          <w:szCs w:val="44"/>
          <w:lang w:val="zh-CN"/>
        </w:rPr>
      </w:pPr>
    </w:p>
    <w:p>
      <w:pPr>
        <w:jc w:val="right"/>
        <w:rPr>
          <w:rFonts w:ascii="宋体" w:hAnsi="宋体" w:cs="宋体"/>
          <w:sz w:val="44"/>
          <w:szCs w:val="44"/>
          <w:lang w:val="zh-CN"/>
        </w:rPr>
      </w:pPr>
    </w:p>
    <w:p>
      <w:pPr>
        <w:rPr>
          <w:rFonts w:ascii="宋体" w:hAnsi="宋体" w:cs="宋体"/>
          <w:sz w:val="44"/>
          <w:szCs w:val="44"/>
          <w:lang w:val="zh-CN"/>
        </w:rPr>
      </w:pPr>
      <w:r>
        <w:rPr>
          <w:rFonts w:ascii="宋体" w:hAnsi="宋体" w:cs="宋体"/>
        </w:rPr>
        <mc:AlternateContent>
          <mc:Choice Requires="wps">
            <w:drawing>
              <wp:anchor distT="0" distB="0" distL="114300" distR="114300" simplePos="0" relativeHeight="251669504" behindDoc="0" locked="0" layoutInCell="1" allowOverlap="1">
                <wp:simplePos x="0" y="0"/>
                <wp:positionH relativeFrom="column">
                  <wp:posOffset>1548765</wp:posOffset>
                </wp:positionH>
                <wp:positionV relativeFrom="paragraph">
                  <wp:posOffset>584835</wp:posOffset>
                </wp:positionV>
                <wp:extent cx="2657475" cy="383540"/>
                <wp:effectExtent l="0" t="0" r="0" b="0"/>
                <wp:wrapNone/>
                <wp:docPr id="65" name="文本框 65"/>
                <wp:cNvGraphicFramePr/>
                <a:graphic xmlns:a="http://schemas.openxmlformats.org/drawingml/2006/main">
                  <a:graphicData uri="http://schemas.microsoft.com/office/word/2010/wordprocessingShape">
                    <wps:wsp>
                      <wps:cNvSpPr txBox="1"/>
                      <wps:spPr>
                        <a:xfrm flipH="1">
                          <a:off x="0" y="0"/>
                          <a:ext cx="2657475" cy="383540"/>
                        </a:xfrm>
                        <a:prstGeom prst="rect">
                          <a:avLst/>
                        </a:prstGeom>
                        <a:noFill/>
                        <a:ln>
                          <a:noFill/>
                        </a:ln>
                        <a:effectLst/>
                      </wps:spPr>
                      <wps:txbx>
                        <w:txbxContent>
                          <w:p>
                            <w:pPr>
                              <w:rPr>
                                <w:rFonts w:cs="黑体" w:asciiTheme="minorEastAsia" w:hAnsiTheme="minorEastAsia" w:eastAsiaTheme="minorEastAsia"/>
                                <w:kern w:val="24"/>
                                <w:sz w:val="32"/>
                                <w:szCs w:val="32"/>
                              </w:rPr>
                            </w:pPr>
                            <w:r>
                              <w:rPr>
                                <w:rFonts w:hint="eastAsia" w:cs="黑体" w:asciiTheme="minorEastAsia" w:hAnsiTheme="minorEastAsia" w:eastAsiaTheme="minorEastAsia"/>
                                <w:kern w:val="24"/>
                                <w:sz w:val="32"/>
                                <w:szCs w:val="32"/>
                              </w:rPr>
                              <w:t xml:space="preserve">SY2023-029-HW-JC </w:t>
                            </w:r>
                          </w:p>
                        </w:txbxContent>
                      </wps:txbx>
                      <wps:bodyPr wrap="square" rtlCol="0">
                        <a:noAutofit/>
                      </wps:bodyPr>
                    </wps:wsp>
                  </a:graphicData>
                </a:graphic>
              </wp:anchor>
            </w:drawing>
          </mc:Choice>
          <mc:Fallback>
            <w:pict>
              <v:shape id="_x0000_s1026" o:spid="_x0000_s1026" o:spt="202" type="#_x0000_t202" style="position:absolute;left:0pt;flip:x;margin-left:121.95pt;margin-top:46.05pt;height:30.2pt;width:209.25pt;z-index:251669504;mso-width-relative:page;mso-height-relative:page;" filled="f" stroked="f" coordsize="21600,21600" o:gfxdata="UEsDBAoAAAAAAIdO4kAAAAAAAAAAAAAAAAAEAAAAZHJzL1BLAwQUAAAACACHTuJAMREVldsAAAAK&#10;AQAADwAAAGRycy9kb3ducmV2LnhtbE2Py07DMBBF90j8gzVI7KgTkwQa4nSBhMQioDYglaUbT+Oo&#10;sR3F7oO/Z1jBcnSP7j1TrS52ZCecw+CdhHSRAEPXeT24XsLnx8vdI7AQldNq9A4lfGOAVX19ValS&#10;+7Pb4KmNPaMSF0olwcQ4lZyHzqBVYeEndJTt/WxVpHPuuZ7VmcrtyEWSFNyqwdGCURM+G+wO7dFK&#10;0M12mz8cpmZjvrL96/ium3b9JuXtTZo8AYt4iX8w/OqTOtTktPNHpwMbJYjsfkmohKVIgRFQFCID&#10;tiMyFznwuuL/X6h/AFBLAwQUAAAACACHTuJA+FEPutABAACPAwAADgAAAGRycy9lMm9Eb2MueG1s&#10;rVPBbhMxEL0j8Q+W72TTtEmrKJsKiAoHBEiFD3C846wl22NsJ7v5AfgDTly497vyHYy9aVrKpQcu&#10;K/vNzPN7M7OL694atoMQNbqan43GnIGT2Gi3qfnXLzevrjiLSbhGGHRQ8z1Efr18+WLR+TlMsEXT&#10;QGBE4uK88zVvU/LzqoqyBSviCD04CioMViS6hk3VBNERuzXVZDyeVR2GxgeUECOhqyHIj4zhOYSo&#10;lJawQrm14NLAGsCIRJZiq33ky6JWKZDpk1IREjM1J6epfOkROq/zt1ouxHwThG+1PEoQz5HwxJMV&#10;2tGjJ6qVSIJtg/6HymoZMKJKI4m2GoyUjpCLs/GT3ty2wkPxQq2O/tT0+P9o5cfd58B0U/PZlDMn&#10;LE388PPH4dfd4fd3Rhg1qPNxTnm3njJT/wZ7Wpt7PBKYffcqWKaM9u9zMCPkjVEmNXp/ajT0iUkC&#10;J7Pp5cUlPSgpdn51Pr0ok6gGnlztQ0zvAC3Lh5oHGmRhFbsPMZEmSr1PyekOb7QxZZjG/QVQ4oBA&#10;2YZjdbY0SM+n1K/7o881Nnuy2dFG1Dx+24oAnIVk3mJZoIH69Tah0kVGLh9qSFO+0JyKuuNO5UV4&#10;fC9ZD//R8g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xERWV2wAAAAoBAAAPAAAAAAAAAAEAIAAA&#10;ACIAAABkcnMvZG93bnJldi54bWxQSwECFAAUAAAACACHTuJA+FEPutABAACPAwAADgAAAAAAAAAB&#10;ACAAAAAqAQAAZHJzL2Uyb0RvYy54bWxQSwUGAAAAAAYABgBZAQAAbAUAAAAA&#10;">
                <v:fill on="f" focussize="0,0"/>
                <v:stroke on="f"/>
                <v:imagedata o:title=""/>
                <o:lock v:ext="edit" aspectratio="f"/>
                <v:textbox>
                  <w:txbxContent>
                    <w:p>
                      <w:pPr>
                        <w:rPr>
                          <w:rFonts w:cs="黑体" w:asciiTheme="minorEastAsia" w:hAnsiTheme="minorEastAsia" w:eastAsiaTheme="minorEastAsia"/>
                          <w:kern w:val="24"/>
                          <w:sz w:val="32"/>
                          <w:szCs w:val="32"/>
                        </w:rPr>
                      </w:pPr>
                      <w:r>
                        <w:rPr>
                          <w:rFonts w:hint="eastAsia" w:cs="黑体" w:asciiTheme="minorEastAsia" w:hAnsiTheme="minorEastAsia" w:eastAsiaTheme="minorEastAsia"/>
                          <w:kern w:val="24"/>
                          <w:sz w:val="32"/>
                          <w:szCs w:val="32"/>
                        </w:rPr>
                        <w:t xml:space="preserve">SY2023-029-HW-JC </w:t>
                      </w:r>
                    </w:p>
                  </w:txbxContent>
                </v:textbox>
              </v:shape>
            </w:pict>
          </mc:Fallback>
        </mc:AlternateContent>
      </w:r>
      <w:r>
        <w:rPr>
          <w:rFonts w:ascii="宋体" w:hAnsi="宋体" w:cs="宋体"/>
        </w:rPr>
        <mc:AlternateContent>
          <mc:Choice Requires="wps">
            <w:drawing>
              <wp:anchor distT="0" distB="0" distL="114300" distR="114300" simplePos="0" relativeHeight="251664384" behindDoc="0" locked="0" layoutInCell="1" allowOverlap="1">
                <wp:simplePos x="0" y="0"/>
                <wp:positionH relativeFrom="column">
                  <wp:posOffset>128270</wp:posOffset>
                </wp:positionH>
                <wp:positionV relativeFrom="paragraph">
                  <wp:posOffset>588010</wp:posOffset>
                </wp:positionV>
                <wp:extent cx="1438910" cy="396240"/>
                <wp:effectExtent l="0" t="0" r="0" b="3810"/>
                <wp:wrapNone/>
                <wp:docPr id="15" name="文本框 15"/>
                <wp:cNvGraphicFramePr/>
                <a:graphic xmlns:a="http://schemas.openxmlformats.org/drawingml/2006/main">
                  <a:graphicData uri="http://schemas.microsoft.com/office/word/2010/wordprocessingShape">
                    <wps:wsp>
                      <wps:cNvSpPr txBox="1"/>
                      <wps:spPr>
                        <a:xfrm flipH="1">
                          <a:off x="0" y="0"/>
                          <a:ext cx="1438910" cy="396240"/>
                        </a:xfrm>
                        <a:prstGeom prst="rect">
                          <a:avLst/>
                        </a:prstGeom>
                        <a:noFill/>
                        <a:ln>
                          <a:noFill/>
                        </a:ln>
                        <a:effectLst/>
                      </wps:spPr>
                      <wps:txbx>
                        <w:txbxContent>
                          <w:p>
                            <w:pPr>
                              <w:pStyle w:val="21"/>
                              <w:ind w:left="418" w:leftChars="199"/>
                              <w:rPr>
                                <w:rFonts w:ascii="汉仪粗黑简" w:hAnsi="汉仪粗黑简" w:eastAsia="汉仪粗黑简" w:cs="汉仪粗黑简"/>
                                <w:color w:val="DA251C"/>
                                <w:sz w:val="32"/>
                                <w:szCs w:val="32"/>
                              </w:rPr>
                            </w:pPr>
                            <w:r>
                              <w:rPr>
                                <w:rFonts w:hint="eastAsia" w:ascii="方正大黑简体" w:hAnsi="方正大黑简体" w:eastAsia="方正大黑简体" w:cs="方正大黑简体"/>
                                <w:b/>
                                <w:bCs/>
                                <w:color w:val="DA251C"/>
                                <w:kern w:val="24"/>
                                <w:sz w:val="32"/>
                                <w:szCs w:val="32"/>
                              </w:rPr>
                              <w:t>项目编号</w:t>
                            </w:r>
                          </w:p>
                        </w:txbxContent>
                      </wps:txbx>
                      <wps:bodyPr wrap="square" rtlCol="0">
                        <a:noAutofit/>
                      </wps:bodyPr>
                    </wps:wsp>
                  </a:graphicData>
                </a:graphic>
              </wp:anchor>
            </w:drawing>
          </mc:Choice>
          <mc:Fallback>
            <w:pict>
              <v:shape id="_x0000_s1026" o:spid="_x0000_s1026" o:spt="202" type="#_x0000_t202" style="position:absolute;left:0pt;flip:x;margin-left:10.1pt;margin-top:46.3pt;height:31.2pt;width:113.3pt;z-index:251664384;mso-width-relative:page;mso-height-relative:page;" filled="f" stroked="f" coordsize="21600,21600" o:gfxdata="UEsDBAoAAAAAAIdO4kAAAAAAAAAAAAAAAAAEAAAAZHJzL1BLAwQUAAAACACHTuJAEzaCcdkAAAAJ&#10;AQAADwAAAGRycy9kb3ducmV2LnhtbE2Py07DMBBF90j8gzVI7Khdqwk0xOkCCYlFQDQgtUs3nsZR&#10;YzuK3Qd/z7Ciy9E9unNuubq4gZ1win3wCuYzAQx9G0zvOwXfX68PT8Bi0t7oIXhU8IMRVtXtTakL&#10;E85+jacmdYxKfCy0ApvSWHAeW4tOx1kY0VO2D5PTic6p42bSZyp3A5dC5Nzp3tMHq0d8sdgemqNT&#10;YOrNJns8jPXabhf7t+HD1M3nu1L3d3PxDCzhJf3D8KdP6lCR0y4cvYlsUCCFJFLBUubAKJeLnKbs&#10;CMwyAbwq+fWC6hdQSwMEFAAAAAgAh07iQA0J8GnOAQAAjwMAAA4AAABkcnMvZTJvRG9jLnhtbK1T&#10;wW4TMRC9I/EPlu9kk7RU7SqbCogKBwRIhQ9wvHbWku0xHie7+QH4A05cuPNd+Q7G3jS05dIDl5U9&#10;8+b5vZnZxfXgLNupiAZ8w2eTKWfKS2iN3zT8y+ebF5ecYRK+FRa8avheIb9ePn+26EOt5tCBbVVk&#10;ROKx7kPDu5RCXVUoO+UETiAoT0kN0YlE17ip2ih6Yne2mk+nF1UPsQ0RpEKk6GpM8iNjfAohaG2k&#10;WoHcOuXTyBqVFYksYWcC8mVRq7WS6aPWqBKzDSenqXzpETqv87daLkS9iSJ0Rh4liKdIeOTJCePp&#10;0RPVSiTBttH8Q+WMjICg00SCq0YjpSPkYjZ91JvbTgRVvFCrMZyajv+PVn7YfYrMtLQJLznzwtHE&#10;Dz++H37+Pvz6xihGDeoD1oS7DYRMw2sYCHwXRwpm34OOjmlrwruczBHyxghJjd6fGq2GxGQuPz+7&#10;vJpRSlLu7Opifl4mUY08uTpETG8VOJYPDY80yMIqdu8xkSaC3kEy3MONsbYM0/oHAQKOEVW24Vid&#10;LY3S8ykN6+Hocw3tnmz2tBENx69bERVnMdk3UBZopH61TaBNkZHLxxrSlC80p6LuuFN5Ee7fC+rv&#10;f7T8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BM2gnHZAAAACQEAAA8AAAAAAAAAAQAgAAAAIgAA&#10;AGRycy9kb3ducmV2LnhtbFBLAQIUABQAAAAIAIdO4kANCfBpzgEAAI8DAAAOAAAAAAAAAAEAIAAA&#10;ACgBAABkcnMvZTJvRG9jLnhtbFBLBQYAAAAABgAGAFkBAABoBQAAAAA=&#10;">
                <v:fill on="f" focussize="0,0"/>
                <v:stroke on="f"/>
                <v:imagedata o:title=""/>
                <o:lock v:ext="edit" aspectratio="f"/>
                <v:textbox>
                  <w:txbxContent>
                    <w:p>
                      <w:pPr>
                        <w:pStyle w:val="21"/>
                        <w:ind w:left="418" w:leftChars="199"/>
                        <w:rPr>
                          <w:rFonts w:ascii="汉仪粗黑简" w:hAnsi="汉仪粗黑简" w:eastAsia="汉仪粗黑简" w:cs="汉仪粗黑简"/>
                          <w:color w:val="DA251C"/>
                          <w:sz w:val="32"/>
                          <w:szCs w:val="32"/>
                        </w:rPr>
                      </w:pPr>
                      <w:r>
                        <w:rPr>
                          <w:rFonts w:hint="eastAsia" w:ascii="方正大黑简体" w:hAnsi="方正大黑简体" w:eastAsia="方正大黑简体" w:cs="方正大黑简体"/>
                          <w:b/>
                          <w:bCs/>
                          <w:color w:val="DA251C"/>
                          <w:kern w:val="24"/>
                          <w:sz w:val="32"/>
                          <w:szCs w:val="32"/>
                        </w:rPr>
                        <w:t>项目编号</w:t>
                      </w:r>
                    </w:p>
                  </w:txbxContent>
                </v:textbox>
              </v:shape>
            </w:pict>
          </mc:Fallback>
        </mc:AlternateContent>
      </w:r>
      <w:r>
        <w:rPr>
          <w:rFonts w:ascii="宋体" w:hAnsi="宋体" w:cs="宋体"/>
        </w:rPr>
        <mc:AlternateContent>
          <mc:Choice Requires="wps">
            <w:drawing>
              <wp:anchor distT="0" distB="0" distL="114300" distR="114300" simplePos="0" relativeHeight="251672576" behindDoc="0" locked="0" layoutInCell="1" allowOverlap="1">
                <wp:simplePos x="0" y="0"/>
                <wp:positionH relativeFrom="column">
                  <wp:posOffset>399415</wp:posOffset>
                </wp:positionH>
                <wp:positionV relativeFrom="paragraph">
                  <wp:posOffset>1036320</wp:posOffset>
                </wp:positionV>
                <wp:extent cx="1028700" cy="409575"/>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028700" cy="409575"/>
                        </a:xfrm>
                        <a:prstGeom prst="rect">
                          <a:avLst/>
                        </a:prstGeom>
                        <a:noFill/>
                        <a:ln w="6350">
                          <a:noFill/>
                        </a:ln>
                        <a:effectLst/>
                      </wps:spPr>
                      <wps:txbx>
                        <w:txbxContent>
                          <w:p>
                            <w:pPr>
                              <w:rPr>
                                <w:rFonts w:ascii="方正大黑简体" w:hAnsi="方正大黑简体" w:eastAsia="方正大黑简体" w:cs="方正大黑简体"/>
                                <w:b/>
                                <w:bCs/>
                                <w:color w:val="DA251C"/>
                                <w:sz w:val="32"/>
                                <w:szCs w:val="32"/>
                              </w:rPr>
                            </w:pPr>
                            <w:r>
                              <w:rPr>
                                <w:rFonts w:hint="eastAsia" w:ascii="方正大黑简体" w:hAnsi="方正大黑简体" w:eastAsia="方正大黑简体" w:cs="方正大黑简体"/>
                                <w:b/>
                                <w:bCs/>
                                <w:color w:val="DA251C"/>
                                <w:sz w:val="32"/>
                                <w:szCs w:val="32"/>
                              </w:rPr>
                              <w:t>项目名称</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1.45pt;margin-top:81.6pt;height:32.25pt;width:81pt;z-index:251672576;mso-width-relative:page;mso-height-relative:page;" filled="f" stroked="f" coordsize="21600,21600" o:gfxdata="UEsDBAoAAAAAAIdO4kAAAAAAAAAAAAAAAAAEAAAAZHJzL1BLAwQUAAAACACHTuJAdcvL/toAAAAK&#10;AQAADwAAAGRycy9kb3ducmV2LnhtbE2PzU7DMBCE70i8g7VI3KhTA2lJ41QoUoWE4NDSCzcn3iZR&#10;43WI3R94erYnuO3OjGa/zZdn14sjjqHzpGE6SUAg1d521GjYfqzu5iBCNGRN7wk1fGOAZXF9lZvM&#10;+hOt8biJjeASCpnR0MY4ZFKGukVnwsQPSOzt/OhM5HVspB3NictdL1WSpNKZjvhCawYsW6z3m4PT&#10;8Fqu3s26Um7+05cvb7vn4Wv7+aj17c00WYCIeI5/YbjgMzoUzFT5A9kgeg2peuIk6+m9AsEBpR5Y&#10;qS7DbAayyOX/F4pfUEsDBBQAAAAIAIdO4kCFkCBtQQIAAHYEAAAOAAAAZHJzL2Uyb0RvYy54bWyt&#10;VEtu2zAQ3RfoHQjuG8munY9hOXBjpCgQNAHcomuaoiwB/JWkI6UHaG+QVTfd91w+Rx8p2zHSLrLo&#10;hhpyhm/mvRlqetkpSe6F843RBR2c5JQIzU3Z6HVBP3+6fnNOiQ9Ml0waLQr6IDy9nL1+NW3tRAxN&#10;bWQpHAGI9pPWFrQOwU6yzPNaKOZPjBUazso4xQK2bp2VjrVAVzIb5vlp1hpXWme48B6ni95Jd4ju&#10;JYCmqhouFoZvlNChR3VCsgBKvm6sp7NUbVUJHm6ryotAZEHBNKQVSWCv4prNpmyydszWDd+VwF5S&#10;wjNOijUaSQ9QCxYY2bjmLyjVcGe8qcIJNyrriSRFwGKQP9NmWTMrEhdI7e1BdP//YPnH+ztHmhKT&#10;AEk0U+j49vHH9ufv7a/vBGcQqLV+grilRWTo3pkOwftzj8PIu6ucil8wIvAD6+Egr+gC4fFSPjw/&#10;y+Hi8I3yi/HZOMJkT7et8+G9MIpEo6AO7UuqsvsbH/rQfUhMps11I2VqodSkLejp23GeLhw8AJc6&#10;xoo0DDuYyKivPFqhW3U7mitTPoClM/2geMuvG5Ryw3y4Yw6TgerxdsItlkoapDQ7i5LauG//Oo/x&#10;aBi8lLSYtIL6rxvmBCXyg0YrLwajEWBD2ozGZ0Ns3LFndezRG3VlMMwDvFLLkxnjg9yblTPqC57Y&#10;PGaFi2mO3AUNe/Mq9POPJ8rFfJ6CMIyWhRu9tDxC9+LON8FUTdI9ytRrg37FDcYxdW73dOK8H+9T&#10;1NPvYvYH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dcvL/toAAAAKAQAADwAAAAAAAAABACAAAAAi&#10;AAAAZHJzL2Rvd25yZXYueG1sUEsBAhQAFAAAAAgAh07iQIWQIG1BAgAAdgQAAA4AAAAAAAAAAQAg&#10;AAAAKQEAAGRycy9lMm9Eb2MueG1sUEsFBgAAAAAGAAYAWQEAANwFAAAAAA==&#10;">
                <v:fill on="f" focussize="0,0"/>
                <v:stroke on="f" weight="0.5pt"/>
                <v:imagedata o:title=""/>
                <o:lock v:ext="edit" aspectratio="f"/>
                <v:textbox>
                  <w:txbxContent>
                    <w:p>
                      <w:pPr>
                        <w:rPr>
                          <w:rFonts w:ascii="方正大黑简体" w:hAnsi="方正大黑简体" w:eastAsia="方正大黑简体" w:cs="方正大黑简体"/>
                          <w:b/>
                          <w:bCs/>
                          <w:color w:val="DA251C"/>
                          <w:sz w:val="32"/>
                          <w:szCs w:val="32"/>
                        </w:rPr>
                      </w:pPr>
                      <w:r>
                        <w:rPr>
                          <w:rFonts w:hint="eastAsia" w:ascii="方正大黑简体" w:hAnsi="方正大黑简体" w:eastAsia="方正大黑简体" w:cs="方正大黑简体"/>
                          <w:b/>
                          <w:bCs/>
                          <w:color w:val="DA251C"/>
                          <w:sz w:val="32"/>
                          <w:szCs w:val="32"/>
                        </w:rPr>
                        <w:t>项目名称</w:t>
                      </w:r>
                    </w:p>
                  </w:txbxContent>
                </v:textbox>
              </v:shape>
            </w:pict>
          </mc:Fallback>
        </mc:AlternateContent>
      </w:r>
    </w:p>
    <w:p>
      <w:pPr>
        <w:rPr>
          <w:rFonts w:ascii="宋体" w:hAnsi="宋体" w:cs="宋体"/>
          <w:sz w:val="44"/>
          <w:szCs w:val="44"/>
          <w:lang w:val="zh-CN"/>
        </w:rPr>
        <w:sectPr>
          <w:headerReference r:id="rId3" w:type="default"/>
          <w:pgSz w:w="11906" w:h="16838"/>
          <w:pgMar w:top="1701" w:right="1474" w:bottom="1701" w:left="1474" w:header="851" w:footer="1134" w:gutter="0"/>
          <w:cols w:space="720" w:num="1"/>
          <w:docGrid w:linePitch="579" w:charSpace="1229"/>
        </w:sectPr>
      </w:pPr>
    </w:p>
    <w:sdt>
      <w:sdtPr>
        <w:rPr>
          <w:rFonts w:ascii="Times New Roman" w:hAnsi="Times New Roman" w:eastAsia="宋体" w:cs="Times New Roman"/>
          <w:color w:val="auto"/>
          <w:kern w:val="2"/>
          <w:sz w:val="21"/>
          <w:szCs w:val="24"/>
          <w:lang w:val="zh-CN"/>
        </w:rPr>
        <w:id w:val="-1709556474"/>
        <w:docPartObj>
          <w:docPartGallery w:val="Table of Contents"/>
          <w:docPartUnique/>
        </w:docPartObj>
      </w:sdtPr>
      <w:sdtEndPr>
        <w:rPr>
          <w:rFonts w:ascii="Times New Roman" w:hAnsi="Times New Roman" w:eastAsia="宋体" w:cs="Times New Roman"/>
          <w:color w:val="auto"/>
          <w:kern w:val="2"/>
          <w:sz w:val="21"/>
          <w:szCs w:val="24"/>
          <w:lang w:val="zh-CN"/>
        </w:rPr>
      </w:sdtEndPr>
      <w:sdtContent>
        <w:p>
          <w:pPr>
            <w:pStyle w:val="52"/>
            <w:jc w:val="center"/>
            <w:rPr>
              <w:b/>
              <w:sz w:val="40"/>
              <w:lang w:val="zh-CN"/>
            </w:rPr>
          </w:pPr>
          <w:r>
            <w:rPr>
              <w:b/>
              <w:sz w:val="40"/>
              <w:lang w:val="zh-CN"/>
            </w:rPr>
            <w:t>目录</w:t>
          </w:r>
        </w:p>
        <w:p>
          <w:pPr>
            <w:rPr>
              <w:lang w:val="zh-CN"/>
            </w:rPr>
          </w:pPr>
        </w:p>
        <w:p>
          <w:pPr>
            <w:pStyle w:val="18"/>
            <w:tabs>
              <w:tab w:val="right" w:leader="dot" w:pos="8296"/>
            </w:tabs>
            <w:spacing w:line="276" w:lineRule="auto"/>
            <w:rPr>
              <w:rFonts w:eastAsiaTheme="minorEastAsia"/>
              <w:sz w:val="21"/>
              <w:szCs w:val="21"/>
            </w:rPr>
          </w:pPr>
          <w:r>
            <w:fldChar w:fldCharType="begin"/>
          </w:r>
          <w:r>
            <w:instrText xml:space="preserve"> TOC \o "1-3" \h \z \u </w:instrText>
          </w:r>
          <w:r>
            <w:fldChar w:fldCharType="separate"/>
          </w:r>
          <w:r>
            <w:fldChar w:fldCharType="begin"/>
          </w:r>
          <w:r>
            <w:instrText xml:space="preserve"> HYPERLINK \l "_Toc122338083" </w:instrText>
          </w:r>
          <w:r>
            <w:fldChar w:fldCharType="separate"/>
          </w:r>
          <w:r>
            <w:rPr>
              <w:rStyle w:val="30"/>
              <w:rFonts w:hint="eastAsia" w:ascii="宋体" w:hAnsi="宋体" w:cs="宋体"/>
              <w:sz w:val="21"/>
              <w:szCs w:val="21"/>
            </w:rPr>
            <w:t>第一章 采购公告</w:t>
          </w:r>
          <w:r>
            <w:rPr>
              <w:sz w:val="21"/>
              <w:szCs w:val="21"/>
            </w:rPr>
            <w:tab/>
          </w:r>
          <w:r>
            <w:rPr>
              <w:sz w:val="21"/>
              <w:szCs w:val="21"/>
            </w:rPr>
            <w:fldChar w:fldCharType="begin"/>
          </w:r>
          <w:r>
            <w:rPr>
              <w:sz w:val="21"/>
              <w:szCs w:val="21"/>
            </w:rPr>
            <w:instrText xml:space="preserve"> PAGEREF _Toc122338083 \h </w:instrText>
          </w:r>
          <w:r>
            <w:rPr>
              <w:sz w:val="21"/>
              <w:szCs w:val="21"/>
            </w:rPr>
            <w:fldChar w:fldCharType="separate"/>
          </w:r>
          <w:r>
            <w:rPr>
              <w:sz w:val="21"/>
              <w:szCs w:val="21"/>
            </w:rPr>
            <w:t>3</w:t>
          </w:r>
          <w:r>
            <w:rPr>
              <w:sz w:val="21"/>
              <w:szCs w:val="21"/>
            </w:rPr>
            <w:fldChar w:fldCharType="end"/>
          </w:r>
          <w:r>
            <w:rPr>
              <w:sz w:val="21"/>
              <w:szCs w:val="21"/>
            </w:rPr>
            <w:fldChar w:fldCharType="end"/>
          </w:r>
        </w:p>
        <w:p>
          <w:pPr>
            <w:pStyle w:val="18"/>
            <w:tabs>
              <w:tab w:val="right" w:leader="dot" w:pos="8296"/>
            </w:tabs>
            <w:spacing w:line="276" w:lineRule="auto"/>
            <w:rPr>
              <w:rFonts w:eastAsiaTheme="minorEastAsia"/>
              <w:sz w:val="21"/>
              <w:szCs w:val="21"/>
            </w:rPr>
          </w:pPr>
          <w:r>
            <w:fldChar w:fldCharType="begin"/>
          </w:r>
          <w:r>
            <w:instrText xml:space="preserve"> HYPERLINK \l "_Toc122338085" </w:instrText>
          </w:r>
          <w:r>
            <w:fldChar w:fldCharType="separate"/>
          </w:r>
          <w:r>
            <w:rPr>
              <w:rStyle w:val="30"/>
              <w:rFonts w:hint="eastAsia" w:ascii="宋体" w:hAnsi="宋体" w:cs="宋体"/>
              <w:sz w:val="21"/>
              <w:szCs w:val="21"/>
            </w:rPr>
            <w:t>第二章供货商须知</w:t>
          </w:r>
          <w:r>
            <w:rPr>
              <w:sz w:val="21"/>
              <w:szCs w:val="21"/>
            </w:rPr>
            <w:tab/>
          </w:r>
          <w:r>
            <w:rPr>
              <w:sz w:val="21"/>
              <w:szCs w:val="21"/>
            </w:rPr>
            <w:fldChar w:fldCharType="begin"/>
          </w:r>
          <w:r>
            <w:rPr>
              <w:sz w:val="21"/>
              <w:szCs w:val="21"/>
            </w:rPr>
            <w:instrText xml:space="preserve"> PAGEREF _Toc122338085 \h </w:instrText>
          </w:r>
          <w:r>
            <w:rPr>
              <w:sz w:val="21"/>
              <w:szCs w:val="21"/>
            </w:rPr>
            <w:fldChar w:fldCharType="separate"/>
          </w:r>
          <w:r>
            <w:rPr>
              <w:sz w:val="21"/>
              <w:szCs w:val="21"/>
            </w:rPr>
            <w:t>6</w:t>
          </w:r>
          <w:r>
            <w:rPr>
              <w:sz w:val="21"/>
              <w:szCs w:val="21"/>
            </w:rPr>
            <w:fldChar w:fldCharType="end"/>
          </w:r>
          <w:r>
            <w:rPr>
              <w:sz w:val="21"/>
              <w:szCs w:val="21"/>
            </w:rPr>
            <w:fldChar w:fldCharType="end"/>
          </w:r>
        </w:p>
        <w:p>
          <w:pPr>
            <w:pStyle w:val="20"/>
            <w:tabs>
              <w:tab w:val="right" w:leader="dot" w:pos="8296"/>
            </w:tabs>
            <w:spacing w:line="276" w:lineRule="auto"/>
            <w:rPr>
              <w:rFonts w:eastAsiaTheme="minorEastAsia"/>
              <w:sz w:val="21"/>
              <w:szCs w:val="21"/>
            </w:rPr>
          </w:pPr>
          <w:r>
            <w:fldChar w:fldCharType="begin"/>
          </w:r>
          <w:r>
            <w:instrText xml:space="preserve"> HYPERLINK \l "_Toc122338086" </w:instrText>
          </w:r>
          <w:r>
            <w:fldChar w:fldCharType="separate"/>
          </w:r>
          <w:r>
            <w:rPr>
              <w:rStyle w:val="30"/>
              <w:rFonts w:hint="eastAsia" w:ascii="宋体" w:hAnsi="宋体" w:cs="宋体"/>
              <w:sz w:val="21"/>
              <w:szCs w:val="21"/>
            </w:rPr>
            <w:t>一、总则</w:t>
          </w:r>
          <w:r>
            <w:rPr>
              <w:rFonts w:hint="eastAsia"/>
              <w:sz w:val="21"/>
              <w:szCs w:val="21"/>
            </w:rPr>
            <w:t>..................................................................................................................................7</w:t>
          </w:r>
          <w:r>
            <w:rPr>
              <w:rFonts w:hint="eastAsia"/>
              <w:sz w:val="21"/>
              <w:szCs w:val="21"/>
            </w:rPr>
            <w:fldChar w:fldCharType="end"/>
          </w:r>
        </w:p>
        <w:p>
          <w:pPr>
            <w:pStyle w:val="20"/>
            <w:tabs>
              <w:tab w:val="right" w:leader="dot" w:pos="8296"/>
            </w:tabs>
            <w:spacing w:line="276" w:lineRule="auto"/>
            <w:rPr>
              <w:rFonts w:eastAsiaTheme="minorEastAsia"/>
              <w:sz w:val="21"/>
              <w:szCs w:val="21"/>
            </w:rPr>
          </w:pPr>
          <w:r>
            <w:fldChar w:fldCharType="begin"/>
          </w:r>
          <w:r>
            <w:instrText xml:space="preserve"> HYPERLINK \l "_Toc122338087" </w:instrText>
          </w:r>
          <w:r>
            <w:fldChar w:fldCharType="separate"/>
          </w:r>
          <w:r>
            <w:rPr>
              <w:rStyle w:val="30"/>
              <w:rFonts w:hint="eastAsia" w:ascii="宋体" w:hAnsi="宋体" w:cs="宋体"/>
              <w:sz w:val="21"/>
              <w:szCs w:val="21"/>
            </w:rPr>
            <w:t>二、磋商响应文件的编制及保证金收取........................................</w:t>
          </w:r>
          <w:r>
            <w:rPr>
              <w:rFonts w:hint="eastAsia"/>
              <w:sz w:val="21"/>
              <w:szCs w:val="21"/>
            </w:rPr>
            <w:t>8</w:t>
          </w:r>
          <w:r>
            <w:rPr>
              <w:rFonts w:hint="eastAsia"/>
              <w:sz w:val="21"/>
              <w:szCs w:val="21"/>
            </w:rPr>
            <w:fldChar w:fldCharType="end"/>
          </w:r>
        </w:p>
        <w:p>
          <w:pPr>
            <w:pStyle w:val="20"/>
            <w:tabs>
              <w:tab w:val="right" w:leader="dot" w:pos="8296"/>
            </w:tabs>
            <w:spacing w:line="276" w:lineRule="auto"/>
            <w:rPr>
              <w:sz w:val="21"/>
              <w:szCs w:val="21"/>
            </w:rPr>
          </w:pPr>
          <w:r>
            <w:fldChar w:fldCharType="begin"/>
          </w:r>
          <w:r>
            <w:instrText xml:space="preserve"> HYPERLINK \l "_Toc122338088" </w:instrText>
          </w:r>
          <w:r>
            <w:fldChar w:fldCharType="separate"/>
          </w:r>
          <w:r>
            <w:rPr>
              <w:rStyle w:val="30"/>
              <w:rFonts w:hint="eastAsia" w:ascii="宋体" w:hAnsi="宋体" w:cs="宋体"/>
              <w:sz w:val="21"/>
              <w:szCs w:val="21"/>
            </w:rPr>
            <w:t>三、投标（响应）文件的递交</w:t>
          </w:r>
          <w:r>
            <w:rPr>
              <w:rFonts w:hint="eastAsia"/>
              <w:sz w:val="21"/>
              <w:szCs w:val="21"/>
            </w:rPr>
            <w:t>..............................................................................................8</w:t>
          </w:r>
          <w:r>
            <w:rPr>
              <w:rFonts w:hint="eastAsia"/>
              <w:sz w:val="21"/>
              <w:szCs w:val="21"/>
            </w:rPr>
            <w:fldChar w:fldCharType="end"/>
          </w:r>
        </w:p>
        <w:p>
          <w:pPr>
            <w:pStyle w:val="20"/>
            <w:tabs>
              <w:tab w:val="right" w:leader="dot" w:pos="8296"/>
            </w:tabs>
            <w:spacing w:line="276" w:lineRule="auto"/>
            <w:rPr>
              <w:sz w:val="21"/>
              <w:szCs w:val="21"/>
            </w:rPr>
          </w:pPr>
          <w:r>
            <w:fldChar w:fldCharType="begin"/>
          </w:r>
          <w:r>
            <w:instrText xml:space="preserve"> HYPERLINK \l "_Toc122338089" </w:instrText>
          </w:r>
          <w:r>
            <w:fldChar w:fldCharType="separate"/>
          </w:r>
          <w:r>
            <w:rPr>
              <w:rStyle w:val="30"/>
              <w:rFonts w:hint="eastAsia" w:ascii="宋体" w:hAnsi="宋体" w:cs="宋体"/>
              <w:sz w:val="21"/>
              <w:szCs w:val="21"/>
            </w:rPr>
            <w:t>四、磋商与评审</w:t>
          </w:r>
          <w:r>
            <w:rPr>
              <w:rFonts w:hint="eastAsia"/>
              <w:sz w:val="21"/>
              <w:szCs w:val="21"/>
            </w:rPr>
            <w:t>.....................................................................................................................1</w:t>
          </w:r>
          <w:r>
            <w:rPr>
              <w:rFonts w:hint="eastAsia"/>
              <w:sz w:val="21"/>
              <w:szCs w:val="21"/>
            </w:rPr>
            <w:fldChar w:fldCharType="end"/>
          </w:r>
          <w:r>
            <w:rPr>
              <w:rFonts w:hint="eastAsia"/>
              <w:sz w:val="21"/>
              <w:szCs w:val="21"/>
            </w:rPr>
            <w:t>0</w:t>
          </w:r>
        </w:p>
        <w:p>
          <w:pPr>
            <w:pStyle w:val="20"/>
            <w:tabs>
              <w:tab w:val="right" w:leader="dot" w:pos="8296"/>
            </w:tabs>
            <w:spacing w:line="276" w:lineRule="auto"/>
            <w:rPr>
              <w:sz w:val="21"/>
              <w:szCs w:val="21"/>
            </w:rPr>
          </w:pPr>
          <w:r>
            <w:fldChar w:fldCharType="begin"/>
          </w:r>
          <w:r>
            <w:instrText xml:space="preserve"> HYPERLINK \l "_Toc122338090" </w:instrText>
          </w:r>
          <w:r>
            <w:fldChar w:fldCharType="separate"/>
          </w:r>
          <w:r>
            <w:rPr>
              <w:rStyle w:val="30"/>
              <w:rFonts w:hint="eastAsia" w:ascii="宋体" w:hAnsi="宋体" w:cs="宋体"/>
              <w:sz w:val="21"/>
              <w:szCs w:val="21"/>
            </w:rPr>
            <w:t>五、成交</w:t>
          </w:r>
          <w:r>
            <w:rPr>
              <w:rFonts w:hint="eastAsia"/>
              <w:sz w:val="21"/>
              <w:szCs w:val="21"/>
            </w:rPr>
            <w:t>.................................................................................................................................1</w:t>
          </w:r>
          <w:r>
            <w:rPr>
              <w:rFonts w:hint="eastAsia"/>
              <w:sz w:val="21"/>
              <w:szCs w:val="21"/>
            </w:rPr>
            <w:fldChar w:fldCharType="end"/>
          </w:r>
          <w:r>
            <w:rPr>
              <w:rFonts w:hint="eastAsia"/>
              <w:sz w:val="21"/>
              <w:szCs w:val="21"/>
            </w:rPr>
            <w:t>4</w:t>
          </w:r>
        </w:p>
        <w:p>
          <w:pPr>
            <w:pStyle w:val="20"/>
            <w:tabs>
              <w:tab w:val="right" w:leader="dot" w:pos="8296"/>
            </w:tabs>
            <w:spacing w:line="276" w:lineRule="auto"/>
            <w:rPr>
              <w:sz w:val="21"/>
              <w:szCs w:val="21"/>
            </w:rPr>
          </w:pPr>
          <w:r>
            <w:fldChar w:fldCharType="begin"/>
          </w:r>
          <w:r>
            <w:instrText xml:space="preserve"> HYPERLINK \l "_Toc122338091" </w:instrText>
          </w:r>
          <w:r>
            <w:fldChar w:fldCharType="separate"/>
          </w:r>
          <w:r>
            <w:rPr>
              <w:rStyle w:val="30"/>
              <w:rFonts w:hint="eastAsia" w:ascii="宋体" w:hAnsi="宋体" w:cs="宋体"/>
              <w:sz w:val="21"/>
              <w:szCs w:val="21"/>
            </w:rPr>
            <w:t>六、合同签订相关事项</w:t>
          </w:r>
          <w:r>
            <w:rPr>
              <w:rFonts w:hint="eastAsia"/>
              <w:sz w:val="21"/>
              <w:szCs w:val="21"/>
            </w:rPr>
            <w:t>.........................................................................................................1</w:t>
          </w:r>
          <w:r>
            <w:rPr>
              <w:rFonts w:hint="eastAsia"/>
              <w:sz w:val="21"/>
              <w:szCs w:val="21"/>
            </w:rPr>
            <w:fldChar w:fldCharType="end"/>
          </w:r>
          <w:r>
            <w:rPr>
              <w:rFonts w:hint="eastAsia"/>
              <w:sz w:val="21"/>
              <w:szCs w:val="21"/>
            </w:rPr>
            <w:t>5</w:t>
          </w:r>
        </w:p>
        <w:p>
          <w:pPr>
            <w:pStyle w:val="20"/>
            <w:tabs>
              <w:tab w:val="right" w:leader="dot" w:pos="8296"/>
            </w:tabs>
            <w:spacing w:line="276" w:lineRule="auto"/>
            <w:rPr>
              <w:sz w:val="21"/>
              <w:szCs w:val="21"/>
            </w:rPr>
          </w:pPr>
          <w:r>
            <w:fldChar w:fldCharType="begin"/>
          </w:r>
          <w:r>
            <w:instrText xml:space="preserve"> HYPERLINK \l "_Toc122338092" </w:instrText>
          </w:r>
          <w:r>
            <w:fldChar w:fldCharType="separate"/>
          </w:r>
          <w:r>
            <w:rPr>
              <w:rStyle w:val="30"/>
              <w:rFonts w:hint="eastAsia" w:ascii="宋体" w:hAnsi="宋体" w:cs="宋体"/>
              <w:sz w:val="21"/>
              <w:szCs w:val="21"/>
            </w:rPr>
            <w:t>七、其他</w:t>
          </w:r>
          <w:r>
            <w:rPr>
              <w:rFonts w:hint="eastAsia"/>
              <w:sz w:val="21"/>
              <w:szCs w:val="21"/>
            </w:rPr>
            <w:t>.................................................................................................................................1</w:t>
          </w:r>
          <w:r>
            <w:rPr>
              <w:rFonts w:hint="eastAsia"/>
              <w:sz w:val="21"/>
              <w:szCs w:val="21"/>
            </w:rPr>
            <w:fldChar w:fldCharType="end"/>
          </w:r>
          <w:r>
            <w:rPr>
              <w:rFonts w:hint="eastAsia"/>
              <w:sz w:val="21"/>
              <w:szCs w:val="21"/>
            </w:rPr>
            <w:t>7</w:t>
          </w:r>
        </w:p>
        <w:p>
          <w:pPr>
            <w:pStyle w:val="18"/>
            <w:tabs>
              <w:tab w:val="right" w:leader="dot" w:pos="8296"/>
            </w:tabs>
            <w:spacing w:line="276" w:lineRule="auto"/>
            <w:rPr>
              <w:rFonts w:eastAsiaTheme="minorEastAsia"/>
              <w:sz w:val="21"/>
              <w:szCs w:val="21"/>
            </w:rPr>
          </w:pPr>
          <w:r>
            <w:fldChar w:fldCharType="begin"/>
          </w:r>
          <w:r>
            <w:instrText xml:space="preserve"> HYPERLINK \l "_Toc122338093" </w:instrText>
          </w:r>
          <w:r>
            <w:fldChar w:fldCharType="separate"/>
          </w:r>
          <w:r>
            <w:rPr>
              <w:rStyle w:val="30"/>
              <w:rFonts w:hint="eastAsia" w:ascii="宋体" w:hAnsi="宋体" w:cs="宋体"/>
              <w:sz w:val="21"/>
              <w:szCs w:val="21"/>
            </w:rPr>
            <w:t>第三章采购需求及政府采购合同（拟签订的合同文本）</w:t>
          </w:r>
          <w:r>
            <w:rPr>
              <w:sz w:val="21"/>
              <w:szCs w:val="21"/>
            </w:rPr>
            <w:tab/>
          </w:r>
          <w:r>
            <w:rPr>
              <w:sz w:val="21"/>
              <w:szCs w:val="21"/>
            </w:rPr>
            <w:fldChar w:fldCharType="begin"/>
          </w:r>
          <w:r>
            <w:rPr>
              <w:sz w:val="21"/>
              <w:szCs w:val="21"/>
            </w:rPr>
            <w:instrText xml:space="preserve"> PAGEREF _Toc122338093 \h </w:instrText>
          </w:r>
          <w:r>
            <w:rPr>
              <w:sz w:val="21"/>
              <w:szCs w:val="21"/>
            </w:rPr>
            <w:fldChar w:fldCharType="separate"/>
          </w:r>
          <w:r>
            <w:rPr>
              <w:sz w:val="21"/>
              <w:szCs w:val="21"/>
            </w:rPr>
            <w:t>15</w:t>
          </w:r>
          <w:r>
            <w:rPr>
              <w:sz w:val="21"/>
              <w:szCs w:val="21"/>
            </w:rPr>
            <w:fldChar w:fldCharType="end"/>
          </w:r>
          <w:r>
            <w:rPr>
              <w:sz w:val="21"/>
              <w:szCs w:val="21"/>
            </w:rPr>
            <w:fldChar w:fldCharType="end"/>
          </w:r>
        </w:p>
        <w:p>
          <w:pPr>
            <w:pStyle w:val="20"/>
            <w:tabs>
              <w:tab w:val="right" w:leader="dot" w:pos="8296"/>
            </w:tabs>
            <w:spacing w:line="276" w:lineRule="auto"/>
            <w:rPr>
              <w:rFonts w:eastAsiaTheme="minorEastAsia"/>
              <w:sz w:val="21"/>
              <w:szCs w:val="21"/>
            </w:rPr>
          </w:pPr>
          <w:r>
            <w:fldChar w:fldCharType="begin"/>
          </w:r>
          <w:r>
            <w:instrText xml:space="preserve"> HYPERLINK \l "_Toc122338094" </w:instrText>
          </w:r>
          <w:r>
            <w:fldChar w:fldCharType="separate"/>
          </w:r>
          <w:r>
            <w:rPr>
              <w:rStyle w:val="30"/>
              <w:rFonts w:hint="eastAsia" w:ascii="宋体" w:hAnsi="宋体" w:cs="宋体"/>
              <w:bCs/>
              <w:sz w:val="21"/>
              <w:szCs w:val="21"/>
            </w:rPr>
            <w:t>采购需求及</w:t>
          </w:r>
          <w:r>
            <w:rPr>
              <w:rStyle w:val="30"/>
              <w:rFonts w:hint="eastAsia" w:ascii="宋体" w:hAnsi="宋体"/>
              <w:sz w:val="21"/>
              <w:szCs w:val="21"/>
            </w:rPr>
            <w:t>政府采购合同</w:t>
          </w:r>
          <w:r>
            <w:rPr>
              <w:rStyle w:val="30"/>
              <w:rFonts w:hint="eastAsia" w:ascii="宋体" w:hAnsi="宋体" w:cs="宋体"/>
              <w:bCs/>
              <w:sz w:val="21"/>
              <w:szCs w:val="21"/>
            </w:rPr>
            <w:t>前附表</w:t>
          </w:r>
          <w:r>
            <w:rPr>
              <w:sz w:val="21"/>
              <w:szCs w:val="21"/>
            </w:rPr>
            <w:tab/>
          </w:r>
          <w:r>
            <w:rPr>
              <w:sz w:val="21"/>
              <w:szCs w:val="21"/>
            </w:rPr>
            <w:fldChar w:fldCharType="begin"/>
          </w:r>
          <w:r>
            <w:rPr>
              <w:sz w:val="21"/>
              <w:szCs w:val="21"/>
            </w:rPr>
            <w:instrText xml:space="preserve"> PAGEREF _Toc122338094 \h </w:instrText>
          </w:r>
          <w:r>
            <w:rPr>
              <w:sz w:val="21"/>
              <w:szCs w:val="21"/>
            </w:rPr>
            <w:fldChar w:fldCharType="separate"/>
          </w:r>
          <w:r>
            <w:rPr>
              <w:sz w:val="21"/>
              <w:szCs w:val="21"/>
            </w:rPr>
            <w:t>15</w:t>
          </w:r>
          <w:r>
            <w:rPr>
              <w:sz w:val="21"/>
              <w:szCs w:val="21"/>
            </w:rPr>
            <w:fldChar w:fldCharType="end"/>
          </w:r>
          <w:r>
            <w:rPr>
              <w:sz w:val="21"/>
              <w:szCs w:val="21"/>
            </w:rPr>
            <w:fldChar w:fldCharType="end"/>
          </w:r>
        </w:p>
        <w:p>
          <w:pPr>
            <w:pStyle w:val="20"/>
            <w:tabs>
              <w:tab w:val="right" w:leader="dot" w:pos="8296"/>
            </w:tabs>
            <w:spacing w:line="276" w:lineRule="auto"/>
            <w:rPr>
              <w:rFonts w:eastAsiaTheme="minorEastAsia"/>
              <w:sz w:val="21"/>
              <w:szCs w:val="21"/>
            </w:rPr>
          </w:pPr>
          <w:r>
            <w:fldChar w:fldCharType="begin"/>
          </w:r>
          <w:r>
            <w:instrText xml:space="preserve"> HYPERLINK \l "_Toc122338096" </w:instrText>
          </w:r>
          <w:r>
            <w:fldChar w:fldCharType="separate"/>
          </w:r>
          <w:r>
            <w:rPr>
              <w:rStyle w:val="30"/>
              <w:rFonts w:hint="eastAsia" w:ascii="宋体" w:hAnsi="宋体" w:cs="宋体"/>
              <w:sz w:val="21"/>
              <w:szCs w:val="21"/>
            </w:rPr>
            <w:t>第一项采购需求</w:t>
          </w:r>
          <w:r>
            <w:rPr>
              <w:sz w:val="21"/>
              <w:szCs w:val="21"/>
            </w:rPr>
            <w:tab/>
          </w:r>
          <w:r>
            <w:rPr>
              <w:sz w:val="21"/>
              <w:szCs w:val="21"/>
            </w:rPr>
            <w:fldChar w:fldCharType="begin"/>
          </w:r>
          <w:r>
            <w:rPr>
              <w:sz w:val="21"/>
              <w:szCs w:val="21"/>
            </w:rPr>
            <w:instrText xml:space="preserve"> PAGEREF _Toc122338096 \h </w:instrText>
          </w:r>
          <w:r>
            <w:rPr>
              <w:sz w:val="21"/>
              <w:szCs w:val="21"/>
            </w:rPr>
            <w:fldChar w:fldCharType="separate"/>
          </w:r>
          <w:r>
            <w:rPr>
              <w:sz w:val="21"/>
              <w:szCs w:val="21"/>
            </w:rPr>
            <w:t>16</w:t>
          </w:r>
          <w:r>
            <w:rPr>
              <w:sz w:val="21"/>
              <w:szCs w:val="21"/>
            </w:rPr>
            <w:fldChar w:fldCharType="end"/>
          </w:r>
          <w:r>
            <w:rPr>
              <w:sz w:val="21"/>
              <w:szCs w:val="21"/>
            </w:rPr>
            <w:fldChar w:fldCharType="end"/>
          </w:r>
        </w:p>
        <w:p>
          <w:pPr>
            <w:pStyle w:val="20"/>
            <w:tabs>
              <w:tab w:val="right" w:leader="dot" w:pos="8296"/>
            </w:tabs>
            <w:spacing w:line="276" w:lineRule="auto"/>
            <w:rPr>
              <w:rFonts w:eastAsiaTheme="minorEastAsia"/>
              <w:sz w:val="21"/>
              <w:szCs w:val="21"/>
            </w:rPr>
          </w:pPr>
          <w:r>
            <w:fldChar w:fldCharType="begin"/>
          </w:r>
          <w:r>
            <w:instrText xml:space="preserve"> HYPERLINK \l "_Toc122338097" </w:instrText>
          </w:r>
          <w:r>
            <w:fldChar w:fldCharType="separate"/>
          </w:r>
          <w:r>
            <w:rPr>
              <w:rStyle w:val="30"/>
              <w:rFonts w:hint="eastAsia" w:ascii="宋体" w:hAnsi="宋体" w:cs="宋体"/>
              <w:bCs/>
              <w:sz w:val="21"/>
              <w:szCs w:val="21"/>
            </w:rPr>
            <w:t>第二项</w:t>
          </w:r>
          <w:r>
            <w:rPr>
              <w:rStyle w:val="30"/>
              <w:rFonts w:hint="eastAsia" w:ascii="宋体" w:hAnsi="宋体" w:cs="宋体"/>
              <w:sz w:val="21"/>
              <w:szCs w:val="21"/>
            </w:rPr>
            <w:t xml:space="preserve"> 政府采购合同（拟签订的合同文本</w:t>
          </w:r>
          <w:r>
            <w:rPr>
              <w:rStyle w:val="30"/>
              <w:rFonts w:hint="eastAsia" w:ascii="宋体" w:hAnsi="宋体" w:cs="宋体"/>
              <w:bCs/>
              <w:sz w:val="21"/>
              <w:szCs w:val="21"/>
            </w:rPr>
            <w:t>）</w:t>
          </w:r>
          <w:r>
            <w:rPr>
              <w:sz w:val="21"/>
              <w:szCs w:val="21"/>
            </w:rPr>
            <w:tab/>
          </w:r>
          <w:r>
            <w:rPr>
              <w:sz w:val="21"/>
              <w:szCs w:val="21"/>
            </w:rPr>
            <w:fldChar w:fldCharType="begin"/>
          </w:r>
          <w:r>
            <w:rPr>
              <w:sz w:val="21"/>
              <w:szCs w:val="21"/>
            </w:rPr>
            <w:instrText xml:space="preserve"> PAGEREF _Toc122338097 \h </w:instrText>
          </w:r>
          <w:r>
            <w:rPr>
              <w:sz w:val="21"/>
              <w:szCs w:val="21"/>
            </w:rPr>
            <w:fldChar w:fldCharType="separate"/>
          </w:r>
          <w:r>
            <w:rPr>
              <w:sz w:val="21"/>
              <w:szCs w:val="21"/>
            </w:rPr>
            <w:t>21</w:t>
          </w:r>
          <w:r>
            <w:rPr>
              <w:sz w:val="21"/>
              <w:szCs w:val="21"/>
            </w:rPr>
            <w:fldChar w:fldCharType="end"/>
          </w:r>
          <w:r>
            <w:rPr>
              <w:sz w:val="21"/>
              <w:szCs w:val="21"/>
            </w:rPr>
            <w:fldChar w:fldCharType="end"/>
          </w:r>
        </w:p>
        <w:p>
          <w:pPr>
            <w:pStyle w:val="18"/>
            <w:tabs>
              <w:tab w:val="right" w:leader="dot" w:pos="8296"/>
            </w:tabs>
            <w:spacing w:line="276" w:lineRule="auto"/>
            <w:rPr>
              <w:sz w:val="21"/>
              <w:szCs w:val="21"/>
            </w:rPr>
          </w:pPr>
          <w:r>
            <w:fldChar w:fldCharType="begin"/>
          </w:r>
          <w:r>
            <w:instrText xml:space="preserve"> HYPERLINK \l "_Toc122338098" </w:instrText>
          </w:r>
          <w:r>
            <w:fldChar w:fldCharType="separate"/>
          </w:r>
          <w:r>
            <w:rPr>
              <w:rStyle w:val="30"/>
              <w:rFonts w:hint="eastAsia" w:ascii="宋体" w:hAnsi="宋体" w:cs="宋体"/>
              <w:sz w:val="21"/>
              <w:szCs w:val="21"/>
            </w:rPr>
            <w:t>第四章评标方法和标准</w:t>
          </w:r>
          <w:r>
            <w:rPr>
              <w:rStyle w:val="30"/>
              <w:rFonts w:hint="eastAsia" w:ascii="宋体" w:hAnsi="宋体"/>
              <w:sz w:val="21"/>
              <w:szCs w:val="21"/>
            </w:rPr>
            <w:t>（主要部分）</w:t>
          </w:r>
          <w:r>
            <w:rPr>
              <w:sz w:val="21"/>
              <w:szCs w:val="21"/>
            </w:rPr>
            <w:tab/>
          </w:r>
          <w:r>
            <w:rPr>
              <w:rFonts w:hint="eastAsia"/>
              <w:sz w:val="21"/>
              <w:szCs w:val="21"/>
            </w:rPr>
            <w:t>2</w:t>
          </w:r>
          <w:r>
            <w:rPr>
              <w:rFonts w:hint="eastAsia"/>
              <w:sz w:val="21"/>
              <w:szCs w:val="21"/>
            </w:rPr>
            <w:fldChar w:fldCharType="end"/>
          </w:r>
          <w:r>
            <w:rPr>
              <w:rFonts w:hint="eastAsia"/>
              <w:sz w:val="21"/>
              <w:szCs w:val="21"/>
            </w:rPr>
            <w:t>8</w:t>
          </w:r>
        </w:p>
        <w:p>
          <w:pPr>
            <w:pStyle w:val="20"/>
            <w:tabs>
              <w:tab w:val="right" w:leader="dot" w:pos="8296"/>
            </w:tabs>
            <w:spacing w:line="276" w:lineRule="auto"/>
            <w:rPr>
              <w:sz w:val="21"/>
              <w:szCs w:val="21"/>
            </w:rPr>
          </w:pPr>
          <w:r>
            <w:fldChar w:fldCharType="begin"/>
          </w:r>
          <w:r>
            <w:instrText xml:space="preserve"> HYPERLINK \l "_Toc122338099" </w:instrText>
          </w:r>
          <w:r>
            <w:fldChar w:fldCharType="separate"/>
          </w:r>
          <w:r>
            <w:rPr>
              <w:rStyle w:val="30"/>
              <w:rFonts w:hint="eastAsia" w:ascii="宋体" w:hAnsi="宋体" w:cs="宋体"/>
              <w:kern w:val="0"/>
              <w:sz w:val="21"/>
              <w:szCs w:val="21"/>
            </w:rPr>
            <w:t>一、评标方法</w:t>
          </w:r>
          <w:r>
            <w:rPr>
              <w:sz w:val="21"/>
              <w:szCs w:val="21"/>
            </w:rPr>
            <w:tab/>
          </w:r>
          <w:r>
            <w:rPr>
              <w:rFonts w:hint="eastAsia"/>
              <w:sz w:val="21"/>
              <w:szCs w:val="21"/>
            </w:rPr>
            <w:t>2</w:t>
          </w:r>
          <w:r>
            <w:rPr>
              <w:rFonts w:hint="eastAsia"/>
              <w:sz w:val="21"/>
              <w:szCs w:val="21"/>
            </w:rPr>
            <w:fldChar w:fldCharType="end"/>
          </w:r>
          <w:r>
            <w:rPr>
              <w:rFonts w:hint="eastAsia"/>
              <w:sz w:val="21"/>
              <w:szCs w:val="21"/>
            </w:rPr>
            <w:t>8</w:t>
          </w:r>
        </w:p>
        <w:p>
          <w:pPr>
            <w:pStyle w:val="20"/>
            <w:tabs>
              <w:tab w:val="right" w:leader="dot" w:pos="8296"/>
            </w:tabs>
            <w:spacing w:line="276" w:lineRule="auto"/>
            <w:rPr>
              <w:sz w:val="21"/>
              <w:szCs w:val="21"/>
            </w:rPr>
          </w:pPr>
          <w:r>
            <w:fldChar w:fldCharType="begin"/>
          </w:r>
          <w:r>
            <w:instrText xml:space="preserve"> HYPERLINK \l "_Toc122338100" </w:instrText>
          </w:r>
          <w:r>
            <w:fldChar w:fldCharType="separate"/>
          </w:r>
          <w:r>
            <w:rPr>
              <w:rStyle w:val="30"/>
              <w:rFonts w:hint="eastAsia" w:asciiTheme="minorEastAsia" w:hAnsiTheme="minorEastAsia" w:cstheme="minorEastAsia"/>
              <w:kern w:val="0"/>
              <w:sz w:val="21"/>
              <w:szCs w:val="21"/>
            </w:rPr>
            <w:t>二、评分标准</w:t>
          </w:r>
          <w:r>
            <w:rPr>
              <w:sz w:val="21"/>
              <w:szCs w:val="21"/>
            </w:rPr>
            <w:tab/>
          </w:r>
          <w:r>
            <w:rPr>
              <w:rFonts w:hint="eastAsia"/>
              <w:sz w:val="21"/>
              <w:szCs w:val="21"/>
            </w:rPr>
            <w:t>2</w:t>
          </w:r>
          <w:r>
            <w:rPr>
              <w:rFonts w:hint="eastAsia"/>
              <w:sz w:val="21"/>
              <w:szCs w:val="21"/>
            </w:rPr>
            <w:fldChar w:fldCharType="end"/>
          </w:r>
          <w:r>
            <w:rPr>
              <w:rFonts w:hint="eastAsia"/>
              <w:sz w:val="21"/>
              <w:szCs w:val="21"/>
            </w:rPr>
            <w:t>9</w:t>
          </w:r>
        </w:p>
        <w:p>
          <w:pPr>
            <w:pStyle w:val="18"/>
            <w:tabs>
              <w:tab w:val="right" w:leader="dot" w:pos="8296"/>
            </w:tabs>
            <w:spacing w:line="276" w:lineRule="auto"/>
            <w:rPr>
              <w:sz w:val="21"/>
              <w:szCs w:val="21"/>
            </w:rPr>
          </w:pPr>
          <w:r>
            <w:fldChar w:fldCharType="begin"/>
          </w:r>
          <w:r>
            <w:instrText xml:space="preserve"> HYPERLINK \l "_Toc122338101" </w:instrText>
          </w:r>
          <w:r>
            <w:fldChar w:fldCharType="separate"/>
          </w:r>
          <w:r>
            <w:rPr>
              <w:rStyle w:val="30"/>
              <w:rFonts w:hint="eastAsia" w:ascii="宋体" w:hAnsi="宋体" w:cs="宋体"/>
              <w:sz w:val="21"/>
              <w:szCs w:val="21"/>
            </w:rPr>
            <w:t>第五章投标（响应）文件格式</w:t>
          </w:r>
          <w:r>
            <w:rPr>
              <w:sz w:val="21"/>
              <w:szCs w:val="21"/>
            </w:rPr>
            <w:tab/>
          </w:r>
          <w:r>
            <w:rPr>
              <w:rFonts w:hint="eastAsia"/>
              <w:sz w:val="21"/>
              <w:szCs w:val="21"/>
            </w:rPr>
            <w:t>3</w:t>
          </w:r>
          <w:r>
            <w:rPr>
              <w:rFonts w:hint="eastAsia"/>
              <w:sz w:val="21"/>
              <w:szCs w:val="21"/>
            </w:rPr>
            <w:fldChar w:fldCharType="end"/>
          </w:r>
          <w:r>
            <w:rPr>
              <w:rFonts w:hint="eastAsia"/>
              <w:sz w:val="21"/>
              <w:szCs w:val="21"/>
            </w:rPr>
            <w:t>1</w:t>
          </w:r>
        </w:p>
        <w:p>
          <w:pPr>
            <w:pStyle w:val="20"/>
            <w:tabs>
              <w:tab w:val="right" w:leader="dot" w:pos="8296"/>
            </w:tabs>
            <w:spacing w:line="276" w:lineRule="auto"/>
            <w:rPr>
              <w:sz w:val="21"/>
              <w:szCs w:val="21"/>
            </w:rPr>
          </w:pPr>
          <w:r>
            <w:fldChar w:fldCharType="begin"/>
          </w:r>
          <w:r>
            <w:instrText xml:space="preserve"> HYPERLINK \l "_Toc122338102" </w:instrText>
          </w:r>
          <w:r>
            <w:fldChar w:fldCharType="separate"/>
          </w:r>
          <w:r>
            <w:rPr>
              <w:rStyle w:val="30"/>
              <w:rFonts w:hint="eastAsia" w:ascii="宋体" w:hAnsi="宋体" w:cs="宋体"/>
              <w:sz w:val="21"/>
              <w:szCs w:val="21"/>
            </w:rPr>
            <w:t>投标（响应）文件目录</w:t>
          </w:r>
          <w:r>
            <w:rPr>
              <w:sz w:val="21"/>
              <w:szCs w:val="21"/>
            </w:rPr>
            <w:tab/>
          </w:r>
          <w:r>
            <w:rPr>
              <w:rFonts w:hint="eastAsia"/>
              <w:sz w:val="21"/>
              <w:szCs w:val="21"/>
            </w:rPr>
            <w:t>3</w:t>
          </w:r>
          <w:r>
            <w:rPr>
              <w:rFonts w:hint="eastAsia"/>
              <w:sz w:val="21"/>
              <w:szCs w:val="21"/>
            </w:rPr>
            <w:fldChar w:fldCharType="end"/>
          </w:r>
          <w:r>
            <w:rPr>
              <w:rFonts w:hint="eastAsia"/>
              <w:sz w:val="21"/>
              <w:szCs w:val="21"/>
            </w:rPr>
            <w:t>2</w:t>
          </w:r>
        </w:p>
        <w:p>
          <w:pPr>
            <w:pStyle w:val="20"/>
            <w:tabs>
              <w:tab w:val="right" w:leader="dot" w:pos="8296"/>
            </w:tabs>
            <w:spacing w:line="276" w:lineRule="auto"/>
            <w:rPr>
              <w:sz w:val="21"/>
              <w:szCs w:val="21"/>
            </w:rPr>
          </w:pPr>
          <w:r>
            <w:fldChar w:fldCharType="begin"/>
          </w:r>
          <w:r>
            <w:instrText xml:space="preserve"> HYPERLINK \l "_Toc122338103" </w:instrText>
          </w:r>
          <w:r>
            <w:fldChar w:fldCharType="separate"/>
          </w:r>
          <w:r>
            <w:rPr>
              <w:rStyle w:val="30"/>
              <w:rFonts w:hint="eastAsia" w:ascii="宋体" w:hAnsi="宋体" w:cs="宋体"/>
              <w:bCs/>
              <w:sz w:val="21"/>
              <w:szCs w:val="21"/>
            </w:rPr>
            <w:t>一、报价一览表</w:t>
          </w:r>
          <w:r>
            <w:rPr>
              <w:rStyle w:val="30"/>
              <w:rFonts w:ascii="宋体" w:hAnsi="宋体" w:cs="宋体"/>
              <w:bCs/>
              <w:sz w:val="21"/>
              <w:szCs w:val="21"/>
            </w:rPr>
            <w:t>(</w:t>
          </w:r>
          <w:r>
            <w:rPr>
              <w:rStyle w:val="30"/>
              <w:rFonts w:hint="eastAsia" w:ascii="宋体" w:hAnsi="宋体" w:cs="宋体"/>
              <w:bCs/>
              <w:sz w:val="21"/>
              <w:szCs w:val="21"/>
            </w:rPr>
            <w:t>报价表</w:t>
          </w:r>
          <w:r>
            <w:rPr>
              <w:rStyle w:val="30"/>
              <w:rFonts w:ascii="宋体" w:hAnsi="宋体" w:cs="宋体"/>
              <w:bCs/>
              <w:sz w:val="21"/>
              <w:szCs w:val="21"/>
            </w:rPr>
            <w:t>)</w:t>
          </w:r>
          <w:r>
            <w:rPr>
              <w:rStyle w:val="30"/>
              <w:rFonts w:hint="eastAsia" w:ascii="宋体" w:hAnsi="宋体" w:cs="宋体"/>
              <w:bCs/>
              <w:sz w:val="21"/>
              <w:szCs w:val="21"/>
            </w:rPr>
            <w:t>（格式）</w:t>
          </w:r>
          <w:r>
            <w:rPr>
              <w:sz w:val="21"/>
              <w:szCs w:val="21"/>
            </w:rPr>
            <w:tab/>
          </w:r>
          <w:r>
            <w:rPr>
              <w:rFonts w:hint="eastAsia"/>
              <w:sz w:val="21"/>
              <w:szCs w:val="21"/>
            </w:rPr>
            <w:t>3</w:t>
          </w:r>
          <w:r>
            <w:rPr>
              <w:rFonts w:hint="eastAsia"/>
              <w:sz w:val="21"/>
              <w:szCs w:val="21"/>
            </w:rPr>
            <w:fldChar w:fldCharType="end"/>
          </w:r>
          <w:r>
            <w:rPr>
              <w:rFonts w:hint="eastAsia"/>
              <w:sz w:val="21"/>
              <w:szCs w:val="21"/>
            </w:rPr>
            <w:t>3</w:t>
          </w:r>
        </w:p>
        <w:p>
          <w:pPr>
            <w:pStyle w:val="20"/>
            <w:tabs>
              <w:tab w:val="right" w:leader="dot" w:pos="8296"/>
            </w:tabs>
            <w:spacing w:line="276" w:lineRule="auto"/>
            <w:rPr>
              <w:sz w:val="21"/>
              <w:szCs w:val="21"/>
            </w:rPr>
          </w:pPr>
          <w:r>
            <w:fldChar w:fldCharType="begin"/>
          </w:r>
          <w:r>
            <w:instrText xml:space="preserve"> HYPERLINK \l "_Toc122338104" </w:instrText>
          </w:r>
          <w:r>
            <w:fldChar w:fldCharType="separate"/>
          </w:r>
          <w:r>
            <w:rPr>
              <w:rStyle w:val="30"/>
              <w:rFonts w:hint="eastAsia" w:ascii="宋体" w:hAnsi="宋体"/>
              <w:sz w:val="21"/>
              <w:szCs w:val="21"/>
            </w:rPr>
            <w:t>二、供应商的资格证明文件</w:t>
          </w:r>
          <w:r>
            <w:rPr>
              <w:sz w:val="21"/>
              <w:szCs w:val="21"/>
            </w:rPr>
            <w:tab/>
          </w:r>
          <w:r>
            <w:rPr>
              <w:rFonts w:hint="eastAsia"/>
              <w:sz w:val="21"/>
              <w:szCs w:val="21"/>
            </w:rPr>
            <w:t>3</w:t>
          </w:r>
          <w:r>
            <w:rPr>
              <w:rFonts w:hint="eastAsia"/>
              <w:sz w:val="21"/>
              <w:szCs w:val="21"/>
            </w:rPr>
            <w:fldChar w:fldCharType="end"/>
          </w:r>
          <w:r>
            <w:rPr>
              <w:rFonts w:hint="eastAsia"/>
              <w:sz w:val="21"/>
              <w:szCs w:val="21"/>
            </w:rPr>
            <w:t>4</w:t>
          </w:r>
        </w:p>
        <w:p>
          <w:pPr>
            <w:pStyle w:val="20"/>
            <w:tabs>
              <w:tab w:val="right" w:leader="dot" w:pos="8296"/>
            </w:tabs>
            <w:spacing w:line="276" w:lineRule="auto"/>
            <w:rPr>
              <w:sz w:val="21"/>
              <w:szCs w:val="21"/>
            </w:rPr>
          </w:pPr>
          <w:r>
            <w:fldChar w:fldCharType="begin"/>
          </w:r>
          <w:r>
            <w:instrText xml:space="preserve"> HYPERLINK \l "_Toc122338105" </w:instrText>
          </w:r>
          <w:r>
            <w:fldChar w:fldCharType="separate"/>
          </w:r>
          <w:r>
            <w:rPr>
              <w:rStyle w:val="30"/>
              <w:rFonts w:hint="eastAsia" w:hAnsi="宋体" w:cs="宋体"/>
              <w:sz w:val="21"/>
              <w:szCs w:val="21"/>
            </w:rPr>
            <w:t>三、法定代表人授权委托书</w:t>
          </w:r>
          <w:r>
            <w:rPr>
              <w:rStyle w:val="30"/>
              <w:rFonts w:hAnsi="宋体" w:cs="宋体"/>
              <w:sz w:val="21"/>
              <w:szCs w:val="21"/>
            </w:rPr>
            <w:t>(</w:t>
          </w:r>
          <w:r>
            <w:rPr>
              <w:rStyle w:val="30"/>
              <w:rFonts w:hint="eastAsia" w:hAnsi="宋体" w:cs="宋体"/>
              <w:sz w:val="21"/>
              <w:szCs w:val="21"/>
            </w:rPr>
            <w:t>格式）</w:t>
          </w:r>
          <w:r>
            <w:rPr>
              <w:sz w:val="21"/>
              <w:szCs w:val="21"/>
            </w:rPr>
            <w:tab/>
          </w:r>
          <w:r>
            <w:rPr>
              <w:rFonts w:hint="eastAsia"/>
              <w:sz w:val="21"/>
              <w:szCs w:val="21"/>
            </w:rPr>
            <w:t>3</w:t>
          </w:r>
          <w:r>
            <w:rPr>
              <w:rFonts w:hint="eastAsia"/>
              <w:sz w:val="21"/>
              <w:szCs w:val="21"/>
            </w:rPr>
            <w:fldChar w:fldCharType="end"/>
          </w:r>
          <w:r>
            <w:rPr>
              <w:rFonts w:hint="eastAsia"/>
              <w:sz w:val="21"/>
              <w:szCs w:val="21"/>
            </w:rPr>
            <w:t>8</w:t>
          </w:r>
        </w:p>
        <w:p>
          <w:pPr>
            <w:pStyle w:val="20"/>
            <w:tabs>
              <w:tab w:val="right" w:leader="dot" w:pos="8296"/>
            </w:tabs>
            <w:spacing w:line="276" w:lineRule="auto"/>
            <w:rPr>
              <w:sz w:val="21"/>
              <w:szCs w:val="21"/>
            </w:rPr>
          </w:pPr>
          <w:r>
            <w:fldChar w:fldCharType="begin"/>
          </w:r>
          <w:r>
            <w:instrText xml:space="preserve"> HYPERLINK \l "_Toc122338106" </w:instrText>
          </w:r>
          <w:r>
            <w:fldChar w:fldCharType="separate"/>
          </w:r>
          <w:r>
            <w:rPr>
              <w:rStyle w:val="30"/>
              <w:rFonts w:hint="eastAsia" w:ascii="宋体" w:hAnsi="宋体" w:cs="宋体"/>
              <w:sz w:val="21"/>
              <w:szCs w:val="21"/>
            </w:rPr>
            <w:t>四、投标（响应）书（格式）</w:t>
          </w:r>
          <w:r>
            <w:rPr>
              <w:sz w:val="21"/>
              <w:szCs w:val="21"/>
            </w:rPr>
            <w:tab/>
          </w:r>
          <w:r>
            <w:rPr>
              <w:rFonts w:hint="eastAsia"/>
              <w:sz w:val="21"/>
              <w:szCs w:val="21"/>
            </w:rPr>
            <w:t>3</w:t>
          </w:r>
          <w:r>
            <w:rPr>
              <w:rFonts w:hint="eastAsia"/>
              <w:sz w:val="21"/>
              <w:szCs w:val="21"/>
            </w:rPr>
            <w:fldChar w:fldCharType="end"/>
          </w:r>
          <w:r>
            <w:rPr>
              <w:rFonts w:hint="eastAsia"/>
              <w:sz w:val="21"/>
              <w:szCs w:val="21"/>
            </w:rPr>
            <w:t>9</w:t>
          </w:r>
        </w:p>
        <w:p>
          <w:pPr>
            <w:pStyle w:val="20"/>
            <w:tabs>
              <w:tab w:val="right" w:leader="dot" w:pos="8296"/>
            </w:tabs>
            <w:spacing w:line="276" w:lineRule="auto"/>
            <w:rPr>
              <w:sz w:val="21"/>
              <w:szCs w:val="21"/>
            </w:rPr>
          </w:pPr>
          <w:r>
            <w:fldChar w:fldCharType="begin"/>
          </w:r>
          <w:r>
            <w:instrText xml:space="preserve"> HYPERLINK \l "_Toc122338107" </w:instrText>
          </w:r>
          <w:r>
            <w:fldChar w:fldCharType="separate"/>
          </w:r>
          <w:r>
            <w:rPr>
              <w:rStyle w:val="30"/>
              <w:rFonts w:hint="eastAsia" w:ascii="宋体" w:hAnsi="宋体"/>
              <w:sz w:val="21"/>
              <w:szCs w:val="21"/>
            </w:rPr>
            <w:t>五、盐城市政府采购事前信用承诺书（格式）</w:t>
          </w:r>
          <w:r>
            <w:rPr>
              <w:sz w:val="21"/>
              <w:szCs w:val="21"/>
            </w:rPr>
            <w:tab/>
          </w:r>
          <w:r>
            <w:rPr>
              <w:rFonts w:hint="eastAsia"/>
              <w:sz w:val="21"/>
              <w:szCs w:val="21"/>
            </w:rPr>
            <w:t>4</w:t>
          </w:r>
          <w:r>
            <w:rPr>
              <w:rFonts w:hint="eastAsia"/>
              <w:sz w:val="21"/>
              <w:szCs w:val="21"/>
            </w:rPr>
            <w:fldChar w:fldCharType="end"/>
          </w:r>
          <w:r>
            <w:rPr>
              <w:rFonts w:hint="eastAsia"/>
              <w:sz w:val="21"/>
              <w:szCs w:val="21"/>
            </w:rPr>
            <w:t>0</w:t>
          </w:r>
        </w:p>
        <w:p>
          <w:pPr>
            <w:pStyle w:val="20"/>
            <w:tabs>
              <w:tab w:val="right" w:leader="dot" w:pos="8296"/>
            </w:tabs>
            <w:spacing w:line="276" w:lineRule="auto"/>
            <w:rPr>
              <w:sz w:val="21"/>
              <w:szCs w:val="21"/>
            </w:rPr>
          </w:pPr>
          <w:r>
            <w:fldChar w:fldCharType="begin"/>
          </w:r>
          <w:r>
            <w:instrText xml:space="preserve"> HYPERLINK \l "_Toc122338108" </w:instrText>
          </w:r>
          <w:r>
            <w:fldChar w:fldCharType="separate"/>
          </w:r>
          <w:r>
            <w:rPr>
              <w:rStyle w:val="30"/>
              <w:rFonts w:hint="eastAsia" w:ascii="宋体" w:hAnsi="宋体"/>
              <w:sz w:val="21"/>
              <w:szCs w:val="21"/>
            </w:rPr>
            <w:t>六、商务条款偏离表（格式）</w:t>
          </w:r>
          <w:r>
            <w:rPr>
              <w:sz w:val="21"/>
              <w:szCs w:val="21"/>
            </w:rPr>
            <w:tab/>
          </w:r>
          <w:r>
            <w:rPr>
              <w:rFonts w:hint="eastAsia"/>
              <w:sz w:val="21"/>
              <w:szCs w:val="21"/>
            </w:rPr>
            <w:t>4</w:t>
          </w:r>
          <w:r>
            <w:rPr>
              <w:rFonts w:hint="eastAsia"/>
              <w:sz w:val="21"/>
              <w:szCs w:val="21"/>
            </w:rPr>
            <w:fldChar w:fldCharType="end"/>
          </w:r>
          <w:r>
            <w:rPr>
              <w:rFonts w:hint="eastAsia"/>
              <w:sz w:val="21"/>
              <w:szCs w:val="21"/>
            </w:rPr>
            <w:t>1</w:t>
          </w:r>
        </w:p>
        <w:p>
          <w:pPr>
            <w:pStyle w:val="20"/>
            <w:tabs>
              <w:tab w:val="right" w:leader="dot" w:pos="8296"/>
            </w:tabs>
            <w:spacing w:line="276" w:lineRule="auto"/>
            <w:rPr>
              <w:szCs w:val="21"/>
            </w:rPr>
          </w:pPr>
          <w:r>
            <w:fldChar w:fldCharType="begin"/>
          </w:r>
          <w:r>
            <w:instrText xml:space="preserve"> HYPERLINK \l "_Toc122338109" </w:instrText>
          </w:r>
          <w:r>
            <w:fldChar w:fldCharType="separate"/>
          </w:r>
          <w:r>
            <w:rPr>
              <w:rStyle w:val="30"/>
              <w:rFonts w:hint="eastAsia" w:ascii="宋体" w:hAnsi="宋体"/>
              <w:sz w:val="21"/>
              <w:szCs w:val="21"/>
            </w:rPr>
            <w:t>七、投标（响应）分项报价表（格式）</w:t>
          </w:r>
          <w:r>
            <w:rPr>
              <w:sz w:val="21"/>
              <w:szCs w:val="21"/>
            </w:rPr>
            <w:tab/>
          </w:r>
          <w:r>
            <w:rPr>
              <w:rFonts w:hint="eastAsia"/>
              <w:sz w:val="21"/>
              <w:szCs w:val="21"/>
            </w:rPr>
            <w:t>4</w:t>
          </w:r>
          <w:r>
            <w:rPr>
              <w:rFonts w:hint="eastAsia"/>
              <w:sz w:val="21"/>
              <w:szCs w:val="21"/>
            </w:rPr>
            <w:fldChar w:fldCharType="end"/>
          </w:r>
          <w:r>
            <w:rPr>
              <w:rFonts w:hint="eastAsia"/>
              <w:sz w:val="21"/>
              <w:szCs w:val="21"/>
            </w:rPr>
            <w:t>2</w:t>
          </w:r>
        </w:p>
        <w:p>
          <w:pPr>
            <w:pStyle w:val="20"/>
            <w:tabs>
              <w:tab w:val="right" w:leader="dot" w:pos="8296"/>
            </w:tabs>
            <w:spacing w:line="276" w:lineRule="auto"/>
            <w:rPr>
              <w:sz w:val="21"/>
              <w:szCs w:val="21"/>
            </w:rPr>
          </w:pPr>
          <w:r>
            <w:fldChar w:fldCharType="begin"/>
          </w:r>
          <w:r>
            <w:instrText xml:space="preserve"> HYPERLINK \l "_Toc122338112" </w:instrText>
          </w:r>
          <w:r>
            <w:fldChar w:fldCharType="separate"/>
          </w:r>
          <w:r>
            <w:rPr>
              <w:rStyle w:val="30"/>
              <w:rFonts w:hint="eastAsia"/>
              <w:sz w:val="21"/>
              <w:szCs w:val="21"/>
            </w:rPr>
            <w:t>八、技术规格（采购需求）偏离表</w:t>
          </w:r>
          <w:r>
            <w:rPr>
              <w:sz w:val="21"/>
              <w:szCs w:val="21"/>
            </w:rPr>
            <w:tab/>
          </w:r>
          <w:r>
            <w:rPr>
              <w:rFonts w:hint="eastAsia"/>
              <w:sz w:val="21"/>
              <w:szCs w:val="21"/>
            </w:rPr>
            <w:t>4</w:t>
          </w:r>
          <w:r>
            <w:rPr>
              <w:rFonts w:hint="eastAsia"/>
              <w:sz w:val="21"/>
              <w:szCs w:val="21"/>
            </w:rPr>
            <w:fldChar w:fldCharType="end"/>
          </w:r>
          <w:r>
            <w:rPr>
              <w:rFonts w:hint="eastAsia"/>
              <w:sz w:val="21"/>
              <w:szCs w:val="21"/>
            </w:rPr>
            <w:t>3</w:t>
          </w:r>
        </w:p>
        <w:p>
          <w:pPr>
            <w:pStyle w:val="20"/>
            <w:tabs>
              <w:tab w:val="right" w:leader="dot" w:pos="8296"/>
            </w:tabs>
            <w:spacing w:line="276" w:lineRule="auto"/>
          </w:pPr>
          <w:r>
            <w:fldChar w:fldCharType="begin"/>
          </w:r>
          <w:r>
            <w:instrText xml:space="preserve"> HYPERLINK \l "_Toc122338117" </w:instrText>
          </w:r>
          <w:r>
            <w:fldChar w:fldCharType="separate"/>
          </w:r>
          <w:r>
            <w:rPr>
              <w:rFonts w:hint="eastAsia"/>
            </w:rPr>
            <w:t>九</w:t>
          </w:r>
          <w:r>
            <w:rPr>
              <w:rStyle w:val="30"/>
              <w:rFonts w:hint="eastAsia" w:ascii="宋体" w:hAnsi="宋体" w:cs="宋体"/>
              <w:sz w:val="21"/>
              <w:szCs w:val="21"/>
            </w:rPr>
            <w:t>、</w:t>
          </w:r>
          <w:r>
            <w:rPr>
              <w:rStyle w:val="30"/>
              <w:rFonts w:hint="eastAsia" w:ascii="宋体" w:hAnsi="宋体"/>
              <w:sz w:val="21"/>
              <w:szCs w:val="21"/>
            </w:rPr>
            <w:t>投标（响应）文件的</w:t>
          </w:r>
          <w:r>
            <w:rPr>
              <w:rStyle w:val="30"/>
              <w:rFonts w:hint="eastAsia" w:ascii="宋体" w:hAnsi="宋体" w:cs="宋体"/>
              <w:sz w:val="21"/>
              <w:szCs w:val="21"/>
            </w:rPr>
            <w:t>其它内容</w:t>
          </w:r>
          <w:r>
            <w:rPr>
              <w:sz w:val="21"/>
              <w:szCs w:val="21"/>
            </w:rPr>
            <w:tab/>
          </w:r>
          <w:r>
            <w:rPr>
              <w:rFonts w:hint="eastAsia"/>
              <w:sz w:val="21"/>
              <w:szCs w:val="21"/>
            </w:rPr>
            <w:t>4</w:t>
          </w:r>
          <w:r>
            <w:rPr>
              <w:rFonts w:hint="eastAsia"/>
              <w:sz w:val="21"/>
              <w:szCs w:val="21"/>
            </w:rPr>
            <w:fldChar w:fldCharType="end"/>
          </w:r>
          <w:r>
            <w:rPr>
              <w:b/>
              <w:bCs/>
              <w:lang w:val="zh-CN"/>
            </w:rPr>
            <w:fldChar w:fldCharType="end"/>
          </w:r>
          <w:r>
            <w:rPr>
              <w:rFonts w:hint="eastAsia"/>
            </w:rPr>
            <w:t>4</w:t>
          </w:r>
        </w:p>
        <w:p>
          <w:pPr>
            <w:pStyle w:val="20"/>
            <w:tabs>
              <w:tab w:val="right" w:leader="dot" w:pos="8296"/>
            </w:tabs>
            <w:spacing w:line="276" w:lineRule="auto"/>
          </w:pPr>
        </w:p>
      </w:sdtContent>
    </w:sdt>
    <w:p>
      <w:pPr>
        <w:sectPr>
          <w:pgSz w:w="11906" w:h="16838"/>
          <w:pgMar w:top="1440" w:right="1800" w:bottom="1440" w:left="1800" w:header="851" w:footer="992" w:gutter="0"/>
          <w:cols w:space="425" w:num="1"/>
          <w:docGrid w:type="lines" w:linePitch="312" w:charSpace="0"/>
        </w:sectPr>
      </w:pPr>
    </w:p>
    <w:p>
      <w:pPr>
        <w:numPr>
          <w:ilvl w:val="0"/>
          <w:numId w:val="1"/>
        </w:numPr>
        <w:spacing w:line="480" w:lineRule="auto"/>
        <w:jc w:val="center"/>
        <w:outlineLvl w:val="0"/>
        <w:rPr>
          <w:rFonts w:ascii="宋体" w:hAnsi="宋体" w:cs="宋体"/>
          <w:b/>
          <w:sz w:val="32"/>
          <w:szCs w:val="21"/>
        </w:rPr>
      </w:pPr>
      <w:bookmarkStart w:id="0" w:name="_Toc122338083"/>
      <w:r>
        <w:rPr>
          <w:rFonts w:hint="eastAsia" w:ascii="宋体" w:hAnsi="宋体" w:cs="宋体"/>
          <w:b/>
          <w:sz w:val="32"/>
          <w:szCs w:val="21"/>
        </w:rPr>
        <w:t>采购公告</w:t>
      </w:r>
      <w:bookmarkEnd w:id="0"/>
    </w:p>
    <w:p>
      <w:pPr>
        <w:pStyle w:val="6"/>
        <w:spacing w:line="336" w:lineRule="auto"/>
        <w:jc w:val="center"/>
      </w:pPr>
      <w:bookmarkStart w:id="1" w:name="_Toc122338084"/>
      <w:r>
        <w:rPr>
          <w:rFonts w:hint="eastAsia" w:ascii="宋体" w:hAnsi="宋体" w:cs="宋体"/>
          <w:sz w:val="21"/>
          <w:szCs w:val="21"/>
        </w:rPr>
        <w:t>采购公告</w:t>
      </w:r>
      <w:bookmarkEnd w:id="1"/>
    </w:p>
    <w:p>
      <w:pPr>
        <w:spacing w:line="336" w:lineRule="auto"/>
        <w:ind w:firstLine="420" w:firstLineChars="200"/>
        <w:rPr>
          <w:rFonts w:ascii="宋体" w:hAnsi="宋体" w:cs="宋体"/>
          <w:szCs w:val="21"/>
        </w:rPr>
      </w:pPr>
      <w:r>
        <w:rPr>
          <w:rFonts w:hint="eastAsia" w:ascii="宋体" w:hAnsi="宋体" w:cs="宋体"/>
          <w:szCs w:val="21"/>
        </w:rPr>
        <w:t>盐城市携手阳光集中采购代理有限公司（本次采购可简称：携手阳光公司）受采购人的委托，根据《中华人民共和国政府采购法》等有关规定，现对</w:t>
      </w:r>
      <w:r>
        <w:rPr>
          <w:rFonts w:hint="eastAsia" w:ascii="宋体" w:hAnsi="宋体"/>
          <w:szCs w:val="21"/>
        </w:rPr>
        <w:t>下列项目</w:t>
      </w:r>
      <w:r>
        <w:rPr>
          <w:rFonts w:hint="eastAsia" w:ascii="宋体" w:hAnsi="宋体" w:cs="宋体"/>
          <w:szCs w:val="21"/>
        </w:rPr>
        <w:t>进行</w:t>
      </w:r>
      <w:r>
        <w:rPr>
          <w:rFonts w:hint="eastAsia" w:ascii="宋体" w:hAnsi="宋体" w:cs="宋体"/>
          <w:u w:val="single"/>
        </w:rPr>
        <w:t>竞争性磋商</w:t>
      </w:r>
      <w:r>
        <w:rPr>
          <w:rFonts w:hint="eastAsia" w:ascii="宋体" w:hAnsi="宋体" w:cs="宋体"/>
        </w:rPr>
        <w:t>采购</w:t>
      </w:r>
      <w:r>
        <w:rPr>
          <w:rFonts w:hint="eastAsia" w:ascii="宋体" w:hAnsi="宋体" w:cs="宋体"/>
          <w:szCs w:val="21"/>
        </w:rPr>
        <w:t>，欢迎</w:t>
      </w:r>
      <w:r>
        <w:rPr>
          <w:rFonts w:hint="eastAsia" w:ascii="宋体" w:hAnsi="宋体" w:cs="宋体"/>
        </w:rPr>
        <w:t>潜在供应商</w:t>
      </w:r>
      <w:r>
        <w:rPr>
          <w:rFonts w:hint="eastAsia" w:ascii="宋体" w:hAnsi="宋体" w:cs="宋体"/>
          <w:szCs w:val="21"/>
        </w:rPr>
        <w:t>参加。</w:t>
      </w:r>
    </w:p>
    <w:p>
      <w:pPr>
        <w:pBdr>
          <w:top w:val="single" w:color="auto" w:sz="4" w:space="1"/>
          <w:left w:val="single" w:color="auto" w:sz="4" w:space="4"/>
          <w:bottom w:val="single" w:color="auto" w:sz="4" w:space="1"/>
          <w:right w:val="single" w:color="auto" w:sz="4" w:space="4"/>
        </w:pBdr>
        <w:spacing w:line="336" w:lineRule="auto"/>
        <w:ind w:firstLine="422" w:firstLineChars="200"/>
        <w:jc w:val="center"/>
        <w:rPr>
          <w:rFonts w:ascii="宋体" w:hAnsi="宋体"/>
          <w:b/>
          <w:szCs w:val="21"/>
        </w:rPr>
      </w:pPr>
      <w:r>
        <w:rPr>
          <w:rFonts w:hint="eastAsia" w:ascii="宋体" w:hAnsi="宋体"/>
          <w:b/>
          <w:szCs w:val="21"/>
        </w:rPr>
        <w:t>项目概况</w:t>
      </w:r>
    </w:p>
    <w:p>
      <w:pPr>
        <w:pBdr>
          <w:top w:val="single" w:color="auto" w:sz="4" w:space="1"/>
          <w:left w:val="single" w:color="auto" w:sz="4" w:space="4"/>
          <w:bottom w:val="single" w:color="auto" w:sz="4" w:space="1"/>
          <w:right w:val="single" w:color="auto" w:sz="4" w:space="4"/>
        </w:pBdr>
        <w:spacing w:line="336" w:lineRule="auto"/>
        <w:ind w:firstLine="420" w:firstLineChars="200"/>
        <w:rPr>
          <w:rFonts w:ascii="宋体" w:hAnsi="宋体"/>
          <w:szCs w:val="21"/>
        </w:rPr>
      </w:pPr>
      <w:r>
        <w:rPr>
          <w:rFonts w:hint="eastAsia" w:ascii="宋体" w:hAnsi="宋体"/>
          <w:szCs w:val="21"/>
          <w:u w:val="single"/>
        </w:rPr>
        <w:t>江苏医药职业学院2023年预防医学专业教学设备采购</w:t>
      </w:r>
      <w:r>
        <w:rPr>
          <w:rFonts w:hint="eastAsia" w:ascii="宋体" w:hAnsi="宋体"/>
          <w:szCs w:val="21"/>
        </w:rPr>
        <w:t>的潜在供应商应在</w:t>
      </w:r>
      <w:r>
        <w:rPr>
          <w:rFonts w:hint="eastAsia" w:ascii="宋体" w:hAnsi="宋体"/>
          <w:szCs w:val="21"/>
          <w:u w:val="single"/>
        </w:rPr>
        <w:t>盐城市府西路华邦国际西厦A区（东）302室</w:t>
      </w:r>
      <w:r>
        <w:rPr>
          <w:rFonts w:hint="eastAsia" w:ascii="宋体" w:hAnsi="宋体"/>
          <w:szCs w:val="21"/>
        </w:rPr>
        <w:t>获取采购文件，并于</w:t>
      </w:r>
      <w:r>
        <w:rPr>
          <w:rFonts w:hint="eastAsia" w:ascii="宋体" w:hAnsi="宋体"/>
          <w:b/>
          <w:bCs/>
          <w:szCs w:val="21"/>
          <w:u w:val="single"/>
        </w:rPr>
        <w:t>2023年7月1</w:t>
      </w:r>
      <w:r>
        <w:rPr>
          <w:rFonts w:hint="eastAsia" w:ascii="宋体" w:hAnsi="宋体"/>
          <w:b/>
          <w:bCs/>
          <w:szCs w:val="21"/>
          <w:u w:val="single"/>
          <w:lang w:val="en-US" w:eastAsia="zh-CN"/>
        </w:rPr>
        <w:t>8</w:t>
      </w:r>
      <w:r>
        <w:rPr>
          <w:rFonts w:hint="eastAsia" w:ascii="宋体" w:hAnsi="宋体"/>
          <w:b/>
          <w:bCs/>
          <w:szCs w:val="21"/>
          <w:u w:val="single"/>
        </w:rPr>
        <w:t>日15点00分</w:t>
      </w:r>
      <w:r>
        <w:rPr>
          <w:rFonts w:hint="eastAsia" w:ascii="宋体" w:hAnsi="宋体"/>
          <w:szCs w:val="21"/>
          <w:u w:val="single"/>
        </w:rPr>
        <w:t>（</w:t>
      </w:r>
      <w:r>
        <w:rPr>
          <w:rFonts w:hint="eastAsia" w:ascii="宋体" w:hAnsi="宋体"/>
          <w:bCs/>
          <w:szCs w:val="21"/>
        </w:rPr>
        <w:t>北京时间）</w:t>
      </w:r>
      <w:r>
        <w:rPr>
          <w:rFonts w:hint="eastAsia" w:ascii="宋体" w:hAnsi="宋体" w:cs="宋体"/>
          <w:szCs w:val="21"/>
        </w:rPr>
        <w:t>前</w:t>
      </w:r>
      <w:r>
        <w:rPr>
          <w:rFonts w:hint="eastAsia" w:ascii="宋体" w:hAnsi="宋体" w:cs="宋体"/>
          <w:bCs/>
        </w:rPr>
        <w:t>提交响应文件</w:t>
      </w:r>
      <w:r>
        <w:rPr>
          <w:rFonts w:hint="eastAsia" w:ascii="宋体" w:hAnsi="宋体"/>
          <w:szCs w:val="21"/>
        </w:rPr>
        <w:t>。</w:t>
      </w:r>
    </w:p>
    <w:p>
      <w:pPr>
        <w:spacing w:line="336" w:lineRule="auto"/>
        <w:rPr>
          <w:rFonts w:ascii="宋体" w:hAnsi="宋体" w:cs="宋体"/>
          <w:b/>
        </w:rPr>
      </w:pPr>
      <w:bookmarkStart w:id="2" w:name="_Toc28359012"/>
      <w:bookmarkStart w:id="3" w:name="_Toc35393798"/>
      <w:bookmarkStart w:id="4" w:name="_Toc28359089"/>
      <w:bookmarkStart w:id="5" w:name="_Toc35393629"/>
      <w:r>
        <w:rPr>
          <w:rFonts w:hint="eastAsia" w:ascii="宋体" w:hAnsi="宋体" w:cs="宋体"/>
          <w:b/>
        </w:rPr>
        <w:t>一、项目基本情况</w:t>
      </w:r>
      <w:bookmarkEnd w:id="2"/>
      <w:bookmarkEnd w:id="3"/>
      <w:bookmarkEnd w:id="4"/>
      <w:bookmarkEnd w:id="5"/>
    </w:p>
    <w:p>
      <w:pPr>
        <w:spacing w:line="336" w:lineRule="auto"/>
        <w:ind w:firstLine="420" w:firstLineChars="200"/>
        <w:rPr>
          <w:rFonts w:ascii="宋体" w:hAnsi="宋体" w:cs="宋体"/>
          <w:szCs w:val="21"/>
        </w:rPr>
      </w:pPr>
      <w:r>
        <w:rPr>
          <w:rFonts w:hint="eastAsia" w:ascii="宋体" w:hAnsi="宋体" w:cs="宋体"/>
          <w:szCs w:val="21"/>
        </w:rPr>
        <w:t>项目编号：SY2023-029-HW-JC</w:t>
      </w:r>
    </w:p>
    <w:p>
      <w:pPr>
        <w:ind w:firstLine="420" w:firstLineChars="200"/>
        <w:rPr>
          <w:rFonts w:ascii="宋体" w:hAnsi="宋体" w:cs="宋体"/>
          <w:szCs w:val="21"/>
        </w:rPr>
      </w:pPr>
      <w:r>
        <w:rPr>
          <w:rFonts w:hint="eastAsia" w:ascii="宋体" w:hAnsi="宋体" w:cs="宋体"/>
          <w:szCs w:val="21"/>
        </w:rPr>
        <w:t>项目名称：江苏医药职业学院2023年预防医学专业教学设备采购</w:t>
      </w:r>
    </w:p>
    <w:p>
      <w:pPr>
        <w:spacing w:line="336" w:lineRule="auto"/>
        <w:ind w:firstLine="420" w:firstLineChars="200"/>
        <w:rPr>
          <w:rFonts w:ascii="宋体" w:hAnsi="宋体" w:cs="宋体"/>
        </w:rPr>
      </w:pPr>
      <w:r>
        <w:rPr>
          <w:rFonts w:hint="eastAsia" w:ascii="宋体" w:hAnsi="宋体" w:cs="宋体"/>
        </w:rPr>
        <w:t>采购方式：竞争性磋商</w:t>
      </w:r>
    </w:p>
    <w:p>
      <w:pPr>
        <w:spacing w:line="336" w:lineRule="auto"/>
        <w:ind w:firstLine="422" w:firstLineChars="200"/>
        <w:rPr>
          <w:rFonts w:ascii="宋体" w:hAnsi="宋体" w:cs="宋体"/>
          <w:szCs w:val="21"/>
        </w:rPr>
      </w:pPr>
      <w:r>
        <w:rPr>
          <w:rFonts w:hint="eastAsia" w:ascii="宋体" w:hAnsi="宋体" w:cs="宋体"/>
          <w:b/>
          <w:szCs w:val="21"/>
        </w:rPr>
        <w:t>基本概况：</w:t>
      </w:r>
      <w:r>
        <w:rPr>
          <w:rFonts w:hint="eastAsia" w:ascii="宋体" w:hAnsi="宋体" w:cs="宋体"/>
          <w:szCs w:val="21"/>
        </w:rPr>
        <w:t>教学需要拟采购高速冷冻离心机、手持式气溶胶监测仪、台式气溶胶监测仪、心肺复苏模型（半身）、心肺复苏模型（全身）、便携式袖珍噪声测量仪器、声级校准器等公共卫生相关专业常规配备仪器，具体技术需求详见采购文件；</w:t>
      </w:r>
    </w:p>
    <w:p>
      <w:pPr>
        <w:spacing w:line="336" w:lineRule="auto"/>
        <w:ind w:firstLine="422" w:firstLineChars="200"/>
        <w:rPr>
          <w:rFonts w:ascii="宋体" w:hAnsi="宋体" w:cs="宋体"/>
          <w:szCs w:val="21"/>
        </w:rPr>
      </w:pPr>
      <w:r>
        <w:rPr>
          <w:rFonts w:hint="eastAsia" w:ascii="宋体" w:hAnsi="宋体" w:cs="宋体"/>
          <w:b/>
          <w:bCs/>
          <w:szCs w:val="21"/>
        </w:rPr>
        <w:t>最高预算（最高限价）：</w:t>
      </w:r>
      <w:r>
        <w:rPr>
          <w:rFonts w:hint="eastAsia" w:ascii="宋体" w:hAnsi="宋体" w:cs="宋体"/>
          <w:szCs w:val="21"/>
        </w:rPr>
        <w:t>41.48万元；报价超过最高限价的为无效报价，按照无效响应处理；</w:t>
      </w:r>
    </w:p>
    <w:p>
      <w:pPr>
        <w:spacing w:line="336" w:lineRule="auto"/>
        <w:ind w:firstLine="420" w:firstLineChars="200"/>
        <w:rPr>
          <w:rFonts w:ascii="宋体" w:hAnsi="宋体" w:cs="宋体"/>
          <w:szCs w:val="21"/>
        </w:rPr>
      </w:pPr>
      <w:r>
        <w:rPr>
          <w:rFonts w:hint="eastAsia" w:ascii="宋体" w:hAnsi="宋体" w:cs="宋体"/>
          <w:szCs w:val="21"/>
        </w:rPr>
        <w:t>工期：自合同签订之日起，45日历天供货、安装完毕；</w:t>
      </w:r>
    </w:p>
    <w:p>
      <w:pPr>
        <w:spacing w:line="336" w:lineRule="auto"/>
        <w:ind w:firstLine="422" w:firstLineChars="200"/>
        <w:rPr>
          <w:rFonts w:ascii="宋体" w:hAnsi="宋体" w:cs="宋体"/>
          <w:szCs w:val="21"/>
        </w:rPr>
      </w:pPr>
      <w:r>
        <w:rPr>
          <w:rFonts w:hint="eastAsia" w:ascii="宋体" w:hAnsi="宋体" w:cs="宋体"/>
          <w:b/>
          <w:bCs/>
          <w:szCs w:val="21"/>
        </w:rPr>
        <w:t>质保期：</w:t>
      </w:r>
      <w:r>
        <w:rPr>
          <w:rFonts w:hint="eastAsia" w:ascii="宋体" w:hAnsi="宋体" w:cs="宋体"/>
          <w:szCs w:val="21"/>
        </w:rPr>
        <w:t>不少于3年。质保期自验收合格之日起算。</w:t>
      </w:r>
    </w:p>
    <w:p>
      <w:pPr>
        <w:numPr>
          <w:ilvl w:val="0"/>
          <w:numId w:val="2"/>
        </w:numPr>
        <w:spacing w:line="336" w:lineRule="auto"/>
        <w:rPr>
          <w:rFonts w:ascii="宋体" w:hAnsi="宋体"/>
          <w:b/>
          <w:szCs w:val="21"/>
        </w:rPr>
      </w:pPr>
      <w:r>
        <w:rPr>
          <w:rFonts w:hint="eastAsia" w:ascii="宋体" w:hAnsi="宋体"/>
          <w:b/>
          <w:szCs w:val="21"/>
        </w:rPr>
        <w:t>本项目接受进口产品投标（注：本文件所称进口产品是指通过中国海关报关验放进入中国境内且产自关境外的产品），已履行相关论证手续，经江苏省财政厅核准采购进口产品，但不限制满足招标文件要求的国内产品参与竞争。</w:t>
      </w:r>
    </w:p>
    <w:p>
      <w:pPr>
        <w:numPr>
          <w:ilvl w:val="0"/>
          <w:numId w:val="2"/>
        </w:numPr>
        <w:spacing w:line="336" w:lineRule="auto"/>
        <w:rPr>
          <w:rFonts w:ascii="宋体" w:hAnsi="宋体" w:cs="宋体"/>
          <w:b/>
        </w:rPr>
      </w:pPr>
      <w:bookmarkStart w:id="6" w:name="_Toc28359090"/>
      <w:bookmarkStart w:id="7" w:name="_Toc35393799"/>
      <w:bookmarkStart w:id="8" w:name="_Toc28359013"/>
      <w:bookmarkStart w:id="9" w:name="_Toc35393630"/>
      <w:r>
        <w:rPr>
          <w:rFonts w:hint="eastAsia" w:ascii="宋体" w:hAnsi="宋体" w:cs="宋体"/>
          <w:b/>
        </w:rPr>
        <w:t>申请人（</w:t>
      </w:r>
      <w:r>
        <w:rPr>
          <w:rFonts w:hint="eastAsia" w:ascii="宋体" w:hAnsi="宋体" w:cs="宋体"/>
          <w:b/>
          <w:kern w:val="0"/>
          <w:szCs w:val="21"/>
        </w:rPr>
        <w:t>供应商）</w:t>
      </w:r>
      <w:r>
        <w:rPr>
          <w:rFonts w:hint="eastAsia" w:ascii="宋体" w:hAnsi="宋体" w:cs="宋体"/>
          <w:b/>
        </w:rPr>
        <w:t>的资格要求</w:t>
      </w:r>
      <w:r>
        <w:rPr>
          <w:rFonts w:hint="eastAsia" w:ascii="宋体" w:hAnsi="宋体"/>
          <w:b/>
          <w:szCs w:val="21"/>
        </w:rPr>
        <w:t>（具体证明材料见响应文件格式）</w:t>
      </w:r>
      <w:r>
        <w:rPr>
          <w:rFonts w:hint="eastAsia" w:ascii="宋体" w:hAnsi="宋体" w:cs="宋体"/>
          <w:b/>
        </w:rPr>
        <w:t>：</w:t>
      </w:r>
      <w:bookmarkEnd w:id="6"/>
      <w:bookmarkEnd w:id="7"/>
      <w:bookmarkEnd w:id="8"/>
      <w:bookmarkEnd w:id="9"/>
    </w:p>
    <w:p>
      <w:pPr>
        <w:spacing w:line="336" w:lineRule="auto"/>
        <w:ind w:firstLine="420" w:firstLineChars="200"/>
        <w:rPr>
          <w:rFonts w:ascii="宋体" w:hAnsi="宋体" w:cs="宋体"/>
          <w:szCs w:val="21"/>
        </w:rPr>
      </w:pPr>
      <w:r>
        <w:rPr>
          <w:rFonts w:hint="eastAsia" w:ascii="宋体" w:hAnsi="宋体" w:cs="宋体"/>
          <w:szCs w:val="21"/>
        </w:rPr>
        <w:t>1.满足《中华人民共和国政府采购法》第二十二条规定，并提供下列材料：</w:t>
      </w:r>
    </w:p>
    <w:p>
      <w:pPr>
        <w:spacing w:line="336" w:lineRule="auto"/>
        <w:ind w:firstLine="420" w:firstLineChars="200"/>
        <w:rPr>
          <w:rFonts w:ascii="宋体" w:hAnsi="宋体" w:cs="宋体"/>
          <w:szCs w:val="21"/>
        </w:rPr>
      </w:pPr>
      <w:r>
        <w:rPr>
          <w:rFonts w:hint="eastAsia" w:ascii="宋体" w:hAnsi="宋体" w:cs="宋体"/>
          <w:szCs w:val="21"/>
        </w:rPr>
        <w:t>1.1具有独立承担民事责任的能力；</w:t>
      </w:r>
    </w:p>
    <w:p>
      <w:pPr>
        <w:spacing w:line="336" w:lineRule="auto"/>
        <w:ind w:firstLine="420" w:firstLineChars="200"/>
        <w:rPr>
          <w:rFonts w:ascii="宋体" w:hAnsi="宋体" w:cs="宋体"/>
          <w:szCs w:val="21"/>
        </w:rPr>
      </w:pPr>
      <w:r>
        <w:rPr>
          <w:rFonts w:hint="eastAsia" w:ascii="宋体" w:hAnsi="宋体" w:cs="宋体"/>
          <w:szCs w:val="21"/>
        </w:rPr>
        <w:t>1.2具有良好的商业信誉和健全的财务会计制度；</w:t>
      </w:r>
    </w:p>
    <w:p>
      <w:pPr>
        <w:spacing w:line="336" w:lineRule="auto"/>
        <w:ind w:firstLine="420" w:firstLineChars="200"/>
        <w:rPr>
          <w:rFonts w:ascii="宋体" w:hAnsi="宋体" w:cs="宋体"/>
          <w:szCs w:val="21"/>
        </w:rPr>
      </w:pPr>
      <w:r>
        <w:rPr>
          <w:rFonts w:hint="eastAsia" w:ascii="宋体" w:hAnsi="宋体" w:cs="宋体"/>
          <w:szCs w:val="21"/>
        </w:rPr>
        <w:t>1.3具有履行合同所必需的设备和专业技术能力；</w:t>
      </w:r>
    </w:p>
    <w:p>
      <w:pPr>
        <w:spacing w:line="336" w:lineRule="auto"/>
        <w:ind w:firstLine="420" w:firstLineChars="200"/>
        <w:rPr>
          <w:rFonts w:ascii="宋体" w:hAnsi="宋体" w:cs="宋体"/>
          <w:szCs w:val="21"/>
        </w:rPr>
      </w:pPr>
      <w:r>
        <w:rPr>
          <w:rFonts w:hint="eastAsia" w:ascii="宋体" w:hAnsi="宋体" w:cs="宋体"/>
          <w:szCs w:val="21"/>
        </w:rPr>
        <w:t>1.4有依法缴纳税收和社会保障资金的良好记录；</w:t>
      </w:r>
    </w:p>
    <w:p>
      <w:pPr>
        <w:spacing w:line="336" w:lineRule="auto"/>
        <w:ind w:firstLine="420" w:firstLineChars="200"/>
        <w:rPr>
          <w:rFonts w:ascii="宋体" w:hAnsi="宋体" w:cs="宋体"/>
          <w:szCs w:val="21"/>
        </w:rPr>
      </w:pPr>
      <w:r>
        <w:rPr>
          <w:rFonts w:hint="eastAsia" w:ascii="宋体" w:hAnsi="宋体" w:cs="宋体"/>
          <w:szCs w:val="21"/>
        </w:rPr>
        <w:t>1.5参加政府采购活动前三年内，在经营活动中没有重大违法记录。</w:t>
      </w:r>
    </w:p>
    <w:p>
      <w:pPr>
        <w:spacing w:line="336" w:lineRule="auto"/>
        <w:ind w:firstLine="420" w:firstLineChars="200"/>
        <w:rPr>
          <w:rFonts w:ascii="宋体" w:hAnsi="宋体" w:cs="宋体"/>
          <w:szCs w:val="21"/>
        </w:rPr>
      </w:pPr>
      <w:r>
        <w:rPr>
          <w:rFonts w:hint="eastAsia" w:ascii="宋体" w:hAnsi="宋体" w:cs="宋体"/>
          <w:szCs w:val="21"/>
        </w:rPr>
        <w:t>1.6法律、行政法规规定的其他条件。</w:t>
      </w:r>
    </w:p>
    <w:p>
      <w:pPr>
        <w:tabs>
          <w:tab w:val="left" w:pos="312"/>
        </w:tabs>
        <w:spacing w:line="336" w:lineRule="auto"/>
        <w:ind w:left="420"/>
        <w:jc w:val="left"/>
        <w:rPr>
          <w:rFonts w:ascii="宋体" w:hAnsi="宋体" w:cs="宋体"/>
          <w:szCs w:val="21"/>
        </w:rPr>
      </w:pPr>
      <w:r>
        <w:rPr>
          <w:rFonts w:hint="eastAsia" w:ascii="宋体" w:hAnsi="宋体" w:cs="宋体"/>
          <w:szCs w:val="21"/>
        </w:rPr>
        <w:t>2.落实政府采购政策需满足的资格要求：</w:t>
      </w:r>
      <w:bookmarkStart w:id="10" w:name="_Toc28359014"/>
      <w:bookmarkStart w:id="11" w:name="_Toc28359091"/>
      <w:bookmarkStart w:id="12" w:name="_Toc35393800"/>
      <w:bookmarkStart w:id="13" w:name="_Toc35393631"/>
      <w:r>
        <w:rPr>
          <w:rFonts w:hint="eastAsia" w:ascii="宋体" w:hAnsi="宋体" w:cs="宋体"/>
          <w:szCs w:val="21"/>
        </w:rPr>
        <w:t>无。</w:t>
      </w:r>
    </w:p>
    <w:p>
      <w:pPr>
        <w:spacing w:line="336" w:lineRule="auto"/>
        <w:ind w:firstLine="422" w:firstLineChars="200"/>
        <w:rPr>
          <w:rFonts w:ascii="宋体" w:hAnsi="宋体"/>
          <w:b/>
          <w:szCs w:val="21"/>
        </w:rPr>
      </w:pPr>
      <w:r>
        <w:rPr>
          <w:rFonts w:hint="eastAsia" w:ascii="宋体" w:hAnsi="宋体"/>
          <w:b/>
          <w:szCs w:val="21"/>
        </w:rPr>
        <w:t>3.本项目的特定资格要求：</w:t>
      </w:r>
    </w:p>
    <w:p>
      <w:pPr>
        <w:spacing w:line="336" w:lineRule="auto"/>
        <w:ind w:firstLine="422" w:firstLineChars="200"/>
        <w:rPr>
          <w:rFonts w:ascii="宋体" w:hAnsi="宋体"/>
          <w:b/>
          <w:szCs w:val="21"/>
        </w:rPr>
      </w:pPr>
      <w:r>
        <w:rPr>
          <w:rFonts w:hint="eastAsia" w:ascii="宋体" w:hAnsi="宋体"/>
          <w:b/>
          <w:szCs w:val="21"/>
        </w:rPr>
        <w:t>投标人所投产品为进口产品的，供应商可为生产企业或者销售企业。若为销售企业必须提供针对本项目的代理授权书，须提供生产企业或其驻中国办事机构（或生产企业授权的中国境内最高级别代理机构）针对本项目的专项授权书（须提供完整的代理授权链，外文授权须有中文译文）（投标时须提供有效授权书加盖章的复印件）</w:t>
      </w:r>
    </w:p>
    <w:p>
      <w:pPr>
        <w:spacing w:line="336" w:lineRule="auto"/>
        <w:ind w:firstLine="420" w:firstLineChars="200"/>
      </w:pPr>
      <w:r>
        <w:rPr>
          <w:rFonts w:hint="eastAsia" w:ascii="宋体" w:hAnsi="宋体" w:cs="宋体"/>
          <w:szCs w:val="21"/>
        </w:rPr>
        <w:t>4.供应商被“信用中国”网站(www.creditchina.gov.cn)、“中国政府采购网”(www.ccgp.gov.cn)列入失信被执行人、重大税收违法案件当事人名单、政府采购严重违法失信行为记录名单。</w:t>
      </w:r>
    </w:p>
    <w:p>
      <w:pPr>
        <w:spacing w:line="336" w:lineRule="auto"/>
        <w:ind w:firstLine="422" w:firstLineChars="200"/>
        <w:jc w:val="left"/>
        <w:rPr>
          <w:rFonts w:ascii="宋体" w:hAnsi="宋体" w:cs="宋体"/>
          <w:b/>
        </w:rPr>
      </w:pPr>
      <w:r>
        <w:rPr>
          <w:rFonts w:hint="eastAsia" w:ascii="宋体" w:hAnsi="宋体" w:cs="宋体"/>
          <w:b/>
        </w:rPr>
        <w:t>三、获取采购文件</w:t>
      </w:r>
      <w:bookmarkEnd w:id="10"/>
      <w:bookmarkEnd w:id="11"/>
      <w:bookmarkEnd w:id="12"/>
      <w:bookmarkEnd w:id="13"/>
    </w:p>
    <w:p>
      <w:pPr>
        <w:spacing w:line="336" w:lineRule="auto"/>
        <w:ind w:firstLine="420" w:firstLineChars="200"/>
        <w:rPr>
          <w:rFonts w:ascii="宋体" w:hAnsi="宋体" w:cs="宋体"/>
          <w:u w:val="single"/>
        </w:rPr>
      </w:pPr>
      <w:r>
        <w:rPr>
          <w:rFonts w:hint="eastAsia" w:ascii="宋体" w:hAnsi="宋体" w:cs="宋体"/>
          <w:u w:val="single"/>
        </w:rPr>
        <w:t>时间：2023年7月0</w:t>
      </w:r>
      <w:r>
        <w:rPr>
          <w:rFonts w:hint="eastAsia" w:ascii="宋体" w:hAnsi="宋体" w:cs="宋体"/>
          <w:u w:val="single"/>
          <w:lang w:val="en-US" w:eastAsia="zh-CN"/>
        </w:rPr>
        <w:t>5</w:t>
      </w:r>
      <w:r>
        <w:rPr>
          <w:rFonts w:hint="eastAsia" w:ascii="宋体" w:hAnsi="宋体" w:cs="宋体"/>
          <w:u w:val="single"/>
        </w:rPr>
        <w:t>日至2023年7月1</w:t>
      </w:r>
      <w:r>
        <w:rPr>
          <w:rFonts w:hint="eastAsia" w:ascii="宋体" w:hAnsi="宋体" w:cs="宋体"/>
          <w:u w:val="single"/>
          <w:lang w:val="en-US" w:eastAsia="zh-CN"/>
        </w:rPr>
        <w:t>1</w:t>
      </w:r>
      <w:r>
        <w:rPr>
          <w:rFonts w:hint="eastAsia" w:ascii="宋体" w:hAnsi="宋体" w:cs="宋体"/>
          <w:u w:val="single"/>
        </w:rPr>
        <w:t>日</w:t>
      </w:r>
      <w:r>
        <w:rPr>
          <w:rFonts w:hint="eastAsia" w:ascii="宋体" w:hAnsi="宋体" w:cs="宋体"/>
          <w:b/>
          <w:bCs/>
          <w:szCs w:val="21"/>
          <w:u w:val="single"/>
        </w:rPr>
        <w:t>（每个工作日的9时至12时，15时至18时）</w:t>
      </w:r>
    </w:p>
    <w:p>
      <w:pPr>
        <w:spacing w:line="336" w:lineRule="auto"/>
        <w:ind w:firstLine="420" w:firstLineChars="200"/>
        <w:rPr>
          <w:rFonts w:ascii="宋体" w:hAnsi="宋体" w:cs="宋体"/>
          <w:u w:val="single"/>
        </w:rPr>
      </w:pPr>
      <w:r>
        <w:rPr>
          <w:rFonts w:hint="eastAsia" w:ascii="宋体" w:hAnsi="宋体" w:cs="宋体"/>
          <w:u w:val="single"/>
        </w:rPr>
        <w:t>地点：</w:t>
      </w:r>
      <w:r>
        <w:rPr>
          <w:rFonts w:hint="eastAsia" w:ascii="宋体" w:hAnsi="宋体"/>
          <w:szCs w:val="21"/>
          <w:u w:val="single"/>
        </w:rPr>
        <w:t>盐城市府西路华邦国际西厦A区（东）302室</w:t>
      </w:r>
    </w:p>
    <w:p>
      <w:pPr>
        <w:spacing w:line="336" w:lineRule="auto"/>
        <w:ind w:firstLine="422" w:firstLineChars="200"/>
        <w:rPr>
          <w:rFonts w:ascii="宋体" w:hAnsi="宋体" w:cs="宋体"/>
          <w:b/>
          <w:bCs/>
          <w:szCs w:val="21"/>
        </w:rPr>
      </w:pPr>
      <w:bookmarkStart w:id="14" w:name="_Toc35393632"/>
      <w:bookmarkStart w:id="15" w:name="_Toc28359092"/>
      <w:bookmarkStart w:id="16" w:name="_Toc35393801"/>
      <w:bookmarkStart w:id="17" w:name="_Toc28359015"/>
      <w:r>
        <w:rPr>
          <w:rFonts w:hint="eastAsia" w:ascii="宋体" w:hAnsi="宋体" w:cs="宋体"/>
          <w:b/>
          <w:bCs/>
          <w:szCs w:val="21"/>
        </w:rPr>
        <w:t>方式：现场发售；投标人凭加盖公章的《供应商联系信息表》（见公告附件）、营业执照（复印件即可）到携手阳光公司领购（地址见本公告。注:未领购的任何单位或个人没有参与权以及相关知情权）</w:t>
      </w:r>
    </w:p>
    <w:p>
      <w:pPr>
        <w:spacing w:line="336" w:lineRule="auto"/>
        <w:ind w:firstLine="422" w:firstLineChars="200"/>
        <w:rPr>
          <w:rFonts w:ascii="宋体" w:hAnsi="宋体"/>
          <w:b/>
          <w:bCs/>
          <w:szCs w:val="21"/>
        </w:rPr>
      </w:pPr>
      <w:r>
        <w:rPr>
          <w:rFonts w:hint="eastAsia" w:ascii="宋体" w:hAnsi="宋体"/>
          <w:b/>
          <w:bCs/>
          <w:szCs w:val="21"/>
        </w:rPr>
        <w:t>售价：400元，售后不退；交纳方式：现金、支付宝（18662096009）等</w:t>
      </w:r>
    </w:p>
    <w:bookmarkEnd w:id="14"/>
    <w:bookmarkEnd w:id="15"/>
    <w:bookmarkEnd w:id="16"/>
    <w:bookmarkEnd w:id="17"/>
    <w:p>
      <w:pPr>
        <w:spacing w:line="336" w:lineRule="auto"/>
        <w:rPr>
          <w:rFonts w:ascii="宋体" w:hAnsi="宋体"/>
          <w:b/>
          <w:szCs w:val="22"/>
        </w:rPr>
      </w:pPr>
      <w:bookmarkStart w:id="18" w:name="_Toc28359005"/>
      <w:bookmarkStart w:id="19" w:name="_Toc28359082"/>
      <w:bookmarkStart w:id="20" w:name="_Toc35393793"/>
      <w:bookmarkStart w:id="21" w:name="_Toc35393624"/>
      <w:bookmarkStart w:id="22" w:name="_Toc35393633"/>
      <w:bookmarkStart w:id="23" w:name="_Toc28359016"/>
      <w:bookmarkStart w:id="24" w:name="_Toc28359093"/>
      <w:bookmarkStart w:id="25" w:name="_Toc35393802"/>
      <w:bookmarkStart w:id="26" w:name="_Toc35393626"/>
      <w:bookmarkStart w:id="27" w:name="_Toc35393795"/>
      <w:bookmarkStart w:id="28" w:name="_Toc35393635"/>
      <w:bookmarkStart w:id="29" w:name="_Toc35393804"/>
      <w:r>
        <w:rPr>
          <w:rFonts w:hint="eastAsia" w:ascii="宋体" w:hAnsi="宋体"/>
          <w:b/>
          <w:szCs w:val="22"/>
        </w:rPr>
        <w:t>四、提交投标文件</w:t>
      </w:r>
      <w:bookmarkEnd w:id="18"/>
      <w:bookmarkEnd w:id="19"/>
      <w:r>
        <w:rPr>
          <w:rFonts w:hint="eastAsia" w:ascii="宋体" w:hAnsi="宋体"/>
          <w:b/>
          <w:szCs w:val="22"/>
        </w:rPr>
        <w:t>截止时间（</w:t>
      </w:r>
      <w:r>
        <w:rPr>
          <w:rFonts w:hint="eastAsia" w:ascii="宋体" w:hAnsi="宋体" w:cs="宋体"/>
          <w:b/>
          <w:kern w:val="0"/>
          <w:szCs w:val="21"/>
        </w:rPr>
        <w:t>投标截止时间）</w:t>
      </w:r>
      <w:r>
        <w:rPr>
          <w:rFonts w:hint="eastAsia" w:ascii="宋体" w:hAnsi="宋体"/>
          <w:b/>
          <w:szCs w:val="22"/>
        </w:rPr>
        <w:t>、开标时间和地点</w:t>
      </w:r>
      <w:bookmarkEnd w:id="20"/>
      <w:bookmarkEnd w:id="21"/>
    </w:p>
    <w:p>
      <w:pPr>
        <w:spacing w:line="336" w:lineRule="auto"/>
        <w:ind w:firstLine="422" w:firstLineChars="200"/>
        <w:rPr>
          <w:rFonts w:ascii="宋体" w:hAnsi="宋体" w:cs="宋体"/>
          <w:b/>
          <w:u w:val="single"/>
        </w:rPr>
      </w:pPr>
      <w:r>
        <w:rPr>
          <w:rFonts w:hint="eastAsia" w:ascii="宋体" w:hAnsi="宋体" w:cs="宋体"/>
          <w:b/>
          <w:u w:val="single"/>
        </w:rPr>
        <w:t>时间：2023年7月1</w:t>
      </w:r>
      <w:r>
        <w:rPr>
          <w:rFonts w:hint="eastAsia" w:ascii="宋体" w:hAnsi="宋体" w:cs="宋体"/>
          <w:b/>
          <w:u w:val="single"/>
          <w:lang w:val="en-US" w:eastAsia="zh-CN"/>
        </w:rPr>
        <w:t>8</w:t>
      </w:r>
      <w:r>
        <w:rPr>
          <w:rFonts w:hint="eastAsia" w:ascii="宋体" w:hAnsi="宋体" w:cs="宋体"/>
          <w:b/>
          <w:u w:val="single"/>
        </w:rPr>
        <w:t>日15点00分（北京时间）（逾期送达的为无效文件）</w:t>
      </w:r>
    </w:p>
    <w:p>
      <w:pPr>
        <w:spacing w:line="336" w:lineRule="auto"/>
        <w:ind w:firstLine="422" w:firstLineChars="200"/>
        <w:rPr>
          <w:rFonts w:ascii="宋体" w:hAnsi="宋体" w:cs="宋体"/>
          <w:b/>
          <w:u w:val="single"/>
        </w:rPr>
      </w:pPr>
      <w:r>
        <w:rPr>
          <w:rFonts w:hint="eastAsia" w:ascii="宋体" w:hAnsi="宋体" w:cs="宋体"/>
          <w:b/>
          <w:u w:val="single"/>
        </w:rPr>
        <w:t>地点：江苏医药职业学院（盐城市解放南路283号）行政楼210室。</w:t>
      </w:r>
    </w:p>
    <w:p>
      <w:pPr>
        <w:spacing w:line="336" w:lineRule="auto"/>
        <w:ind w:firstLine="422" w:firstLineChars="200"/>
        <w:rPr>
          <w:rFonts w:ascii="宋体" w:hAnsi="宋体" w:cs="宋体"/>
          <w:b/>
          <w:bCs/>
          <w:szCs w:val="21"/>
        </w:rPr>
      </w:pPr>
      <w:r>
        <w:rPr>
          <w:rFonts w:hint="eastAsia" w:ascii="宋体" w:hAnsi="宋体" w:cs="宋体"/>
          <w:b/>
          <w:bCs/>
          <w:szCs w:val="21"/>
        </w:rPr>
        <w:t>注：本项目开标方式为不见面开标</w:t>
      </w:r>
    </w:p>
    <w:p>
      <w:pPr>
        <w:spacing w:line="336" w:lineRule="auto"/>
        <w:ind w:firstLine="422" w:firstLineChars="200"/>
        <w:rPr>
          <w:rFonts w:ascii="宋体" w:hAnsi="宋体" w:cs="宋体"/>
          <w:b/>
          <w:bCs/>
          <w:szCs w:val="21"/>
        </w:rPr>
      </w:pPr>
      <w:r>
        <w:rPr>
          <w:rFonts w:hint="eastAsia" w:ascii="宋体" w:hAnsi="宋体" w:cs="宋体"/>
          <w:b/>
          <w:bCs/>
          <w:szCs w:val="21"/>
        </w:rPr>
        <w:t>（邮寄或提前现场送达地点：盐城市府西路华邦国际西厦A区（东）302室，联系人：万成杨；电话：17705100013；时间建议在</w:t>
      </w:r>
      <w:r>
        <w:rPr>
          <w:rFonts w:hint="eastAsia" w:ascii="宋体" w:hAnsi="宋体" w:cs="宋体"/>
          <w:b/>
          <w:u w:val="single"/>
        </w:rPr>
        <w:t>2023年7月1</w:t>
      </w:r>
      <w:r>
        <w:rPr>
          <w:rFonts w:hint="eastAsia" w:ascii="宋体" w:hAnsi="宋体" w:cs="宋体"/>
          <w:b/>
          <w:u w:val="single"/>
          <w:lang w:val="en-US" w:eastAsia="zh-CN"/>
        </w:rPr>
        <w:t>8</w:t>
      </w:r>
      <w:r>
        <w:rPr>
          <w:rFonts w:hint="eastAsia" w:ascii="宋体" w:hAnsi="宋体" w:cs="宋体"/>
          <w:b/>
          <w:u w:val="single"/>
        </w:rPr>
        <w:t>日上午送达）。</w:t>
      </w:r>
    </w:p>
    <w:p>
      <w:pPr>
        <w:spacing w:line="336" w:lineRule="auto"/>
        <w:ind w:firstLine="422" w:firstLineChars="200"/>
        <w:rPr>
          <w:rFonts w:ascii="宋体" w:hAnsi="宋体" w:cs="宋体"/>
          <w:b/>
        </w:rPr>
      </w:pPr>
      <w:r>
        <w:rPr>
          <w:rFonts w:hint="eastAsia" w:ascii="宋体" w:hAnsi="宋体" w:cs="宋体"/>
          <w:b/>
          <w:bCs/>
          <w:szCs w:val="21"/>
        </w:rPr>
        <w:t>投标文件可以邮寄或提前现场送达的方式递交（密封完好，响应文件提交截止时间前，</w:t>
      </w:r>
      <w:r>
        <w:rPr>
          <w:rFonts w:hint="eastAsia" w:ascii="宋体" w:hAnsi="宋体" w:cs="宋体"/>
          <w:b/>
          <w:u w:val="single"/>
        </w:rPr>
        <w:t>投标文件送达现场的，投标人不需要在现场等待），最后报价由代理公司另行通知（腾讯会议号在收到投标文件后发送到报名邮箱）</w:t>
      </w:r>
      <w:r>
        <w:rPr>
          <w:rFonts w:hint="eastAsia" w:ascii="宋体" w:hAnsi="宋体" w:cs="宋体"/>
          <w:b/>
        </w:rPr>
        <w:t>；</w:t>
      </w:r>
    </w:p>
    <w:p>
      <w:pPr>
        <w:spacing w:line="336" w:lineRule="auto"/>
        <w:ind w:firstLine="422" w:firstLineChars="200"/>
        <w:rPr>
          <w:rFonts w:ascii="宋体" w:hAnsi="宋体" w:cs="宋体"/>
          <w:b/>
          <w:bCs/>
          <w:szCs w:val="21"/>
        </w:rPr>
      </w:pPr>
      <w:r>
        <w:rPr>
          <w:rFonts w:hint="eastAsia" w:ascii="宋体" w:hAnsi="宋体" w:cs="宋体"/>
          <w:b/>
          <w:bCs/>
          <w:szCs w:val="21"/>
        </w:rPr>
        <w:t>邮寄方式递交的投标文件以快递签收时间为准（建议提前邮寄），快递风险自行承担，逾期或密封不完整的不予接收，如因此造成供应商权益受到损害的等影响的，均由供应商自负（视为供应商过错）。</w:t>
      </w:r>
    </w:p>
    <w:p>
      <w:pPr>
        <w:numPr>
          <w:ilvl w:val="0"/>
          <w:numId w:val="3"/>
        </w:numPr>
        <w:spacing w:line="336" w:lineRule="auto"/>
        <w:rPr>
          <w:rFonts w:ascii="宋体" w:hAnsi="宋体" w:cs="宋体"/>
          <w:b/>
          <w:u w:val="single"/>
        </w:rPr>
      </w:pPr>
      <w:r>
        <w:rPr>
          <w:rFonts w:hint="eastAsia" w:ascii="宋体" w:hAnsi="宋体" w:cs="宋体"/>
          <w:b/>
          <w:bCs/>
          <w:u w:val="single"/>
        </w:rPr>
        <w:t>开启</w:t>
      </w:r>
      <w:bookmarkEnd w:id="22"/>
      <w:bookmarkEnd w:id="23"/>
      <w:bookmarkEnd w:id="24"/>
      <w:bookmarkEnd w:id="25"/>
      <w:r>
        <w:rPr>
          <w:rFonts w:hint="eastAsia" w:ascii="宋体" w:hAnsi="宋体" w:cs="宋体"/>
          <w:b/>
          <w:bCs/>
          <w:u w:val="single"/>
        </w:rPr>
        <w:t>时间：2</w:t>
      </w:r>
      <w:r>
        <w:rPr>
          <w:rFonts w:hint="eastAsia" w:ascii="宋体" w:hAnsi="宋体" w:cs="宋体"/>
          <w:b/>
          <w:u w:val="single"/>
        </w:rPr>
        <w:t>023年7月1</w:t>
      </w:r>
      <w:r>
        <w:rPr>
          <w:rFonts w:hint="eastAsia" w:ascii="宋体" w:hAnsi="宋体" w:cs="宋体"/>
          <w:b/>
          <w:u w:val="single"/>
          <w:lang w:val="en-US" w:eastAsia="zh-CN"/>
        </w:rPr>
        <w:t>8</w:t>
      </w:r>
      <w:r>
        <w:rPr>
          <w:rFonts w:hint="eastAsia" w:ascii="宋体" w:hAnsi="宋体" w:cs="宋体"/>
          <w:b/>
          <w:u w:val="single"/>
        </w:rPr>
        <w:t>日15点00分</w:t>
      </w:r>
      <w:r>
        <w:rPr>
          <w:rFonts w:hint="eastAsia" w:ascii="宋体" w:hAnsi="宋体" w:cs="宋体"/>
          <w:b/>
          <w:bCs/>
          <w:u w:val="single"/>
        </w:rPr>
        <w:t>（北京时间）</w:t>
      </w:r>
      <w:r>
        <w:rPr>
          <w:rFonts w:hint="eastAsia" w:ascii="宋体" w:hAnsi="宋体" w:cs="宋体"/>
          <w:b/>
          <w:u w:val="single"/>
        </w:rPr>
        <w:t>（逾期送达的为无效文件）</w:t>
      </w:r>
    </w:p>
    <w:p>
      <w:pPr>
        <w:spacing w:line="336" w:lineRule="auto"/>
        <w:ind w:firstLine="422" w:firstLineChars="200"/>
        <w:rPr>
          <w:rFonts w:ascii="宋体" w:hAnsi="宋体" w:cs="宋体"/>
          <w:b/>
          <w:bCs/>
          <w:u w:val="single"/>
        </w:rPr>
      </w:pPr>
      <w:r>
        <w:rPr>
          <w:rFonts w:hint="eastAsia" w:ascii="宋体" w:hAnsi="宋体" w:cs="宋体"/>
          <w:b/>
          <w:u w:val="single"/>
        </w:rPr>
        <w:t>地点：江苏医药职业学院（盐城市解放南路283号）行政楼210室。</w:t>
      </w:r>
    </w:p>
    <w:p>
      <w:pPr>
        <w:spacing w:line="336" w:lineRule="auto"/>
        <w:rPr>
          <w:rFonts w:ascii="宋体" w:hAnsi="宋体" w:cs="宋体"/>
          <w:b/>
          <w:bCs/>
        </w:rPr>
      </w:pPr>
      <w:r>
        <w:rPr>
          <w:rFonts w:hint="eastAsia" w:ascii="宋体" w:hAnsi="宋体" w:cs="宋体"/>
          <w:b/>
        </w:rPr>
        <w:t>六、公告期限</w:t>
      </w:r>
      <w:r>
        <w:rPr>
          <w:rFonts w:hint="eastAsia" w:ascii="宋体" w:hAnsi="宋体" w:cs="宋体"/>
          <w:b/>
          <w:bCs/>
        </w:rPr>
        <w:t>：</w:t>
      </w:r>
    </w:p>
    <w:p>
      <w:pPr>
        <w:spacing w:line="336" w:lineRule="auto"/>
        <w:ind w:firstLine="420" w:firstLineChars="200"/>
        <w:jc w:val="left"/>
        <w:rPr>
          <w:rFonts w:ascii="宋体" w:hAnsi="宋体" w:cs="宋体"/>
        </w:rPr>
      </w:pPr>
      <w:r>
        <w:rPr>
          <w:rFonts w:hint="eastAsia" w:ascii="宋体" w:hAnsi="宋体" w:cs="宋体"/>
          <w:kern w:val="0"/>
        </w:rPr>
        <w:t>自本公告发布之日起3个工作日(“江苏医药职业学院网站”)</w:t>
      </w:r>
    </w:p>
    <w:p>
      <w:pPr>
        <w:spacing w:line="336" w:lineRule="auto"/>
        <w:rPr>
          <w:rFonts w:ascii="宋体" w:hAnsi="宋体" w:cs="宋体"/>
          <w:b/>
        </w:rPr>
      </w:pPr>
      <w:r>
        <w:rPr>
          <w:rFonts w:hint="eastAsia" w:ascii="宋体" w:hAnsi="宋体"/>
          <w:b/>
          <w:bCs/>
        </w:rPr>
        <w:t>七、</w:t>
      </w:r>
      <w:r>
        <w:rPr>
          <w:rFonts w:hint="eastAsia" w:ascii="宋体" w:hAnsi="宋体" w:cs="宋体"/>
          <w:b/>
        </w:rPr>
        <w:t>凡对本次采购提出询问，请按以下方式联系</w:t>
      </w:r>
    </w:p>
    <w:bookmarkEnd w:id="26"/>
    <w:bookmarkEnd w:id="27"/>
    <w:p>
      <w:pPr>
        <w:spacing w:line="336" w:lineRule="auto"/>
        <w:ind w:firstLine="420" w:firstLineChars="200"/>
        <w:rPr>
          <w:rFonts w:ascii="宋体" w:hAnsi="宋体" w:cs="宋体"/>
          <w:szCs w:val="21"/>
        </w:rPr>
      </w:pPr>
      <w:bookmarkStart w:id="30" w:name="_Toc28359008"/>
      <w:bookmarkStart w:id="31" w:name="_Toc35393627"/>
      <w:bookmarkStart w:id="32" w:name="_Toc35393796"/>
      <w:bookmarkStart w:id="33" w:name="_Toc28359085"/>
      <w:r>
        <w:rPr>
          <w:rFonts w:hint="eastAsia" w:ascii="宋体" w:hAnsi="宋体" w:cs="宋体"/>
          <w:szCs w:val="21"/>
        </w:rPr>
        <w:t>1.项目</w:t>
      </w:r>
      <w:r>
        <w:rPr>
          <w:rFonts w:ascii="宋体" w:hAnsi="宋体" w:cs="宋体"/>
          <w:szCs w:val="21"/>
        </w:rPr>
        <w:t>联系方式</w:t>
      </w:r>
      <w:r>
        <w:rPr>
          <w:rFonts w:hint="eastAsia" w:ascii="宋体" w:hAnsi="宋体" w:cs="宋体"/>
          <w:szCs w:val="21"/>
        </w:rPr>
        <w:t>：</w:t>
      </w:r>
    </w:p>
    <w:p>
      <w:pPr>
        <w:spacing w:line="336" w:lineRule="auto"/>
        <w:ind w:firstLine="630" w:firstLineChars="300"/>
        <w:rPr>
          <w:rFonts w:ascii="宋体" w:hAnsi="宋体" w:cs="宋体"/>
          <w:szCs w:val="21"/>
        </w:rPr>
      </w:pPr>
      <w:r>
        <w:rPr>
          <w:rFonts w:hint="eastAsia" w:ascii="宋体" w:hAnsi="宋体" w:cs="宋体"/>
          <w:szCs w:val="21"/>
        </w:rPr>
        <w:t>项目联系人：孙老师；电话：15050664709；</w:t>
      </w:r>
    </w:p>
    <w:p>
      <w:pPr>
        <w:spacing w:line="336" w:lineRule="auto"/>
        <w:ind w:firstLine="420" w:firstLineChars="200"/>
        <w:rPr>
          <w:rFonts w:ascii="宋体" w:hAnsi="宋体" w:cs="宋体"/>
          <w:szCs w:val="21"/>
        </w:rPr>
      </w:pPr>
      <w:r>
        <w:rPr>
          <w:rFonts w:hint="eastAsia" w:ascii="宋体" w:hAnsi="宋体" w:cs="宋体"/>
          <w:szCs w:val="21"/>
        </w:rPr>
        <w:t>2.采购人信息：江苏医药职业学院；</w:t>
      </w:r>
    </w:p>
    <w:p>
      <w:pPr>
        <w:spacing w:line="336" w:lineRule="auto"/>
        <w:ind w:firstLine="630" w:firstLineChars="300"/>
        <w:rPr>
          <w:rFonts w:ascii="宋体" w:hAnsi="宋体" w:cs="宋体"/>
          <w:szCs w:val="21"/>
        </w:rPr>
      </w:pPr>
      <w:r>
        <w:rPr>
          <w:rFonts w:hint="eastAsia" w:ascii="宋体" w:hAnsi="宋体" w:cs="宋体"/>
          <w:szCs w:val="21"/>
        </w:rPr>
        <w:t>地址：盐城市解放南路283号行政楼208室；（邮编224005）</w:t>
      </w:r>
    </w:p>
    <w:p>
      <w:pPr>
        <w:spacing w:line="336" w:lineRule="auto"/>
        <w:ind w:firstLine="630" w:firstLineChars="300"/>
        <w:rPr>
          <w:rFonts w:ascii="宋体" w:hAnsi="宋体" w:cs="宋体"/>
          <w:szCs w:val="21"/>
        </w:rPr>
      </w:pPr>
      <w:r>
        <w:rPr>
          <w:rFonts w:hint="eastAsia" w:ascii="宋体" w:hAnsi="宋体" w:cs="宋体"/>
          <w:szCs w:val="21"/>
        </w:rPr>
        <w:t>联系方式：刘老师；电话：0515-88550311；</w:t>
      </w:r>
    </w:p>
    <w:p>
      <w:pPr>
        <w:spacing w:line="336" w:lineRule="auto"/>
        <w:ind w:firstLine="420" w:firstLineChars="200"/>
        <w:rPr>
          <w:rFonts w:ascii="宋体" w:hAnsi="宋体"/>
          <w:szCs w:val="21"/>
        </w:rPr>
      </w:pPr>
      <w:r>
        <w:rPr>
          <w:rFonts w:hint="eastAsia" w:ascii="宋体" w:hAnsi="宋体"/>
          <w:szCs w:val="21"/>
        </w:rPr>
        <w:t>3.</w:t>
      </w:r>
      <w:r>
        <w:rPr>
          <w:rFonts w:hint="eastAsia" w:ascii="宋体" w:hAnsi="宋体" w:cs="宋体"/>
          <w:szCs w:val="21"/>
        </w:rPr>
        <w:t>采购代理机构信息</w:t>
      </w:r>
      <w:r>
        <w:rPr>
          <w:rFonts w:hint="eastAsia" w:ascii="宋体" w:hAnsi="宋体"/>
          <w:szCs w:val="21"/>
        </w:rPr>
        <w:t>：盐城市携手阳光集中采购代理有限公司；</w:t>
      </w:r>
    </w:p>
    <w:p>
      <w:pPr>
        <w:spacing w:line="336" w:lineRule="auto"/>
        <w:ind w:firstLine="630" w:firstLineChars="300"/>
        <w:rPr>
          <w:rFonts w:ascii="宋体" w:hAnsi="宋体"/>
          <w:szCs w:val="21"/>
          <w:u w:val="single"/>
        </w:rPr>
      </w:pPr>
      <w:r>
        <w:rPr>
          <w:rFonts w:hint="eastAsia" w:ascii="宋体" w:hAnsi="宋体"/>
          <w:szCs w:val="21"/>
        </w:rPr>
        <w:t>联系方式：施工；电话：13270072015；</w:t>
      </w:r>
      <w:r>
        <w:rPr>
          <w:rFonts w:hint="eastAsia" w:ascii="宋体" w:hAnsi="宋体"/>
          <w:b/>
          <w:bCs/>
        </w:rPr>
        <w:t>邮箱：xsyg005@163.com</w:t>
      </w:r>
      <w:r>
        <w:rPr>
          <w:rFonts w:hint="eastAsia" w:ascii="宋体" w:hAnsi="宋体"/>
          <w:b/>
          <w:bCs/>
          <w:szCs w:val="21"/>
        </w:rPr>
        <w:t>；</w:t>
      </w:r>
    </w:p>
    <w:p>
      <w:pPr>
        <w:spacing w:line="336" w:lineRule="auto"/>
        <w:ind w:firstLine="630" w:firstLineChars="300"/>
        <w:rPr>
          <w:rFonts w:ascii="宋体" w:hAnsi="宋体"/>
          <w:szCs w:val="21"/>
        </w:rPr>
      </w:pPr>
      <w:r>
        <w:rPr>
          <w:rFonts w:hint="eastAsia" w:ascii="宋体" w:hAnsi="宋体"/>
          <w:szCs w:val="21"/>
        </w:rPr>
        <w:t>地址：盐城市府西路华邦国际西厦A区（东）302室（邮编224000）</w:t>
      </w:r>
    </w:p>
    <w:p>
      <w:pPr>
        <w:spacing w:line="336" w:lineRule="auto"/>
        <w:ind w:firstLine="630" w:firstLineChars="300"/>
        <w:rPr>
          <w:rFonts w:ascii="宋体" w:hAnsi="宋体"/>
          <w:szCs w:val="21"/>
        </w:rPr>
      </w:pPr>
      <w:r>
        <w:rPr>
          <w:rFonts w:hint="eastAsia" w:ascii="宋体" w:hAnsi="宋体"/>
          <w:szCs w:val="21"/>
        </w:rPr>
        <w:t>对项目需求部分的询问、质疑请向项目联系人提出，由项目联系人负责答复；对项目采购文件其它部分的询问、质疑向采购代理机构提出。</w:t>
      </w:r>
    </w:p>
    <w:p>
      <w:pPr>
        <w:spacing w:line="336" w:lineRule="auto"/>
        <w:rPr>
          <w:b/>
          <w:bCs/>
          <w:lang w:val="zh-TW" w:eastAsia="zh-TW"/>
        </w:rPr>
      </w:pPr>
      <w:r>
        <w:rPr>
          <w:rFonts w:hint="eastAsia" w:ascii="宋体" w:hAnsi="宋体"/>
          <w:b/>
        </w:rPr>
        <w:t>八、其他补充事宜</w:t>
      </w:r>
    </w:p>
    <w:p>
      <w:pPr>
        <w:widowControl/>
        <w:shd w:val="clear" w:color="auto" w:fill="FFFFFF"/>
        <w:spacing w:line="336" w:lineRule="auto"/>
        <w:ind w:firstLine="420"/>
        <w:jc w:val="left"/>
        <w:rPr>
          <w:rFonts w:ascii="微软雅黑" w:hAnsi="微软雅黑" w:eastAsia="微软雅黑" w:cs="微软雅黑"/>
          <w:color w:val="444444"/>
          <w:szCs w:val="21"/>
        </w:rPr>
      </w:pPr>
      <w:r>
        <w:rPr>
          <w:rFonts w:hint="eastAsia" w:ascii="宋体" w:hAnsi="宋体" w:cs="宋体"/>
          <w:color w:val="444444"/>
          <w:kern w:val="0"/>
          <w:szCs w:val="21"/>
          <w:shd w:val="clear" w:color="auto" w:fill="FFFFFF"/>
        </w:rPr>
        <w:t>本项目鼓励供应商开展信用担保（0515-88285999）、扶持不发达地区等政府采购政策。</w:t>
      </w:r>
    </w:p>
    <w:p>
      <w:pPr>
        <w:widowControl/>
        <w:shd w:val="clear" w:color="auto" w:fill="FFFFFF"/>
        <w:spacing w:line="336" w:lineRule="auto"/>
        <w:ind w:firstLine="420"/>
        <w:jc w:val="left"/>
        <w:rPr>
          <w:lang w:val="zh-TW" w:eastAsia="zh-TW"/>
        </w:rPr>
      </w:pPr>
      <w:r>
        <w:rPr>
          <w:rFonts w:hint="eastAsia" w:ascii="宋体" w:hAnsi="宋体" w:cs="宋体"/>
          <w:color w:val="444444"/>
          <w:kern w:val="0"/>
          <w:szCs w:val="21"/>
          <w:shd w:val="clear" w:color="auto" w:fill="FFFFFF"/>
        </w:rPr>
        <w:t>本项目使用时间：北京时间，24小时制；货币单位：人民币；</w:t>
      </w:r>
    </w:p>
    <w:bookmarkEnd w:id="28"/>
    <w:bookmarkEnd w:id="29"/>
    <w:bookmarkEnd w:id="30"/>
    <w:bookmarkEnd w:id="31"/>
    <w:bookmarkEnd w:id="32"/>
    <w:bookmarkEnd w:id="33"/>
    <w:p>
      <w:pPr>
        <w:spacing w:line="440" w:lineRule="exact"/>
        <w:ind w:firstLine="420" w:firstLineChars="200"/>
        <w:rPr>
          <w:rFonts w:ascii="宋体" w:hAnsi="宋体" w:cs="宋体"/>
          <w:szCs w:val="21"/>
        </w:rPr>
      </w:pPr>
      <w:r>
        <w:rPr>
          <w:rFonts w:hint="eastAsia" w:ascii="宋体" w:hAnsi="宋体"/>
          <w:color w:val="000000"/>
        </w:rPr>
        <w:t>附件：《供应商联系信息表》、《项目需求》</w:t>
      </w:r>
    </w:p>
    <w:p>
      <w:pPr>
        <w:spacing w:line="336" w:lineRule="auto"/>
        <w:jc w:val="right"/>
        <w:rPr>
          <w:rFonts w:ascii="宋体" w:hAnsi="宋体" w:cs="宋体"/>
          <w:szCs w:val="21"/>
        </w:rPr>
      </w:pPr>
    </w:p>
    <w:p>
      <w:pPr>
        <w:spacing w:line="336" w:lineRule="auto"/>
        <w:jc w:val="right"/>
        <w:rPr>
          <w:rFonts w:ascii="宋体" w:hAnsi="宋体" w:cs="宋体"/>
          <w:szCs w:val="21"/>
        </w:rPr>
      </w:pPr>
      <w:r>
        <w:rPr>
          <w:rFonts w:hint="eastAsia" w:ascii="宋体" w:hAnsi="宋体" w:cs="宋体"/>
          <w:szCs w:val="21"/>
        </w:rPr>
        <w:t>盐城市携手阳光集中采购代理有限公司</w:t>
      </w:r>
    </w:p>
    <w:p>
      <w:pPr>
        <w:spacing w:line="336" w:lineRule="auto"/>
        <w:ind w:right="840"/>
        <w:jc w:val="right"/>
        <w:rPr>
          <w:rFonts w:ascii="宋体" w:hAnsi="宋体" w:cs="宋体"/>
          <w:szCs w:val="21"/>
        </w:rPr>
      </w:pPr>
      <w:r>
        <w:rPr>
          <w:rFonts w:hint="eastAsia" w:ascii="宋体" w:hAnsi="宋体" w:cs="宋体"/>
          <w:szCs w:val="21"/>
        </w:rPr>
        <w:t>2023年7月0</w:t>
      </w:r>
      <w:r>
        <w:rPr>
          <w:rFonts w:hint="eastAsia" w:ascii="宋体" w:hAnsi="宋体" w:cs="宋体"/>
          <w:szCs w:val="21"/>
          <w:lang w:val="en-US" w:eastAsia="zh-CN"/>
        </w:rPr>
        <w:t>4</w:t>
      </w:r>
      <w:r>
        <w:rPr>
          <w:rFonts w:hint="eastAsia" w:ascii="宋体" w:hAnsi="宋体" w:cs="宋体"/>
          <w:szCs w:val="21"/>
        </w:rPr>
        <w:t>日</w:t>
      </w:r>
      <w:bookmarkStart w:id="34" w:name="_Toc403987204"/>
      <w:bookmarkStart w:id="35" w:name="_Toc120614213"/>
      <w:bookmarkStart w:id="36" w:name="_Toc436018347"/>
      <w:bookmarkStart w:id="37" w:name="_Toc20823274"/>
      <w:bookmarkStart w:id="38" w:name="_Toc436038552"/>
      <w:bookmarkStart w:id="39" w:name="_Toc436039138"/>
      <w:bookmarkStart w:id="40" w:name="_Toc16938518"/>
      <w:bookmarkStart w:id="41" w:name="_Toc513029202"/>
      <w:bookmarkStart w:id="42" w:name="_Toc436038460"/>
      <w:bookmarkStart w:id="43" w:name="_Toc436038399"/>
    </w:p>
    <w:bookmarkEnd w:id="34"/>
    <w:bookmarkEnd w:id="35"/>
    <w:bookmarkEnd w:id="36"/>
    <w:bookmarkEnd w:id="37"/>
    <w:bookmarkEnd w:id="38"/>
    <w:bookmarkEnd w:id="39"/>
    <w:bookmarkEnd w:id="40"/>
    <w:bookmarkEnd w:id="41"/>
    <w:bookmarkEnd w:id="42"/>
    <w:bookmarkEnd w:id="43"/>
    <w:p>
      <w:pPr>
        <w:spacing w:line="480" w:lineRule="auto"/>
        <w:jc w:val="center"/>
        <w:outlineLvl w:val="0"/>
        <w:rPr>
          <w:rFonts w:ascii="宋体" w:hAnsi="宋体" w:cs="宋体"/>
          <w:b/>
          <w:szCs w:val="28"/>
        </w:rPr>
      </w:pPr>
      <w:r>
        <w:rPr>
          <w:rFonts w:hint="eastAsia"/>
        </w:rPr>
        <w:br w:type="page"/>
      </w:r>
      <w:bookmarkStart w:id="44" w:name="_Toc122338085"/>
      <w:r>
        <w:rPr>
          <w:rFonts w:hint="eastAsia" w:ascii="宋体" w:hAnsi="宋体" w:cs="宋体"/>
          <w:b/>
          <w:sz w:val="32"/>
          <w:szCs w:val="21"/>
        </w:rPr>
        <w:t>第二章  供货商须知</w:t>
      </w:r>
      <w:bookmarkEnd w:id="44"/>
    </w:p>
    <w:p>
      <w:pPr>
        <w:spacing w:line="334" w:lineRule="auto"/>
        <w:jc w:val="center"/>
        <w:rPr>
          <w:rFonts w:ascii="宋体" w:hAnsi="宋体" w:cs="宋体"/>
          <w:b/>
          <w:szCs w:val="21"/>
        </w:rPr>
      </w:pPr>
      <w:r>
        <w:rPr>
          <w:rFonts w:hint="eastAsia" w:ascii="宋体" w:hAnsi="宋体" w:cs="宋体"/>
          <w:b/>
          <w:szCs w:val="21"/>
        </w:rPr>
        <w:t>供应商须知资料表</w:t>
      </w:r>
    </w:p>
    <w:p>
      <w:pPr>
        <w:spacing w:line="334" w:lineRule="auto"/>
        <w:ind w:firstLine="316" w:firstLineChars="150"/>
        <w:rPr>
          <w:rFonts w:ascii="宋体" w:hAnsi="宋体" w:cs="宋体"/>
          <w:b/>
          <w:szCs w:val="21"/>
        </w:rPr>
      </w:pPr>
      <w:r>
        <w:rPr>
          <w:rFonts w:hint="eastAsia" w:ascii="宋体" w:hAnsi="宋体" w:cs="宋体"/>
          <w:b/>
          <w:szCs w:val="21"/>
        </w:rPr>
        <w:t>★本表是本采购项目的具体资料，是对供应商须知的具体补充和修改，如有矛盾，应以本资料表为准。</w:t>
      </w:r>
    </w:p>
    <w:tbl>
      <w:tblPr>
        <w:tblStyle w:val="26"/>
        <w:tblW w:w="0" w:type="auto"/>
        <w:tblInd w:w="2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418"/>
        <w:gridCol w:w="809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418" w:type="dxa"/>
            <w:vAlign w:val="center"/>
          </w:tcPr>
          <w:p>
            <w:pPr>
              <w:spacing w:line="400" w:lineRule="exact"/>
              <w:jc w:val="center"/>
              <w:rPr>
                <w:rFonts w:asciiTheme="minorEastAsia" w:hAnsiTheme="minorEastAsia" w:eastAsiaTheme="minorEastAsia" w:cstheme="minorEastAsia"/>
                <w:b/>
                <w:szCs w:val="21"/>
              </w:rPr>
            </w:pPr>
            <w:bookmarkStart w:id="45" w:name="_Hlt26668836"/>
            <w:bookmarkEnd w:id="45"/>
            <w:bookmarkStart w:id="46" w:name="_Hlt26954907"/>
            <w:bookmarkEnd w:id="46"/>
            <w:bookmarkStart w:id="47" w:name="_Hlt26670330"/>
            <w:bookmarkEnd w:id="47"/>
            <w:bookmarkStart w:id="48" w:name="_Hlt26954810"/>
            <w:bookmarkEnd w:id="48"/>
            <w:bookmarkStart w:id="49" w:name="_Hlt26954824"/>
            <w:bookmarkEnd w:id="49"/>
            <w:r>
              <w:rPr>
                <w:rFonts w:hint="eastAsia" w:asciiTheme="minorEastAsia" w:hAnsiTheme="minorEastAsia" w:eastAsiaTheme="minorEastAsia" w:cstheme="minorEastAsia"/>
                <w:b/>
                <w:szCs w:val="21"/>
              </w:rPr>
              <w:t>条款号/名称</w:t>
            </w:r>
          </w:p>
        </w:tc>
        <w:tc>
          <w:tcPr>
            <w:tcW w:w="8096" w:type="dxa"/>
            <w:vAlign w:val="center"/>
          </w:tcPr>
          <w:p>
            <w:pPr>
              <w:spacing w:line="400" w:lineRule="exact"/>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内      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418" w:type="dxa"/>
            <w:vAlign w:val="center"/>
          </w:tcPr>
          <w:p>
            <w:pPr>
              <w:spacing w:line="400" w:lineRule="exact"/>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说明</w:t>
            </w:r>
          </w:p>
        </w:tc>
        <w:tc>
          <w:tcPr>
            <w:tcW w:w="8096" w:type="dxa"/>
            <w:vAlign w:val="center"/>
          </w:tcPr>
          <w:p>
            <w:pPr>
              <w:spacing w:line="400" w:lineRule="exact"/>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江苏医药职业学院是省卫健委直属全日制公办专科层次普通高等学校。本项目预算未达到现时有效的政府采购的限额标准，同时本项目的采购内容也未列入现时有效的集中采购目录，因此，本项目并不属于政府采购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418" w:type="dxa"/>
            <w:vAlign w:val="center"/>
          </w:tcPr>
          <w:p>
            <w:pPr>
              <w:spacing w:line="400" w:lineRule="exact"/>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适用</w:t>
            </w:r>
          </w:p>
          <w:p>
            <w:pPr>
              <w:spacing w:line="400" w:lineRule="exact"/>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法律</w:t>
            </w:r>
          </w:p>
        </w:tc>
        <w:tc>
          <w:tcPr>
            <w:tcW w:w="8096" w:type="dxa"/>
            <w:vAlign w:val="center"/>
          </w:tcPr>
          <w:p>
            <w:pPr>
              <w:spacing w:line="400" w:lineRule="exact"/>
              <w:ind w:firstLine="422"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bCs/>
                <w:szCs w:val="21"/>
              </w:rPr>
              <w:t>本次采购适用于采购人的内控制度（政府采购限额以下项目）。为规范采购活动，携手阳光公司参照政府采购程序组织本次采购活动。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418" w:type="dxa"/>
            <w:vAlign w:val="center"/>
          </w:tcPr>
          <w:p>
            <w:pPr>
              <w:spacing w:line="400" w:lineRule="exact"/>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采购文件</w:t>
            </w:r>
          </w:p>
          <w:p>
            <w:pPr>
              <w:spacing w:line="400" w:lineRule="exact"/>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的约束力</w:t>
            </w:r>
          </w:p>
        </w:tc>
        <w:tc>
          <w:tcPr>
            <w:tcW w:w="8096" w:type="dxa"/>
            <w:vAlign w:val="center"/>
          </w:tcPr>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供应商一旦下载了本采购文件并决定参加磋商，即代表供应商已阅读了本采购文件每一条条款，并接受了本采购文件所有的规定和约束。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418" w:type="dxa"/>
            <w:vAlign w:val="center"/>
          </w:tcPr>
          <w:p>
            <w:pPr>
              <w:spacing w:line="400" w:lineRule="exact"/>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与供应商</w:t>
            </w:r>
          </w:p>
          <w:p>
            <w:pPr>
              <w:spacing w:line="400" w:lineRule="exact"/>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bCs/>
                <w:szCs w:val="21"/>
              </w:rPr>
              <w:t>的联系</w:t>
            </w:r>
          </w:p>
        </w:tc>
        <w:tc>
          <w:tcPr>
            <w:tcW w:w="8096" w:type="dxa"/>
            <w:vAlign w:val="center"/>
          </w:tcPr>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法律法规中规定采购人、采购代理机构须以书面形式通知供应商的，为提高政府采购效率，采购人、携手阳光公司可以</w:t>
            </w:r>
            <w:r>
              <w:rPr>
                <w:rFonts w:hint="eastAsia" w:asciiTheme="minorEastAsia" w:hAnsiTheme="minorEastAsia" w:eastAsiaTheme="minorEastAsia" w:cstheme="minorEastAsia"/>
                <w:bCs/>
                <w:spacing w:val="15"/>
                <w:kern w:val="0"/>
                <w:szCs w:val="21"/>
              </w:rPr>
              <w:t>以电子邮件</w:t>
            </w:r>
            <w:r>
              <w:rPr>
                <w:rFonts w:hint="eastAsia" w:asciiTheme="minorEastAsia" w:hAnsiTheme="minorEastAsia" w:eastAsiaTheme="minorEastAsia" w:cstheme="minorEastAsia"/>
                <w:bCs/>
                <w:szCs w:val="21"/>
              </w:rPr>
              <w:t>方式</w:t>
            </w:r>
            <w:r>
              <w:rPr>
                <w:rFonts w:hint="eastAsia" w:asciiTheme="minorEastAsia" w:hAnsiTheme="minorEastAsia" w:eastAsiaTheme="minorEastAsia" w:cstheme="minorEastAsia"/>
                <w:szCs w:val="21"/>
              </w:rPr>
              <w:t>通知供应商（视为书面形式）。</w:t>
            </w:r>
            <w:r>
              <w:rPr>
                <w:rFonts w:hint="eastAsia" w:asciiTheme="minorEastAsia" w:hAnsiTheme="minorEastAsia" w:eastAsiaTheme="minorEastAsia" w:cstheme="minorEastAsia"/>
                <w:bCs/>
                <w:spacing w:val="15"/>
                <w:kern w:val="0"/>
                <w:szCs w:val="21"/>
              </w:rPr>
              <w:t>本项目采购活动中，</w:t>
            </w:r>
            <w:r>
              <w:rPr>
                <w:rFonts w:hint="eastAsia" w:asciiTheme="minorEastAsia" w:hAnsiTheme="minorEastAsia" w:eastAsiaTheme="minorEastAsia" w:cstheme="minorEastAsia"/>
                <w:szCs w:val="21"/>
              </w:rPr>
              <w:t>携手阳光公司的</w:t>
            </w:r>
            <w:r>
              <w:rPr>
                <w:rFonts w:hint="eastAsia" w:asciiTheme="minorEastAsia" w:hAnsiTheme="minorEastAsia" w:eastAsiaTheme="minorEastAsia" w:cstheme="minorEastAsia"/>
                <w:bCs/>
                <w:spacing w:val="15"/>
                <w:kern w:val="0"/>
                <w:szCs w:val="21"/>
              </w:rPr>
              <w:t>电子邮箱以采购公告为准（下同</w:t>
            </w:r>
            <w:r>
              <w:rPr>
                <w:rFonts w:hint="eastAsia" w:asciiTheme="minorEastAsia" w:hAnsiTheme="minorEastAsia" w:eastAsiaTheme="minorEastAsia" w:cstheme="minorEastAsia"/>
                <w:bCs/>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418" w:type="dxa"/>
            <w:vAlign w:val="center"/>
          </w:tcPr>
          <w:p>
            <w:pPr>
              <w:spacing w:line="400" w:lineRule="exact"/>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投标有效期</w:t>
            </w:r>
          </w:p>
        </w:tc>
        <w:tc>
          <w:tcPr>
            <w:tcW w:w="8096" w:type="dxa"/>
            <w:vAlign w:val="center"/>
          </w:tcPr>
          <w:p>
            <w:pPr>
              <w:spacing w:line="400" w:lineRule="exact"/>
              <w:ind w:firstLine="420"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szCs w:val="21"/>
              </w:rPr>
              <w:t>投标有效期（磋商响应有效期）：提交响应文件截止之日起</w:t>
            </w:r>
            <w:r>
              <w:rPr>
                <w:rFonts w:hint="eastAsia" w:asciiTheme="minorEastAsia" w:hAnsiTheme="minorEastAsia" w:eastAsiaTheme="minorEastAsia" w:cstheme="minorEastAsia"/>
                <w:szCs w:val="21"/>
                <w:u w:val="single"/>
              </w:rPr>
              <w:t>60个日历日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0" w:hRule="atLeast"/>
        </w:trPr>
        <w:tc>
          <w:tcPr>
            <w:tcW w:w="1418" w:type="dxa"/>
            <w:vAlign w:val="center"/>
          </w:tcPr>
          <w:p>
            <w:pPr>
              <w:spacing w:line="400" w:lineRule="exact"/>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投标（响应）文件份数</w:t>
            </w:r>
          </w:p>
        </w:tc>
        <w:tc>
          <w:tcPr>
            <w:tcW w:w="8096" w:type="dxa"/>
            <w:vAlign w:val="center"/>
          </w:tcPr>
          <w:p>
            <w:pPr>
              <w:spacing w:line="400" w:lineRule="exact"/>
              <w:ind w:firstLine="422"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u w:val="single"/>
              </w:rPr>
              <w:t>投标（响应）文件：正本：1份、副本：4份（建议正本与副本分开封装）</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除上述文件外，还须递交投标（响应）文件电子文档1份</w:t>
            </w:r>
            <w:r>
              <w:rPr>
                <w:rFonts w:hint="eastAsia" w:asciiTheme="minorEastAsia" w:hAnsiTheme="minorEastAsia" w:eastAsiaTheme="minorEastAsia" w:cstheme="minorEastAsia"/>
                <w:b/>
                <w:bCs/>
                <w:szCs w:val="21"/>
              </w:rPr>
              <w:t>（建议U盘）</w:t>
            </w:r>
            <w:r>
              <w:rPr>
                <w:rFonts w:hint="eastAsia" w:asciiTheme="minorEastAsia" w:hAnsiTheme="minorEastAsia" w:eastAsiaTheme="minorEastAsia" w:cstheme="minorEastAsia"/>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418" w:type="dxa"/>
            <w:vAlign w:val="center"/>
          </w:tcPr>
          <w:p>
            <w:pPr>
              <w:spacing w:line="40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履约保证金</w:t>
            </w:r>
          </w:p>
        </w:tc>
        <w:tc>
          <w:tcPr>
            <w:tcW w:w="8096" w:type="dxa"/>
            <w:vAlign w:val="center"/>
          </w:tcPr>
          <w:p>
            <w:pPr>
              <w:spacing w:line="400" w:lineRule="exact"/>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在签订合同前，中标人需向招标人交纳履约保证金（请将履约保证金汇款凭证发送至QQ邮箱：</w:t>
            </w:r>
            <w:r>
              <w:fldChar w:fldCharType="begin"/>
            </w:r>
            <w:r>
              <w:instrText xml:space="preserve"> HYPERLINK "mailto:532223373@qq.com），具体金额为中标价的5%25。拟中标人应当按照招标人的要求及时、足额缴纳履约保证金，履约保证金待项目验收结束后一次性无息退还。（凭" </w:instrText>
            </w:r>
            <w:r>
              <w:fldChar w:fldCharType="separate"/>
            </w:r>
            <w:r>
              <w:rPr>
                <w:rFonts w:hint="eastAsia"/>
              </w:rPr>
              <w:t>532223373@qq.com），具体金额为中标价的5%。拟中标人应当按照招标人的要求及时、足额缴纳履约保证金，履约保证金待项目验收结束后一次性无息退还。（凭“保证金请退函”到学校国资处办理退款手续）。如果中标人不履行合同约定的义务，未能完全履行合同规定的义务或其履行不符合合同的约定，招标人有权扣除履约保证金取得补偿。</w:t>
            </w:r>
            <w:r>
              <w:rPr>
                <w:rFonts w:hint="eastAsia"/>
              </w:rPr>
              <w:fldChar w:fldCharType="end"/>
            </w:r>
            <w:bookmarkStart w:id="50" w:name="_Toc118235408"/>
            <w:r>
              <w:rPr>
                <w:rFonts w:hint="eastAsia" w:asciiTheme="minorEastAsia" w:hAnsiTheme="minorEastAsia" w:eastAsiaTheme="minorEastAsia" w:cstheme="minorEastAsia"/>
                <w:szCs w:val="21"/>
              </w:rPr>
              <w:t>详见：《供货商须知》六、合同签订相关事项。</w:t>
            </w:r>
            <w:bookmarkEnd w:id="50"/>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0" w:hRule="atLeast"/>
        </w:trPr>
        <w:tc>
          <w:tcPr>
            <w:tcW w:w="1418" w:type="dxa"/>
            <w:vAlign w:val="center"/>
          </w:tcPr>
          <w:p>
            <w:pPr>
              <w:spacing w:line="400" w:lineRule="exact"/>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代理服务费</w:t>
            </w:r>
          </w:p>
        </w:tc>
        <w:tc>
          <w:tcPr>
            <w:tcW w:w="8096" w:type="dxa"/>
            <w:vAlign w:val="center"/>
          </w:tcPr>
          <w:p>
            <w:pPr>
              <w:spacing w:line="400" w:lineRule="exact"/>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代理服务费（中标服务费）：本项目的代理服务费由成交供应商承担。</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代理服务费收费标准：为方便计算，代理服务费参照原《招标代理服务收费管理暂行办法》（计价格[2002]1980号）</w:t>
            </w:r>
            <w:r>
              <w:rPr>
                <w:rFonts w:hint="eastAsia" w:ascii="宋体" w:hAnsi="宋体"/>
              </w:rPr>
              <w:t>收费标准的40%计取（如低于3000元的，按3000元计取）；</w:t>
            </w:r>
          </w:p>
          <w:p>
            <w:pPr>
              <w:pStyle w:val="19"/>
              <w:ind w:left="0" w:leftChars="0" w:firstLine="422"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代理服务费支付形式为：电款、转账等；发票为普通发票。账户信息：开户名：盐城市携手阳光集中采购代理有限公司；开户行：兴业银行盐城分行；账号：402010100100119375）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0" w:hRule="atLeast"/>
        </w:trPr>
        <w:tc>
          <w:tcPr>
            <w:tcW w:w="1418" w:type="dxa"/>
            <w:vAlign w:val="center"/>
          </w:tcPr>
          <w:p>
            <w:pPr>
              <w:spacing w:line="400" w:lineRule="exact"/>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版权所有</w:t>
            </w:r>
          </w:p>
          <w:p>
            <w:pPr>
              <w:spacing w:line="400" w:lineRule="exact"/>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翻版必究</w:t>
            </w:r>
          </w:p>
        </w:tc>
        <w:tc>
          <w:tcPr>
            <w:tcW w:w="8096" w:type="dxa"/>
            <w:vAlign w:val="center"/>
          </w:tcPr>
          <w:p>
            <w:pPr>
              <w:spacing w:line="400" w:lineRule="exact"/>
              <w:ind w:firstLine="422" w:firstLineChars="200"/>
              <w:jc w:val="left"/>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携手阳光公司创建之始（2012年），便致力于政府采购业务不断完善和改进。寒窗苦读不易，未经携手阳光公司书面授权，本采购文件内容严禁摘录、引用、传播或用于它处。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0" w:hRule="atLeast"/>
        </w:trPr>
        <w:tc>
          <w:tcPr>
            <w:tcW w:w="1418" w:type="dxa"/>
            <w:vAlign w:val="center"/>
          </w:tcPr>
          <w:p>
            <w:pPr>
              <w:spacing w:line="400" w:lineRule="exact"/>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CSR</w:t>
            </w:r>
          </w:p>
          <w:p>
            <w:pPr>
              <w:spacing w:line="400" w:lineRule="exact"/>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企业社会责任</w:t>
            </w:r>
          </w:p>
        </w:tc>
        <w:tc>
          <w:tcPr>
            <w:tcW w:w="8096" w:type="dxa"/>
            <w:vAlign w:val="center"/>
          </w:tcPr>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盐城市携手阳光集中采购代理有限公司从成立起，重视社会责任，在第一份招标文件中，就已公开了自己的企业社会责任。</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绿色环保：我们建议供应商响应文件技术部分使用双面打印，以减少纸张的浪费。</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社会公益：我司定期安排拥军拥属以及其它社会公益行为。</w:t>
            </w:r>
          </w:p>
        </w:tc>
      </w:tr>
    </w:tbl>
    <w:p>
      <w:pPr>
        <w:spacing w:line="410" w:lineRule="exact"/>
        <w:jc w:val="center"/>
        <w:rPr>
          <w:rFonts w:ascii="宋体" w:hAnsi="宋体" w:cs="宋体"/>
          <w:b/>
          <w:szCs w:val="21"/>
        </w:rPr>
      </w:pPr>
      <w:r>
        <w:rPr>
          <w:rFonts w:hint="eastAsia" w:ascii="宋体" w:hAnsi="宋体" w:cs="宋体"/>
          <w:b/>
          <w:szCs w:val="21"/>
        </w:rPr>
        <w:t>（参加竞争性磋商的供应商以下简称“磋商供应商”）</w:t>
      </w:r>
    </w:p>
    <w:p>
      <w:pPr>
        <w:spacing w:line="262" w:lineRule="auto"/>
        <w:jc w:val="center"/>
        <w:outlineLvl w:val="1"/>
        <w:rPr>
          <w:rFonts w:asciiTheme="minorEastAsia" w:hAnsiTheme="minorEastAsia" w:eastAsiaTheme="minorEastAsia" w:cstheme="minorEastAsia"/>
          <w:b/>
          <w:szCs w:val="21"/>
        </w:rPr>
      </w:pPr>
      <w:bookmarkStart w:id="51" w:name="_Toc118275514"/>
      <w:bookmarkStart w:id="52" w:name="_Toc118275554"/>
      <w:bookmarkStart w:id="53" w:name="_Toc107916288"/>
      <w:bookmarkStart w:id="54" w:name="_Toc118275634"/>
      <w:bookmarkStart w:id="55" w:name="_Toc118235409"/>
      <w:r>
        <w:rPr>
          <w:rFonts w:hint="eastAsia" w:asciiTheme="minorEastAsia" w:hAnsiTheme="minorEastAsia" w:eastAsiaTheme="minorEastAsia" w:cstheme="minorEastAsia"/>
          <w:b/>
          <w:bCs/>
          <w:szCs w:val="21"/>
        </w:rPr>
        <w:t>一、</w:t>
      </w:r>
      <w:r>
        <w:rPr>
          <w:rFonts w:hint="eastAsia" w:asciiTheme="minorEastAsia" w:hAnsiTheme="minorEastAsia" w:eastAsiaTheme="minorEastAsia" w:cstheme="minorEastAsia"/>
          <w:b/>
          <w:szCs w:val="21"/>
        </w:rPr>
        <w:t>总则</w:t>
      </w:r>
      <w:bookmarkEnd w:id="51"/>
      <w:bookmarkEnd w:id="52"/>
      <w:bookmarkEnd w:id="53"/>
      <w:bookmarkEnd w:id="54"/>
      <w:bookmarkEnd w:id="55"/>
    </w:p>
    <w:p>
      <w:pPr>
        <w:pStyle w:val="2"/>
        <w:spacing w:line="240" w:lineRule="exact"/>
        <w:rPr>
          <w:rFonts w:asciiTheme="minorEastAsia" w:hAnsiTheme="minorEastAsia" w:eastAsiaTheme="minorEastAsia" w:cstheme="minorEastAsia"/>
          <w:sz w:val="21"/>
          <w:szCs w:val="21"/>
        </w:rPr>
      </w:pPr>
    </w:p>
    <w:p>
      <w:pPr>
        <w:spacing w:line="262" w:lineRule="auto"/>
        <w:jc w:val="left"/>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1</w:t>
      </w:r>
      <w:bookmarkStart w:id="56" w:name="_Toc520356144"/>
      <w:bookmarkStart w:id="57" w:name="_Toc32623"/>
      <w:bookmarkStart w:id="58" w:name="_Toc5999"/>
      <w:bookmarkStart w:id="59" w:name="_Toc515647758"/>
      <w:bookmarkStart w:id="60" w:name="_Toc32189"/>
      <w:r>
        <w:rPr>
          <w:rFonts w:hint="eastAsia" w:asciiTheme="minorEastAsia" w:hAnsiTheme="minorEastAsia" w:eastAsiaTheme="minorEastAsia" w:cstheme="minorEastAsia"/>
          <w:b/>
          <w:szCs w:val="21"/>
        </w:rPr>
        <w:t>.适用法律、采购方式、采购磋商</w:t>
      </w:r>
    </w:p>
    <w:p>
      <w:pPr>
        <w:spacing w:line="262"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1.1本次采购及由此产生的合同受中华人民共和国有关的法律法规制约和保护。</w:t>
      </w:r>
    </w:p>
    <w:p>
      <w:pPr>
        <w:spacing w:line="262"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1.2本次采购方式为：</w:t>
      </w:r>
      <w:r>
        <w:rPr>
          <w:rFonts w:hint="eastAsia" w:asciiTheme="minorEastAsia" w:hAnsiTheme="minorEastAsia" w:eastAsiaTheme="minorEastAsia" w:cstheme="minorEastAsia"/>
          <w:szCs w:val="21"/>
          <w:u w:val="single"/>
        </w:rPr>
        <w:t>磋商</w:t>
      </w:r>
      <w:r>
        <w:rPr>
          <w:rFonts w:hint="eastAsia" w:asciiTheme="minorEastAsia" w:hAnsiTheme="minorEastAsia" w:eastAsiaTheme="minorEastAsia" w:cstheme="minorEastAsia"/>
          <w:szCs w:val="21"/>
        </w:rPr>
        <w:t>。</w:t>
      </w:r>
    </w:p>
    <w:p>
      <w:pPr>
        <w:spacing w:line="262"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1.3采购磋商：略，本项目的采购磋商书同</w:t>
      </w:r>
      <w:r>
        <w:rPr>
          <w:rFonts w:hint="eastAsia" w:asciiTheme="minorEastAsia" w:hAnsiTheme="minorEastAsia" w:eastAsiaTheme="minorEastAsia" w:cstheme="minorEastAsia"/>
          <w:szCs w:val="21"/>
          <w:u w:val="single"/>
        </w:rPr>
        <w:t>采购公告</w:t>
      </w:r>
      <w:r>
        <w:rPr>
          <w:rFonts w:hint="eastAsia" w:asciiTheme="minorEastAsia" w:hAnsiTheme="minorEastAsia" w:eastAsiaTheme="minorEastAsia" w:cstheme="minorEastAsia"/>
          <w:szCs w:val="21"/>
        </w:rPr>
        <w:t>。</w:t>
      </w:r>
    </w:p>
    <w:p>
      <w:pPr>
        <w:spacing w:line="262" w:lineRule="auto"/>
        <w:jc w:val="left"/>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2.采购人、采购代理机构及</w:t>
      </w:r>
      <w:bookmarkEnd w:id="56"/>
      <w:bookmarkEnd w:id="57"/>
      <w:bookmarkEnd w:id="58"/>
      <w:bookmarkEnd w:id="59"/>
      <w:bookmarkEnd w:id="60"/>
      <w:r>
        <w:rPr>
          <w:rFonts w:hint="eastAsia" w:asciiTheme="minorEastAsia" w:hAnsiTheme="minorEastAsia" w:eastAsiaTheme="minorEastAsia" w:cstheme="minorEastAsia"/>
          <w:b/>
          <w:szCs w:val="21"/>
        </w:rPr>
        <w:t>供应商</w:t>
      </w:r>
    </w:p>
    <w:p>
      <w:pPr>
        <w:spacing w:line="262" w:lineRule="auto"/>
        <w:ind w:firstLine="420" w:firstLineChars="200"/>
        <w:jc w:val="left"/>
        <w:rPr>
          <w:rFonts w:asciiTheme="minorEastAsia" w:hAnsiTheme="minorEastAsia" w:eastAsiaTheme="minorEastAsia" w:cstheme="minorEastAsia"/>
          <w:b/>
          <w:szCs w:val="21"/>
        </w:rPr>
      </w:pPr>
      <w:r>
        <w:rPr>
          <w:rFonts w:hint="eastAsia" w:asciiTheme="minorEastAsia" w:hAnsiTheme="minorEastAsia" w:eastAsiaTheme="minorEastAsia" w:cstheme="minorEastAsia"/>
          <w:szCs w:val="21"/>
        </w:rPr>
        <w:t>2.1采购人：本项目的采购人见</w:t>
      </w:r>
      <w:r>
        <w:rPr>
          <w:rFonts w:hint="eastAsia" w:asciiTheme="minorEastAsia" w:hAnsiTheme="minorEastAsia" w:eastAsiaTheme="minorEastAsia" w:cstheme="minorEastAsia"/>
          <w:bCs/>
          <w:szCs w:val="21"/>
          <w:u w:val="single"/>
        </w:rPr>
        <w:t>采购公告</w:t>
      </w:r>
      <w:r>
        <w:rPr>
          <w:rFonts w:hint="eastAsia" w:asciiTheme="minorEastAsia" w:hAnsiTheme="minorEastAsia" w:eastAsiaTheme="minorEastAsia" w:cstheme="minorEastAsia"/>
          <w:szCs w:val="21"/>
        </w:rPr>
        <w:t>。</w:t>
      </w:r>
    </w:p>
    <w:p>
      <w:pPr>
        <w:spacing w:line="262" w:lineRule="auto"/>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2.2采购代理机构：盐城市携手阳光集中采购代理有限公司（本次采购活动中可简称：携手阳光公司；携手阳光公司的工作人员，可以简称工作人员）</w:t>
      </w:r>
    </w:p>
    <w:p>
      <w:pPr>
        <w:spacing w:line="262" w:lineRule="auto"/>
        <w:ind w:firstLine="420" w:firstLineChars="200"/>
        <w:jc w:val="left"/>
        <w:rPr>
          <w:rFonts w:asciiTheme="minorEastAsia" w:hAnsiTheme="minorEastAsia" w:eastAsiaTheme="minorEastAsia" w:cstheme="minorEastAsia"/>
          <w:b/>
          <w:szCs w:val="21"/>
        </w:rPr>
      </w:pPr>
      <w:r>
        <w:rPr>
          <w:rFonts w:hint="eastAsia" w:asciiTheme="minorEastAsia" w:hAnsiTheme="minorEastAsia" w:eastAsiaTheme="minorEastAsia" w:cstheme="minorEastAsia"/>
          <w:szCs w:val="21"/>
        </w:rPr>
        <w:t>2.3供应商：是指向采购人提供产品（货物、工程或者服务。下同）的法人、非法人组织或者自然人。</w:t>
      </w:r>
    </w:p>
    <w:p>
      <w:pPr>
        <w:spacing w:line="262" w:lineRule="auto"/>
        <w:ind w:firstLine="422" w:firstLineChars="200"/>
        <w:jc w:val="left"/>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2.3.1供应商资格条件</w:t>
      </w:r>
    </w:p>
    <w:p>
      <w:pPr>
        <w:spacing w:line="262" w:lineRule="auto"/>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2.3.1.1供应商须符合</w:t>
      </w:r>
      <w:r>
        <w:rPr>
          <w:rFonts w:hint="eastAsia" w:asciiTheme="minorEastAsia" w:hAnsiTheme="minorEastAsia" w:eastAsiaTheme="minorEastAsia" w:cstheme="minorEastAsia"/>
          <w:bCs/>
          <w:szCs w:val="21"/>
          <w:u w:val="single"/>
        </w:rPr>
        <w:t>采购公告</w:t>
      </w:r>
      <w:r>
        <w:rPr>
          <w:rFonts w:hint="eastAsia" w:asciiTheme="minorEastAsia" w:hAnsiTheme="minorEastAsia" w:eastAsiaTheme="minorEastAsia" w:cstheme="minorEastAsia"/>
          <w:bCs/>
          <w:szCs w:val="21"/>
        </w:rPr>
        <w:t>中</w:t>
      </w:r>
      <w:r>
        <w:rPr>
          <w:rFonts w:hint="eastAsia" w:asciiTheme="minorEastAsia" w:hAnsiTheme="minorEastAsia" w:eastAsiaTheme="minorEastAsia" w:cstheme="minorEastAsia"/>
          <w:szCs w:val="21"/>
        </w:rPr>
        <w:t>申请人（</w:t>
      </w:r>
      <w:r>
        <w:rPr>
          <w:rFonts w:hint="eastAsia" w:asciiTheme="minorEastAsia" w:hAnsiTheme="minorEastAsia" w:eastAsiaTheme="minorEastAsia" w:cstheme="minorEastAsia"/>
          <w:kern w:val="0"/>
          <w:szCs w:val="21"/>
        </w:rPr>
        <w:t>供应商）</w:t>
      </w:r>
      <w:r>
        <w:rPr>
          <w:rFonts w:hint="eastAsia" w:asciiTheme="minorEastAsia" w:hAnsiTheme="minorEastAsia" w:eastAsiaTheme="minorEastAsia" w:cstheme="minorEastAsia"/>
          <w:szCs w:val="21"/>
        </w:rPr>
        <w:t>的资格要求；</w:t>
      </w:r>
    </w:p>
    <w:p>
      <w:pPr>
        <w:spacing w:line="262"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2.3.1.2供应商须以携手阳光公司认可的方式获得了本采购文件；</w:t>
      </w:r>
    </w:p>
    <w:p>
      <w:pPr>
        <w:spacing w:line="262"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2.3.1.3单位负责人为同一人或者存在直接控股、管理关系的不同供应商，不得参加同一合同项下的政府采购活动。为本项目提供整体设计、规范编制或者项目管理、监理、检测等服务的供应商，不得再参加本项目的其他采购活动；</w:t>
      </w:r>
    </w:p>
    <w:p>
      <w:pPr>
        <w:spacing w:line="262" w:lineRule="auto"/>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3.</w:t>
      </w:r>
      <w:r>
        <w:rPr>
          <w:rFonts w:hint="eastAsia" w:asciiTheme="minorEastAsia" w:hAnsiTheme="minorEastAsia" w:eastAsiaTheme="minorEastAsia" w:cstheme="minorEastAsia"/>
          <w:b/>
          <w:bCs/>
          <w:szCs w:val="21"/>
        </w:rPr>
        <w:t>资金来源、</w:t>
      </w:r>
      <w:r>
        <w:rPr>
          <w:rFonts w:hint="eastAsia" w:asciiTheme="minorEastAsia" w:hAnsiTheme="minorEastAsia" w:eastAsiaTheme="minorEastAsia" w:cstheme="minorEastAsia"/>
          <w:b/>
          <w:szCs w:val="21"/>
        </w:rPr>
        <w:t>采购预算、采购需求</w:t>
      </w:r>
    </w:p>
    <w:p>
      <w:pPr>
        <w:spacing w:line="262"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3.1本项目的采购人已获得足以支付本次采购后所签订的合同项下的资金。</w:t>
      </w:r>
    </w:p>
    <w:p>
      <w:pPr>
        <w:spacing w:line="262"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3.2本项目采购预算</w:t>
      </w:r>
      <w:r>
        <w:rPr>
          <w:rFonts w:hint="eastAsia" w:asciiTheme="minorEastAsia" w:hAnsiTheme="minorEastAsia" w:eastAsiaTheme="minorEastAsia" w:cstheme="minorEastAsia"/>
          <w:b/>
          <w:szCs w:val="21"/>
        </w:rPr>
        <w:t>、</w:t>
      </w:r>
      <w:r>
        <w:rPr>
          <w:rFonts w:hint="eastAsia" w:asciiTheme="minorEastAsia" w:hAnsiTheme="minorEastAsia" w:eastAsiaTheme="minorEastAsia" w:cstheme="minorEastAsia"/>
          <w:kern w:val="0"/>
          <w:szCs w:val="21"/>
        </w:rPr>
        <w:t>最高限价</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kern w:val="0"/>
          <w:szCs w:val="21"/>
        </w:rPr>
        <w:t>如有）</w:t>
      </w:r>
      <w:r>
        <w:rPr>
          <w:rFonts w:hint="eastAsia" w:asciiTheme="minorEastAsia" w:hAnsiTheme="minorEastAsia" w:eastAsiaTheme="minorEastAsia" w:cstheme="minorEastAsia"/>
          <w:szCs w:val="21"/>
        </w:rPr>
        <w:t>见</w:t>
      </w:r>
      <w:r>
        <w:rPr>
          <w:rFonts w:hint="eastAsia" w:asciiTheme="minorEastAsia" w:hAnsiTheme="minorEastAsia" w:eastAsiaTheme="minorEastAsia" w:cstheme="minorEastAsia"/>
          <w:bCs/>
          <w:szCs w:val="21"/>
          <w:u w:val="single"/>
        </w:rPr>
        <w:t>采购公告</w:t>
      </w:r>
      <w:r>
        <w:rPr>
          <w:rFonts w:hint="eastAsia" w:asciiTheme="minorEastAsia" w:hAnsiTheme="minorEastAsia" w:eastAsiaTheme="minorEastAsia" w:cstheme="minorEastAsia"/>
          <w:szCs w:val="21"/>
        </w:rPr>
        <w:t>。供应商报价超过采购文件规定的预算金额或者最高限价的，其投标将被认定为</w:t>
      </w:r>
      <w:r>
        <w:rPr>
          <w:rFonts w:hint="eastAsia" w:asciiTheme="minorEastAsia" w:hAnsiTheme="minorEastAsia" w:eastAsiaTheme="minorEastAsia" w:cstheme="minorEastAsia"/>
          <w:b/>
          <w:bCs/>
          <w:szCs w:val="21"/>
        </w:rPr>
        <w:t>投标无效</w:t>
      </w:r>
      <w:r>
        <w:rPr>
          <w:rFonts w:hint="eastAsia" w:asciiTheme="minorEastAsia" w:hAnsiTheme="minorEastAsia" w:eastAsiaTheme="minorEastAsia" w:cstheme="minorEastAsia"/>
          <w:szCs w:val="21"/>
        </w:rPr>
        <w:t>。</w:t>
      </w:r>
    </w:p>
    <w:p>
      <w:pPr>
        <w:spacing w:line="262"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3.3本项目的</w:t>
      </w:r>
      <w:r>
        <w:rPr>
          <w:rFonts w:hint="eastAsia" w:asciiTheme="minorEastAsia" w:hAnsiTheme="minorEastAsia" w:eastAsiaTheme="minorEastAsia" w:cstheme="minorEastAsia"/>
          <w:szCs w:val="21"/>
          <w:u w:val="single"/>
        </w:rPr>
        <w:t>采购需求见本采购文件第3章</w:t>
      </w:r>
      <w:r>
        <w:rPr>
          <w:rFonts w:hint="eastAsia" w:asciiTheme="minorEastAsia" w:hAnsiTheme="minorEastAsia" w:eastAsiaTheme="minorEastAsia" w:cstheme="minorEastAsia"/>
          <w:szCs w:val="21"/>
        </w:rPr>
        <w:t>“采购需求及政府采购合同（拟签订的合同文本）”。</w:t>
      </w:r>
    </w:p>
    <w:p>
      <w:pPr>
        <w:spacing w:line="262" w:lineRule="auto"/>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4.参加政府采购活动费用</w:t>
      </w:r>
    </w:p>
    <w:p>
      <w:pPr>
        <w:spacing w:line="30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不论结果如何，供应商应承担所有与准备和参加本次磋商采购有关的费用。采购人及携手阳光公司在任何情况下均无义务和责任承担这些费用。</w:t>
      </w:r>
    </w:p>
    <w:p>
      <w:pPr>
        <w:spacing w:line="262" w:lineRule="auto"/>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5.其它有关说明</w:t>
      </w:r>
    </w:p>
    <w:p>
      <w:pPr>
        <w:spacing w:line="262" w:lineRule="auto"/>
        <w:ind w:firstLine="420"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szCs w:val="21"/>
        </w:rPr>
        <w:t>5.1供应商提交的响应文件以及供应商与采购人、携手阳光公司就有关投标的所有来往通知、函件和文件均须使用</w:t>
      </w:r>
      <w:r>
        <w:rPr>
          <w:rFonts w:hint="eastAsia" w:asciiTheme="minorEastAsia" w:hAnsiTheme="minorEastAsia" w:eastAsiaTheme="minorEastAsia" w:cstheme="minorEastAsia"/>
          <w:szCs w:val="21"/>
          <w:u w:val="single"/>
        </w:rPr>
        <w:t>简体中文</w:t>
      </w:r>
      <w:r>
        <w:rPr>
          <w:rFonts w:hint="eastAsia" w:asciiTheme="minorEastAsia" w:hAnsiTheme="minorEastAsia" w:eastAsiaTheme="minorEastAsia" w:cstheme="minorEastAsia"/>
          <w:b/>
          <w:szCs w:val="21"/>
        </w:rPr>
        <w:t>。</w:t>
      </w:r>
    </w:p>
    <w:p>
      <w:pPr>
        <w:spacing w:line="262"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5.2采购文件中所称的“以上”、“以下”、“内”、“以内”，包括本数；所称的“不足”，不包括本数。</w:t>
      </w:r>
    </w:p>
    <w:p>
      <w:pPr>
        <w:spacing w:line="262"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5.3如供应商为非法人单位的，“法定代表人”可为自然人本人、经营者本人、负责人。如供应商为自然人的，可由自然人以签字替代盖章。</w:t>
      </w:r>
    </w:p>
    <w:p>
      <w:pPr>
        <w:spacing w:line="262"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5.4本次采购活动（含采购文件）中的产品（货物、服务、工程）包括其相关伴随产品（货物、服务、工程）等为实现采购人采购需要（需求）而涉及的所有产品及事宜。</w:t>
      </w:r>
    </w:p>
    <w:p>
      <w:pPr>
        <w:spacing w:line="262" w:lineRule="auto"/>
        <w:ind w:firstLine="422"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5.5★特别说明（约定性条款）：</w:t>
      </w:r>
    </w:p>
    <w:p>
      <w:pPr>
        <w:spacing w:line="262" w:lineRule="auto"/>
        <w:ind w:firstLine="422"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供应商获取本采购文件后，应当及时、全面悉知采购文件的全部内容（含采购需求以及需实现的功能或者目标等全部内容。下同）及相关事宜。携手阳光公司不能保证本采购文件无编辑错误，如采购文件中有表述不清或不完整的（包括表述不规范完整或不准确的、界定或形容不清，可多层理解或解释的、未能达到法律规定明确的要求等任何情形），按照</w:t>
      </w:r>
      <w:r>
        <w:rPr>
          <w:rFonts w:hint="eastAsia" w:asciiTheme="minorEastAsia" w:hAnsiTheme="minorEastAsia" w:eastAsiaTheme="minorEastAsia" w:cstheme="minorEastAsia"/>
          <w:b/>
          <w:spacing w:val="15"/>
          <w:kern w:val="0"/>
          <w:szCs w:val="21"/>
        </w:rPr>
        <w:t>提高采购效率，降低纠错成本的原则，请</w:t>
      </w:r>
      <w:r>
        <w:rPr>
          <w:rFonts w:hint="eastAsia" w:asciiTheme="minorEastAsia" w:hAnsiTheme="minorEastAsia" w:eastAsiaTheme="minorEastAsia" w:cstheme="minorEastAsia"/>
          <w:b/>
          <w:szCs w:val="21"/>
        </w:rPr>
        <w:t>供应商在提交响应文件截止之日5日前，以电邮或书面方式（均须加盖公章）向携手阳光公司提出询问或要求进行澄清，以便采购人及时校正。如供应商参加了本项目采购活动，视为供应商对本采购文件无任何异议，并自愿在本项目采购活动中，一切以携手阳光公司理解、解释为准（本采购文件所有的解释权完全归携手阳光公司所有）。因此产生的风险（含响应文件无效）由供应商承担（含过错赔偿）。</w:t>
      </w:r>
    </w:p>
    <w:p>
      <w:pPr>
        <w:spacing w:line="262" w:lineRule="auto"/>
        <w:ind w:firstLine="422"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5.6采购文件的约束力</w:t>
      </w:r>
    </w:p>
    <w:p>
      <w:pPr>
        <w:spacing w:line="262"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供应商一旦下载了本采购文件并决定参加投标，即代表供应商接受了本采购文件所有的规定和约束</w:t>
      </w:r>
      <w:bookmarkStart w:id="61" w:name="_Hlt26670345"/>
      <w:bookmarkEnd w:id="61"/>
      <w:bookmarkStart w:id="62" w:name="_Hlt26954832"/>
      <w:bookmarkEnd w:id="62"/>
      <w:bookmarkStart w:id="63" w:name="_Hlt26670348"/>
      <w:bookmarkEnd w:id="63"/>
      <w:bookmarkStart w:id="64" w:name="_Hlt26670354"/>
      <w:bookmarkEnd w:id="64"/>
      <w:bookmarkStart w:id="65" w:name="_Hlt26954828"/>
      <w:bookmarkEnd w:id="65"/>
      <w:bookmarkStart w:id="66" w:name="_Hlt26668969"/>
      <w:bookmarkEnd w:id="66"/>
      <w:bookmarkStart w:id="67" w:name="_Hlt26954830"/>
      <w:bookmarkEnd w:id="67"/>
      <w:bookmarkStart w:id="68" w:name="_Toc61149553"/>
      <w:bookmarkStart w:id="69" w:name="_Toc14577351"/>
      <w:bookmarkStart w:id="70" w:name="_Toc462564072"/>
      <w:bookmarkStart w:id="71" w:name="_Toc513029213"/>
    </w:p>
    <w:p>
      <w:pPr>
        <w:pStyle w:val="2"/>
        <w:spacing w:line="240" w:lineRule="exact"/>
        <w:rPr>
          <w:rFonts w:asciiTheme="minorEastAsia" w:hAnsiTheme="minorEastAsia" w:eastAsiaTheme="minorEastAsia" w:cstheme="minorEastAsia"/>
          <w:sz w:val="21"/>
          <w:szCs w:val="21"/>
        </w:rPr>
      </w:pPr>
    </w:p>
    <w:p>
      <w:pPr>
        <w:spacing w:line="262" w:lineRule="auto"/>
        <w:ind w:firstLine="422" w:firstLineChars="200"/>
        <w:jc w:val="center"/>
        <w:outlineLvl w:val="1"/>
        <w:rPr>
          <w:rFonts w:asciiTheme="minorEastAsia" w:hAnsiTheme="minorEastAsia" w:eastAsiaTheme="minorEastAsia" w:cstheme="minorEastAsia"/>
          <w:b/>
          <w:szCs w:val="21"/>
        </w:rPr>
      </w:pPr>
      <w:bookmarkStart w:id="72" w:name="_Toc118275555"/>
      <w:bookmarkStart w:id="73" w:name="_Toc118275635"/>
      <w:bookmarkStart w:id="74" w:name="_Toc107916289"/>
      <w:bookmarkStart w:id="75" w:name="_Toc118235410"/>
      <w:bookmarkStart w:id="76" w:name="_Toc118275515"/>
      <w:r>
        <w:rPr>
          <w:rFonts w:hint="eastAsia" w:asciiTheme="minorEastAsia" w:hAnsiTheme="minorEastAsia" w:eastAsiaTheme="minorEastAsia" w:cstheme="minorEastAsia"/>
          <w:b/>
          <w:szCs w:val="21"/>
        </w:rPr>
        <w:t>二、采购文件</w:t>
      </w:r>
      <w:bookmarkEnd w:id="72"/>
      <w:bookmarkEnd w:id="73"/>
      <w:bookmarkEnd w:id="74"/>
      <w:bookmarkEnd w:id="75"/>
      <w:bookmarkEnd w:id="76"/>
    </w:p>
    <w:p>
      <w:pPr>
        <w:pStyle w:val="2"/>
        <w:spacing w:line="240" w:lineRule="exact"/>
        <w:rPr>
          <w:rFonts w:asciiTheme="minorEastAsia" w:hAnsiTheme="minorEastAsia" w:eastAsiaTheme="minorEastAsia" w:cstheme="minorEastAsia"/>
          <w:sz w:val="21"/>
          <w:szCs w:val="21"/>
        </w:rPr>
      </w:pPr>
    </w:p>
    <w:p>
      <w:pPr>
        <w:spacing w:line="262" w:lineRule="auto"/>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1.采购文件构成</w:t>
      </w:r>
    </w:p>
    <w:p>
      <w:pPr>
        <w:spacing w:line="262" w:lineRule="auto"/>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 xml:space="preserve">    </w:t>
      </w:r>
      <w:r>
        <w:rPr>
          <w:rFonts w:hint="eastAsia" w:asciiTheme="minorEastAsia" w:hAnsiTheme="minorEastAsia" w:eastAsiaTheme="minorEastAsia" w:cstheme="minorEastAsia"/>
          <w:szCs w:val="21"/>
        </w:rPr>
        <w:t>1.1采购文件共5章，内容如下：</w:t>
      </w:r>
    </w:p>
    <w:p>
      <w:pPr>
        <w:spacing w:line="262" w:lineRule="auto"/>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 xml:space="preserve">    </w:t>
      </w:r>
      <w:r>
        <w:rPr>
          <w:rFonts w:hint="eastAsia" w:asciiTheme="minorEastAsia" w:hAnsiTheme="minorEastAsia" w:eastAsiaTheme="minorEastAsia" w:cstheme="minorEastAsia"/>
          <w:szCs w:val="21"/>
        </w:rPr>
        <w:t>第1章  采购公告（采购磋商）</w:t>
      </w:r>
    </w:p>
    <w:p>
      <w:pPr>
        <w:spacing w:line="262" w:lineRule="auto"/>
        <w:rPr>
          <w:rFonts w:asciiTheme="minorEastAsia" w:hAnsiTheme="minorEastAsia" w:eastAsiaTheme="minorEastAsia" w:cstheme="minorEastAsia"/>
          <w:b/>
          <w:szCs w:val="21"/>
        </w:rPr>
      </w:pPr>
      <w:r>
        <w:rPr>
          <w:rFonts w:hint="eastAsia" w:asciiTheme="minorEastAsia" w:hAnsiTheme="minorEastAsia" w:eastAsiaTheme="minorEastAsia" w:cstheme="minorEastAsia"/>
          <w:szCs w:val="21"/>
        </w:rPr>
        <w:t xml:space="preserve">    第2章  供货商须知</w:t>
      </w:r>
    </w:p>
    <w:p>
      <w:pPr>
        <w:spacing w:line="262"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第3章  采购需求及政府采购合同（拟签订的合同文本）</w:t>
      </w:r>
    </w:p>
    <w:p>
      <w:pPr>
        <w:spacing w:line="262"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第4章  评审方法和标准（主要部分）</w:t>
      </w:r>
    </w:p>
    <w:p>
      <w:pPr>
        <w:spacing w:line="262"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第5章  投标（响应）文件格式</w:t>
      </w:r>
    </w:p>
    <w:p>
      <w:pPr>
        <w:spacing w:line="262" w:lineRule="auto"/>
        <w:ind w:left="785" w:leftChars="199" w:hanging="367" w:hangingChars="175"/>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请供应商仔细检查采购文件是否齐全，如有缺漏请立即与</w:t>
      </w:r>
      <w:r>
        <w:rPr>
          <w:rFonts w:hint="eastAsia" w:asciiTheme="minorEastAsia" w:hAnsiTheme="minorEastAsia" w:eastAsiaTheme="minorEastAsia" w:cstheme="minorEastAsia"/>
          <w:bCs/>
          <w:szCs w:val="21"/>
        </w:rPr>
        <w:t>携手阳光公司</w:t>
      </w:r>
      <w:r>
        <w:rPr>
          <w:rFonts w:hint="eastAsia" w:asciiTheme="minorEastAsia" w:hAnsiTheme="minorEastAsia" w:eastAsiaTheme="minorEastAsia" w:cstheme="minorEastAsia"/>
          <w:szCs w:val="21"/>
        </w:rPr>
        <w:t>联系。</w:t>
      </w:r>
    </w:p>
    <w:p>
      <w:pPr>
        <w:tabs>
          <w:tab w:val="left" w:pos="0"/>
        </w:tabs>
        <w:spacing w:line="262"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1.2如本采购文件的前后内容不一致，以最后描述为准。</w:t>
      </w:r>
    </w:p>
    <w:p>
      <w:pPr>
        <w:tabs>
          <w:tab w:val="left" w:pos="0"/>
        </w:tabs>
        <w:spacing w:line="262"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1.3供应商应认真阅读采购文件所有的事项、格式、条款和技术规范等。如供应商没有按照采购文件要求提交全部资料，或者响应文件没有对采购文件在各方面都做出实质性响应，可能导致其投标（响应）将被认定为</w:t>
      </w:r>
      <w:r>
        <w:rPr>
          <w:rFonts w:hint="eastAsia" w:asciiTheme="minorEastAsia" w:hAnsiTheme="minorEastAsia" w:eastAsiaTheme="minorEastAsia" w:cstheme="minorEastAsia"/>
          <w:b/>
          <w:bCs/>
          <w:szCs w:val="21"/>
        </w:rPr>
        <w:t>投标无效</w:t>
      </w:r>
      <w:r>
        <w:rPr>
          <w:rFonts w:hint="eastAsia" w:asciiTheme="minorEastAsia" w:hAnsiTheme="minorEastAsia" w:eastAsiaTheme="minorEastAsia" w:cstheme="minorEastAsia"/>
          <w:szCs w:val="21"/>
        </w:rPr>
        <w:t>。</w:t>
      </w:r>
      <w:bookmarkStart w:id="77" w:name="_Toc515904805"/>
      <w:bookmarkStart w:id="78" w:name="_Toc26044"/>
      <w:bookmarkStart w:id="79" w:name="_Toc9232"/>
      <w:bookmarkStart w:id="80" w:name="_Toc1922"/>
    </w:p>
    <w:p>
      <w:pPr>
        <w:tabs>
          <w:tab w:val="left" w:pos="0"/>
        </w:tabs>
        <w:spacing w:line="262" w:lineRule="auto"/>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2.</w:t>
      </w:r>
      <w:r>
        <w:rPr>
          <w:rFonts w:hint="eastAsia" w:asciiTheme="minorEastAsia" w:hAnsiTheme="minorEastAsia" w:eastAsiaTheme="minorEastAsia" w:cstheme="minorEastAsia"/>
          <w:b/>
          <w:szCs w:val="21"/>
        </w:rPr>
        <w:t>采购文件</w:t>
      </w:r>
      <w:r>
        <w:rPr>
          <w:rFonts w:hint="eastAsia" w:asciiTheme="minorEastAsia" w:hAnsiTheme="minorEastAsia" w:eastAsiaTheme="minorEastAsia" w:cstheme="minorEastAsia"/>
          <w:b/>
          <w:bCs/>
          <w:szCs w:val="21"/>
        </w:rPr>
        <w:t>的澄清</w:t>
      </w:r>
      <w:bookmarkEnd w:id="77"/>
      <w:r>
        <w:rPr>
          <w:rFonts w:hint="eastAsia" w:asciiTheme="minorEastAsia" w:hAnsiTheme="minorEastAsia" w:eastAsiaTheme="minorEastAsia" w:cstheme="minorEastAsia"/>
          <w:b/>
          <w:bCs/>
          <w:szCs w:val="21"/>
        </w:rPr>
        <w:t>与修改</w:t>
      </w:r>
      <w:bookmarkEnd w:id="78"/>
      <w:bookmarkEnd w:id="79"/>
      <w:bookmarkEnd w:id="80"/>
    </w:p>
    <w:p>
      <w:pPr>
        <w:spacing w:line="262" w:lineRule="auto"/>
        <w:ind w:firstLine="420" w:firstLineChars="200"/>
        <w:rPr>
          <w:rFonts w:asciiTheme="minorEastAsia" w:hAnsiTheme="minorEastAsia" w:eastAsiaTheme="minorEastAsia" w:cstheme="minorEastAsia"/>
          <w:szCs w:val="21"/>
        </w:rPr>
      </w:pPr>
      <w:bookmarkStart w:id="81" w:name="_Toc515904806"/>
      <w:r>
        <w:rPr>
          <w:rFonts w:hint="eastAsia" w:asciiTheme="minorEastAsia" w:hAnsiTheme="minorEastAsia" w:eastAsiaTheme="minorEastAsia" w:cstheme="minorEastAsia"/>
          <w:szCs w:val="21"/>
        </w:rPr>
        <w:t>2.1为了保证对采购文件的澄清和修改满足法律的时限要求，任何要求对采购文件进行澄清的供应商，均应在提交响应文件截止时间5日前按采购公告中的通讯地址，以书面形式通知采购代理机构（提出询问）。提交响应文件截止之日前，采购人、采购代理机构或者磋商小组可以对已发出的采购文件进行必要的澄清或者修改，澄清或者修改的内容作为采购文件的组成部分。</w:t>
      </w:r>
    </w:p>
    <w:p>
      <w:pPr>
        <w:spacing w:line="262"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2.2澄清或者修改的内容可能影响响应文件编制的，携手阳光公司将以书面形式通知所有购买采购文件的潜在供应商，并对其具有约束力。</w:t>
      </w:r>
      <w:r>
        <w:rPr>
          <w:rFonts w:hint="eastAsia" w:asciiTheme="minorEastAsia" w:hAnsiTheme="minorEastAsia" w:eastAsiaTheme="minorEastAsia" w:cstheme="minorEastAsia"/>
          <w:b/>
          <w:bCs/>
          <w:szCs w:val="21"/>
        </w:rPr>
        <w:t>供应商在收到上述通知后，应及时向采购代理机构回函确认，否视为该供应商已接受</w:t>
      </w:r>
      <w:r>
        <w:rPr>
          <w:rFonts w:hint="eastAsia" w:asciiTheme="minorEastAsia" w:hAnsiTheme="minorEastAsia" w:eastAsiaTheme="minorEastAsia" w:cstheme="minorEastAsia"/>
          <w:szCs w:val="21"/>
        </w:rPr>
        <w:t xml:space="preserve">。 </w:t>
      </w:r>
    </w:p>
    <w:p>
      <w:pPr>
        <w:spacing w:line="262"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2.3</w:t>
      </w:r>
      <w:bookmarkStart w:id="82" w:name="_Toc14569"/>
      <w:bookmarkStart w:id="83" w:name="_Toc25635"/>
      <w:bookmarkStart w:id="84" w:name="_Toc12448"/>
      <w:r>
        <w:rPr>
          <w:rFonts w:hint="eastAsia" w:asciiTheme="minorEastAsia" w:hAnsiTheme="minorEastAsia" w:eastAsiaTheme="minorEastAsia" w:cstheme="minorEastAsia"/>
          <w:szCs w:val="21"/>
        </w:rPr>
        <w:t>对没有加盖公章或非实名方式的询问、要求澄清等任何非实名的来函（信息），采购人、携手 阳光公司均有权</w:t>
      </w:r>
      <w:r>
        <w:rPr>
          <w:rFonts w:hint="eastAsia" w:asciiTheme="minorEastAsia" w:hAnsiTheme="minorEastAsia" w:eastAsiaTheme="minorEastAsia" w:cstheme="minorEastAsia"/>
          <w:b/>
          <w:szCs w:val="21"/>
        </w:rPr>
        <w:t>视为与本次采购活动无关而不予接收或受理</w:t>
      </w:r>
      <w:r>
        <w:rPr>
          <w:rFonts w:hint="eastAsia" w:asciiTheme="minorEastAsia" w:hAnsiTheme="minorEastAsia" w:eastAsiaTheme="minorEastAsia" w:cstheme="minorEastAsia"/>
          <w:szCs w:val="21"/>
        </w:rPr>
        <w:t>。采购人、携手阳光公司</w:t>
      </w:r>
      <w:r>
        <w:rPr>
          <w:rFonts w:hint="eastAsia" w:asciiTheme="minorEastAsia" w:hAnsiTheme="minorEastAsia" w:eastAsiaTheme="minorEastAsia" w:cstheme="minorEastAsia"/>
          <w:b/>
          <w:szCs w:val="21"/>
        </w:rPr>
        <w:t>仅对加盖公章的书面形式回复负责</w:t>
      </w:r>
      <w:r>
        <w:rPr>
          <w:rFonts w:hint="eastAsia" w:asciiTheme="minorEastAsia" w:hAnsiTheme="minorEastAsia" w:eastAsiaTheme="minorEastAsia" w:cstheme="minorEastAsia"/>
          <w:szCs w:val="21"/>
        </w:rPr>
        <w:t>，采购人或携手阳光公司不承担电话问答、口头问答等非书面形式回复的有效性。</w:t>
      </w:r>
    </w:p>
    <w:bookmarkEnd w:id="81"/>
    <w:p>
      <w:pPr>
        <w:spacing w:line="262" w:lineRule="auto"/>
        <w:rPr>
          <w:rFonts w:asciiTheme="minorEastAsia" w:hAnsiTheme="minorEastAsia" w:eastAsiaTheme="minorEastAsia" w:cstheme="minorEastAsia"/>
          <w:b/>
          <w:szCs w:val="21"/>
        </w:rPr>
      </w:pPr>
      <w:r>
        <w:rPr>
          <w:rFonts w:hint="eastAsia" w:asciiTheme="minorEastAsia" w:hAnsiTheme="minorEastAsia" w:eastAsiaTheme="minorEastAsia" w:cstheme="minorEastAsia"/>
          <w:b/>
          <w:bCs/>
          <w:szCs w:val="21"/>
        </w:rPr>
        <w:t>3.</w:t>
      </w:r>
      <w:r>
        <w:rPr>
          <w:rFonts w:hint="eastAsia" w:asciiTheme="minorEastAsia" w:hAnsiTheme="minorEastAsia" w:eastAsiaTheme="minorEastAsia" w:cstheme="minorEastAsia"/>
          <w:b/>
          <w:szCs w:val="21"/>
        </w:rPr>
        <w:t xml:space="preserve"> 提交响应文件截止时间</w:t>
      </w:r>
      <w:r>
        <w:rPr>
          <w:rFonts w:hint="eastAsia" w:asciiTheme="minorEastAsia" w:hAnsiTheme="minorEastAsia" w:eastAsiaTheme="minorEastAsia" w:cstheme="minorEastAsia"/>
          <w:b/>
          <w:bCs/>
          <w:szCs w:val="21"/>
        </w:rPr>
        <w:t>的顺延</w:t>
      </w:r>
      <w:bookmarkEnd w:id="82"/>
      <w:bookmarkEnd w:id="83"/>
      <w:bookmarkEnd w:id="84"/>
    </w:p>
    <w:p>
      <w:pPr>
        <w:spacing w:line="262"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为使供应商准备投标时有足够的时间对采购文件的澄清或者修改部分进行研究，采购人将依法决定是否顺延提交响应文件截止时间。</w:t>
      </w:r>
    </w:p>
    <w:p>
      <w:pPr>
        <w:pStyle w:val="2"/>
        <w:spacing w:line="240" w:lineRule="exact"/>
        <w:rPr>
          <w:rFonts w:asciiTheme="minorEastAsia" w:hAnsiTheme="minorEastAsia" w:eastAsiaTheme="minorEastAsia" w:cstheme="minorEastAsia"/>
          <w:sz w:val="21"/>
          <w:szCs w:val="21"/>
        </w:rPr>
      </w:pPr>
    </w:p>
    <w:p>
      <w:pPr>
        <w:spacing w:line="262" w:lineRule="auto"/>
        <w:jc w:val="center"/>
        <w:outlineLvl w:val="1"/>
        <w:rPr>
          <w:rFonts w:asciiTheme="minorEastAsia" w:hAnsiTheme="minorEastAsia" w:eastAsiaTheme="minorEastAsia" w:cstheme="minorEastAsia"/>
          <w:b/>
          <w:szCs w:val="21"/>
        </w:rPr>
      </w:pPr>
      <w:bookmarkStart w:id="85" w:name="_Toc118275636"/>
      <w:bookmarkStart w:id="86" w:name="_Toc118275556"/>
      <w:bookmarkStart w:id="87" w:name="_Toc118275516"/>
      <w:bookmarkStart w:id="88" w:name="_Toc118235411"/>
      <w:bookmarkStart w:id="89" w:name="_Toc107916290"/>
      <w:r>
        <w:rPr>
          <w:rFonts w:hint="eastAsia" w:asciiTheme="minorEastAsia" w:hAnsiTheme="minorEastAsia" w:eastAsiaTheme="minorEastAsia" w:cstheme="minorEastAsia"/>
          <w:b/>
          <w:szCs w:val="21"/>
        </w:rPr>
        <w:t>三、</w:t>
      </w:r>
      <w:bookmarkEnd w:id="68"/>
      <w:bookmarkEnd w:id="69"/>
      <w:bookmarkEnd w:id="70"/>
      <w:bookmarkEnd w:id="71"/>
      <w:r>
        <w:rPr>
          <w:rFonts w:hint="eastAsia" w:asciiTheme="minorEastAsia" w:hAnsiTheme="minorEastAsia" w:eastAsiaTheme="minorEastAsia" w:cstheme="minorEastAsia"/>
          <w:b/>
          <w:szCs w:val="21"/>
        </w:rPr>
        <w:t>响应文件编制要求及保证金</w:t>
      </w:r>
      <w:bookmarkEnd w:id="85"/>
      <w:bookmarkEnd w:id="86"/>
      <w:bookmarkEnd w:id="87"/>
      <w:bookmarkEnd w:id="88"/>
      <w:bookmarkEnd w:id="89"/>
    </w:p>
    <w:p>
      <w:pPr>
        <w:pStyle w:val="2"/>
        <w:spacing w:line="240" w:lineRule="exact"/>
        <w:rPr>
          <w:rFonts w:asciiTheme="minorEastAsia" w:hAnsiTheme="minorEastAsia" w:eastAsiaTheme="minorEastAsia" w:cstheme="minorEastAsia"/>
          <w:sz w:val="21"/>
          <w:szCs w:val="21"/>
        </w:rPr>
      </w:pPr>
    </w:p>
    <w:p>
      <w:pPr>
        <w:spacing w:line="262" w:lineRule="auto"/>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1.投标范围及响应文件中标准和计量单位的使用</w:t>
      </w:r>
    </w:p>
    <w:p>
      <w:pPr>
        <w:spacing w:line="262" w:lineRule="auto"/>
        <w:ind w:firstLine="420"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szCs w:val="21"/>
        </w:rPr>
        <w:t>1.1如“采购需求”中没有限定，供应商可对采购文件其中某一个或几个采购包进行投标。</w:t>
      </w:r>
    </w:p>
    <w:p>
      <w:pPr>
        <w:spacing w:line="262"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1.2本项目按采购包确定成交供应商。供应商应当对所投采购包中“采购需求”所列的所有内容进行投标，如仅响应某一包中的部分内容，其该包投标将被认定为</w:t>
      </w:r>
      <w:r>
        <w:rPr>
          <w:rFonts w:hint="eastAsia" w:asciiTheme="minorEastAsia" w:hAnsiTheme="minorEastAsia" w:eastAsiaTheme="minorEastAsia" w:cstheme="minorEastAsia"/>
          <w:b/>
          <w:bCs/>
          <w:szCs w:val="21"/>
        </w:rPr>
        <w:t>投标无效</w:t>
      </w:r>
      <w:r>
        <w:rPr>
          <w:rFonts w:hint="eastAsia" w:asciiTheme="minorEastAsia" w:hAnsiTheme="minorEastAsia" w:eastAsiaTheme="minorEastAsia" w:cstheme="minorEastAsia"/>
          <w:szCs w:val="21"/>
        </w:rPr>
        <w:t>。</w:t>
      </w:r>
    </w:p>
    <w:p>
      <w:pPr>
        <w:spacing w:line="262" w:lineRule="auto"/>
        <w:ind w:firstLine="420"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szCs w:val="21"/>
        </w:rPr>
        <w:t>1.3无论采购文件是否要求，供应商所投产品均应符合国家强制性标准。除采购文件中有特殊要求外，响应文件中所使用的计量单位，应采用中华人民共和国法定计量单位。</w:t>
      </w:r>
      <w:bookmarkStart w:id="90" w:name="_Ref467306676"/>
      <w:bookmarkStart w:id="91" w:name="_Toc516367022"/>
      <w:bookmarkStart w:id="92" w:name="_Ref467306195"/>
      <w:bookmarkStart w:id="93" w:name="_Toc515647768"/>
      <w:bookmarkStart w:id="94" w:name="_Toc10364"/>
      <w:bookmarkStart w:id="95" w:name="_Toc18692"/>
      <w:bookmarkStart w:id="96" w:name="_Toc520356152"/>
      <w:bookmarkStart w:id="97" w:name="_Toc28307"/>
    </w:p>
    <w:p>
      <w:pPr>
        <w:spacing w:line="262"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2.投标</w:t>
      </w:r>
      <w:bookmarkEnd w:id="90"/>
      <w:bookmarkEnd w:id="91"/>
      <w:bookmarkEnd w:id="92"/>
      <w:r>
        <w:rPr>
          <w:rFonts w:hint="eastAsia" w:asciiTheme="minorEastAsia" w:hAnsiTheme="minorEastAsia" w:eastAsiaTheme="minorEastAsia" w:cstheme="minorEastAsia"/>
          <w:b/>
          <w:szCs w:val="21"/>
        </w:rPr>
        <w:t>（响应）文件构成</w:t>
      </w:r>
      <w:bookmarkEnd w:id="93"/>
      <w:bookmarkEnd w:id="94"/>
      <w:bookmarkEnd w:id="95"/>
      <w:bookmarkEnd w:id="96"/>
      <w:bookmarkEnd w:id="97"/>
    </w:p>
    <w:p>
      <w:pPr>
        <w:spacing w:line="262" w:lineRule="auto"/>
        <w:ind w:firstLine="420"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szCs w:val="21"/>
        </w:rPr>
        <w:t>2.1供应商应完整地按采购文件提供的响应文件格式及要求编写响应文件，响应文件应装订成册，分别密封递交。供应商应承担封装失误产生的任何后果。</w:t>
      </w:r>
    </w:p>
    <w:p>
      <w:pPr>
        <w:spacing w:line="262"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2.2上述文件应按照采购文件规定的格式填写、签署和盖章</w:t>
      </w:r>
      <w:bookmarkStart w:id="98" w:name="_Toc4601"/>
      <w:bookmarkStart w:id="99" w:name="_Toc516367023"/>
      <w:bookmarkStart w:id="100" w:name="_Toc520356153"/>
      <w:bookmarkStart w:id="101" w:name="_Toc13143"/>
      <w:bookmarkStart w:id="102" w:name="_Toc515647769"/>
      <w:bookmarkStart w:id="103" w:name="_Toc10379"/>
      <w:r>
        <w:rPr>
          <w:rFonts w:hint="eastAsia" w:asciiTheme="minorEastAsia" w:hAnsiTheme="minorEastAsia" w:eastAsiaTheme="minorEastAsia" w:cstheme="minorEastAsia"/>
          <w:szCs w:val="21"/>
        </w:rPr>
        <w:t>（法定印章。不包括发票等业务专用章）。</w:t>
      </w:r>
    </w:p>
    <w:p>
      <w:pPr>
        <w:spacing w:line="262" w:lineRule="auto"/>
        <w:ind w:firstLine="422"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2.3供应商应当遵循格式规范、便于查找的原则编辑响应文件目录（如：《评分索引表》等）。如响应文件出现目录（含页码）编辑错误、漏页或缺页等情况，后果由供应商承担（含承担</w:t>
      </w:r>
      <w:r>
        <w:rPr>
          <w:rFonts w:hint="eastAsia" w:asciiTheme="minorEastAsia" w:hAnsiTheme="minorEastAsia" w:eastAsiaTheme="minorEastAsia" w:cstheme="minorEastAsia"/>
          <w:b/>
          <w:szCs w:val="21"/>
          <w:shd w:val="clear" w:color="auto" w:fill="FFFFFF"/>
        </w:rPr>
        <w:t>过错赔偿等）</w:t>
      </w:r>
      <w:r>
        <w:rPr>
          <w:rFonts w:hint="eastAsia" w:asciiTheme="minorEastAsia" w:hAnsiTheme="minorEastAsia" w:eastAsiaTheme="minorEastAsia" w:cstheme="minorEastAsia"/>
          <w:b/>
          <w:szCs w:val="21"/>
        </w:rPr>
        <w:t>。</w:t>
      </w:r>
    </w:p>
    <w:p>
      <w:pPr>
        <w:spacing w:line="262" w:lineRule="auto"/>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3.证明投标标的的合格性和符合采购文件规定的技术文件（响应文件）</w:t>
      </w:r>
    </w:p>
    <w:p>
      <w:pPr>
        <w:spacing w:line="262"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3.1供应商应提交证明文件，证明其投标内容（产品）符合采购文件规定。该证明文件是投标（响应）文件的一部分。</w:t>
      </w:r>
    </w:p>
    <w:p>
      <w:pPr>
        <w:spacing w:line="262"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3.2上款所述的证明文件，可以是文字资料、图纸和数据，它包括：</w:t>
      </w:r>
    </w:p>
    <w:p>
      <w:pPr>
        <w:spacing w:line="262"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3.2.1产品主要技术指标和性能的详细说明；</w:t>
      </w:r>
    </w:p>
    <w:p>
      <w:pPr>
        <w:spacing w:line="262"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3.2.2产品从买方开始使用至采购文件规定的保质期内正常、连续地使用所必须的各项费用价格。</w:t>
      </w:r>
    </w:p>
    <w:p>
      <w:pPr>
        <w:spacing w:line="262"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3.2.3对照采购文件技术规格，逐条说明所提供产品[含其相关伴随产品（货物、服务、工程）等]已对采购文件的技术规格做出了实质性的响应，或申明与技术规格条文的偏差和例外。</w:t>
      </w:r>
    </w:p>
    <w:p>
      <w:pPr>
        <w:spacing w:line="262" w:lineRule="auto"/>
        <w:ind w:firstLine="422"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供应商证明材料非简体中文的，供应商须同时提供简体中文翻译说明并加盖公章，否评审人员有权仅按简体中文部分评审。</w:t>
      </w:r>
    </w:p>
    <w:p>
      <w:pPr>
        <w:spacing w:line="262" w:lineRule="auto"/>
        <w:ind w:firstLine="420"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szCs w:val="21"/>
        </w:rPr>
        <w:t>3.3</w:t>
      </w:r>
      <w:r>
        <w:rPr>
          <w:rFonts w:hint="eastAsia" w:asciiTheme="minorEastAsia" w:hAnsiTheme="minorEastAsia" w:eastAsiaTheme="minorEastAsia" w:cstheme="minorEastAsia"/>
          <w:b/>
          <w:szCs w:val="21"/>
        </w:rPr>
        <w:t>供应商提交的证明应当证明提供的产品质量和服务均能满足采购文件规定的实质性要求。供应商应当以详细具体的内容证明响应文件响应采购文件。供应商以“完全响应”等简单文字、过度复制采购文件内容等方式（无具体或无实质性内容）进行响应的，其内容按无效处理（不予认可）。</w:t>
      </w:r>
    </w:p>
    <w:p>
      <w:pP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4.价格构成（报价要求）</w:t>
      </w:r>
    </w:p>
    <w:p>
      <w:pPr>
        <w:spacing w:line="262" w:lineRule="auto"/>
        <w:ind w:firstLine="422"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4.1所有投标（报价）均以人民币报价。</w:t>
      </w:r>
    </w:p>
    <w:p>
      <w:pPr>
        <w:spacing w:line="262" w:lineRule="auto"/>
        <w:ind w:firstLine="420"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szCs w:val="21"/>
        </w:rPr>
        <w:t>供应商的报价应遵守《中华人民共和国价格法》。同时，根据《中华人民共和国政府采购法》第二条的规定，为保证公平竞争，如有主体投标标的的赠与行为，其投标将被认定为</w:t>
      </w:r>
      <w:r>
        <w:rPr>
          <w:rFonts w:hint="eastAsia" w:asciiTheme="minorEastAsia" w:hAnsiTheme="minorEastAsia" w:eastAsiaTheme="minorEastAsia" w:cstheme="minorEastAsia"/>
          <w:b/>
          <w:bCs/>
          <w:szCs w:val="21"/>
        </w:rPr>
        <w:t>投标无效</w:t>
      </w:r>
      <w:r>
        <w:rPr>
          <w:rFonts w:hint="eastAsia" w:asciiTheme="minorEastAsia" w:hAnsiTheme="minorEastAsia" w:eastAsiaTheme="minorEastAsia" w:cstheme="minorEastAsia"/>
          <w:szCs w:val="21"/>
        </w:rPr>
        <w:t>。</w:t>
      </w:r>
    </w:p>
    <w:p>
      <w:pPr>
        <w:spacing w:line="262" w:lineRule="auto"/>
        <w:ind w:firstLine="422"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采购人也不接受明显不合理或者低于成本的报价（有可能影响商品质量和不能诚信履约的报价。例：主体投标标的低于进价或工资标准低于国家标准等），其投标将被认定为投标无效（视为明显不合理或者低于成本的报价）。</w:t>
      </w:r>
    </w:p>
    <w:p>
      <w:pPr>
        <w:spacing w:line="262"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4.2供应商应按照采购文件规定格式填写报价一览表(报价表)、分项报价表以及相关内容。</w:t>
      </w:r>
    </w:p>
    <w:p>
      <w:pPr>
        <w:spacing w:line="262"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如果报价一览表（报价表）内容与分项报价表内容不一致的，以报价一览表（报价表）内容为准。供应商报价大写金额和小写金额不一致的，以大写金额为准。</w:t>
      </w:r>
    </w:p>
    <w:p>
      <w:pPr>
        <w:spacing w:line="262"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供应商应在分项报价表上标明投标产品及相关伴随产品（货物、服务、工程）的单价（如适用）和总价。供应商所报的各分项投标单价在合同履行过程中是固定不变的，不得以任何理由予以变更。任何包含价格调整要求的投标，其投标将被认定为</w:t>
      </w:r>
      <w:r>
        <w:rPr>
          <w:rFonts w:hint="eastAsia" w:asciiTheme="minorEastAsia" w:hAnsiTheme="minorEastAsia" w:eastAsiaTheme="minorEastAsia" w:cstheme="minorEastAsia"/>
          <w:b/>
          <w:bCs/>
          <w:szCs w:val="21"/>
        </w:rPr>
        <w:t>投标无效</w:t>
      </w:r>
      <w:r>
        <w:rPr>
          <w:rFonts w:hint="eastAsia" w:asciiTheme="minorEastAsia" w:hAnsiTheme="minorEastAsia" w:eastAsiaTheme="minorEastAsia" w:cstheme="minorEastAsia"/>
          <w:szCs w:val="21"/>
        </w:rPr>
        <w:t>。</w:t>
      </w:r>
    </w:p>
    <w:p>
      <w:pPr>
        <w:spacing w:line="262"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每种产品只能有一个投标报价，任何有选择的报价将不予接受 (如有备选配件，备选配件的报价不属于有选择的报价)。采购人不接受具有附加条件的报价。</w:t>
      </w:r>
    </w:p>
    <w:p>
      <w:pPr>
        <w:spacing w:line="262" w:lineRule="auto"/>
        <w:ind w:firstLine="422"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供应商分项报价表内容应当全面完整，充分体现其报价的组成。</w:t>
      </w:r>
    </w:p>
    <w:p>
      <w:pPr>
        <w:spacing w:line="262"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货物的，应当考虑：投标货物（包括备品备件、专用工具等）的出厂价（包括已在中国国内的进口货物完税后的仓库交货价、展室交货价或货架交货价），投标货物安装、调试、检验、技术服务和培训费用、货物运至最终目的地的运输费和保险费用以及相关税费等。服务的，应当考虑：知识产权（如有）、人员工资、加班费、设备使用或损耗、技术服务和培训费用、以及相关税费等。工程的，应当按照采购人提供的工程量清单、图纸（如有）等相关资料，并结合勘察情况、国家及地方标准（如：《建设工程工程量清单计价规范》、以及地方住建部门相关规定等）以及相关税费等。</w:t>
      </w:r>
    </w:p>
    <w:p>
      <w:pPr>
        <w:spacing w:line="262"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本次采购采用总承包方式，因此供应商的报价应包括全部产品（含其相关伴随产品等）的价格、相关税费以及履行合同产生的所有费用等。采购文件未列明，而供应商认为必需的费用也需列入报价（在合同履行过程中，采购人不再增加任何费用）。</w:t>
      </w:r>
    </w:p>
    <w:p>
      <w:pPr>
        <w:spacing w:line="262" w:lineRule="auto"/>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5.保证金（磋商保证金）及供应商过错赔偿（不予退还保证金的情形）</w:t>
      </w:r>
    </w:p>
    <w:p>
      <w:pPr>
        <w:spacing w:line="262" w:lineRule="auto"/>
        <w:ind w:firstLine="422"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5.1保证金交纳数额和形式</w:t>
      </w:r>
    </w:p>
    <w:p>
      <w:pPr>
        <w:spacing w:line="262" w:lineRule="auto"/>
        <w:ind w:firstLine="422"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保证金交纳数额和形式见</w:t>
      </w:r>
      <w:r>
        <w:rPr>
          <w:rFonts w:hint="eastAsia" w:asciiTheme="minorEastAsia" w:hAnsiTheme="minorEastAsia" w:eastAsiaTheme="minorEastAsia" w:cstheme="minorEastAsia"/>
          <w:b/>
          <w:szCs w:val="21"/>
          <w:u w:val="single"/>
        </w:rPr>
        <w:t>采购公告</w:t>
      </w:r>
      <w:r>
        <w:rPr>
          <w:rFonts w:hint="eastAsia" w:asciiTheme="minorEastAsia" w:hAnsiTheme="minorEastAsia" w:eastAsiaTheme="minorEastAsia" w:cstheme="minorEastAsia"/>
          <w:b/>
          <w:szCs w:val="21"/>
        </w:rPr>
        <w:t>。供应商应当按照采购公告的要求提交（交纳。下同）保证金。供应商未按照采购公告要求提交保证金的，投标（响应）无效。</w:t>
      </w:r>
    </w:p>
    <w:p>
      <w:pPr>
        <w:spacing w:line="262"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5.2成交公告发布后，供应商应及时到携手阳光公司办理退还手续（如：提供账户信息、收据等），否视为因供应商自身原因导致无法及时退还。 </w:t>
      </w:r>
    </w:p>
    <w:p>
      <w:pPr>
        <w:spacing w:line="262" w:lineRule="auto"/>
        <w:ind w:firstLine="422"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5.3供应商有下列情形之一的，视为</w:t>
      </w:r>
      <w:r>
        <w:rPr>
          <w:rFonts w:hint="eastAsia" w:asciiTheme="minorEastAsia" w:hAnsiTheme="minorEastAsia" w:eastAsiaTheme="minorEastAsia" w:cstheme="minorEastAsia"/>
          <w:b/>
          <w:szCs w:val="21"/>
          <w:shd w:val="clear" w:color="auto" w:fill="FFFFFF"/>
        </w:rPr>
        <w:t>因</w:t>
      </w:r>
      <w:r>
        <w:rPr>
          <w:rFonts w:hint="eastAsia" w:asciiTheme="minorEastAsia" w:hAnsiTheme="minorEastAsia" w:eastAsiaTheme="minorEastAsia" w:cstheme="minorEastAsia"/>
          <w:b/>
          <w:szCs w:val="21"/>
        </w:rPr>
        <w:t>供应商</w:t>
      </w:r>
      <w:r>
        <w:rPr>
          <w:rFonts w:hint="eastAsia" w:asciiTheme="minorEastAsia" w:hAnsiTheme="minorEastAsia" w:eastAsiaTheme="minorEastAsia" w:cstheme="minorEastAsia"/>
          <w:b/>
          <w:szCs w:val="21"/>
          <w:shd w:val="clear" w:color="auto" w:fill="FFFFFF"/>
        </w:rPr>
        <w:t>过错且造成</w:t>
      </w:r>
      <w:r>
        <w:rPr>
          <w:rFonts w:hint="eastAsia" w:asciiTheme="minorEastAsia" w:hAnsiTheme="minorEastAsia" w:eastAsiaTheme="minorEastAsia" w:cstheme="minorEastAsia"/>
          <w:b/>
          <w:szCs w:val="21"/>
        </w:rPr>
        <w:t>携手阳光公司</w:t>
      </w:r>
      <w:r>
        <w:rPr>
          <w:rFonts w:hint="eastAsia" w:asciiTheme="minorEastAsia" w:hAnsiTheme="minorEastAsia" w:eastAsiaTheme="minorEastAsia" w:cstheme="minorEastAsia"/>
          <w:b/>
          <w:szCs w:val="21"/>
          <w:shd w:val="clear" w:color="auto" w:fill="FFFFFF"/>
        </w:rPr>
        <w:t>相关权益的损害，</w:t>
      </w:r>
      <w:r>
        <w:rPr>
          <w:rFonts w:hint="eastAsia" w:asciiTheme="minorEastAsia" w:hAnsiTheme="minorEastAsia" w:eastAsiaTheme="minorEastAsia" w:cstheme="minorEastAsia"/>
          <w:b/>
          <w:szCs w:val="21"/>
        </w:rPr>
        <w:t>供应商</w:t>
      </w:r>
      <w:r>
        <w:rPr>
          <w:rFonts w:hint="eastAsia" w:asciiTheme="minorEastAsia" w:hAnsiTheme="minorEastAsia" w:eastAsiaTheme="minorEastAsia" w:cstheme="minorEastAsia"/>
          <w:b/>
          <w:szCs w:val="21"/>
          <w:shd w:val="clear" w:color="auto" w:fill="FFFFFF"/>
        </w:rPr>
        <w:t>应当承担侵权责任，</w:t>
      </w:r>
      <w:r>
        <w:rPr>
          <w:rFonts w:hint="eastAsia" w:asciiTheme="minorEastAsia" w:hAnsiTheme="minorEastAsia" w:eastAsiaTheme="minorEastAsia" w:cstheme="minorEastAsia"/>
          <w:b/>
          <w:szCs w:val="21"/>
        </w:rPr>
        <w:t>携手阳光公司有权要求供应商进行损害赔偿（赔偿给携手阳光公司。赔偿标准：预算金额的2%）或保证金不予退还（全额）。</w:t>
      </w:r>
    </w:p>
    <w:p>
      <w:pPr>
        <w:spacing w:line="262" w:lineRule="auto"/>
        <w:ind w:firstLine="420"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szCs w:val="21"/>
        </w:rPr>
        <w:t>（1）供应商报名后未参加投标（响应）（提前告知的除外）或在在投标有效期内，撤销投标的；</w:t>
      </w:r>
    </w:p>
    <w:p>
      <w:pPr>
        <w:spacing w:line="262" w:lineRule="auto"/>
        <w:ind w:firstLine="420"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szCs w:val="21"/>
        </w:rPr>
        <w:t>（2）因供应商原因（如响应文件目录编写错误等）导致本项目重新评审或重新采购的；</w:t>
      </w:r>
      <w:r>
        <w:rPr>
          <w:rFonts w:hint="eastAsia" w:asciiTheme="minorEastAsia" w:hAnsiTheme="minorEastAsia" w:eastAsiaTheme="minorEastAsia" w:cstheme="minorEastAsia"/>
          <w:b/>
          <w:szCs w:val="21"/>
        </w:rPr>
        <w:t xml:space="preserve"> </w:t>
      </w:r>
    </w:p>
    <w:p>
      <w:pPr>
        <w:spacing w:line="262"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（3）供应商所提供的有关资料（含质疑材料）不真实或</w:t>
      </w:r>
      <w:r>
        <w:rPr>
          <w:rFonts w:hint="eastAsia" w:asciiTheme="minorEastAsia" w:hAnsiTheme="minorEastAsia" w:eastAsiaTheme="minorEastAsia" w:cstheme="minorEastAsia"/>
          <w:kern w:val="0"/>
          <w:szCs w:val="21"/>
        </w:rPr>
        <w:t>以非法手段取得的；</w:t>
      </w:r>
    </w:p>
    <w:p>
      <w:pPr>
        <w:spacing w:line="262"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（4）除因不可抗力或采购文件认可的情形以外，成交供应商不与采购人签订合同的；</w:t>
      </w:r>
    </w:p>
    <w:p>
      <w:pPr>
        <w:spacing w:line="262" w:lineRule="auto"/>
        <w:ind w:firstLine="420"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szCs w:val="21"/>
        </w:rPr>
        <w:t>（5）不按本须知的规定缴纳代理服务费的；</w:t>
      </w:r>
    </w:p>
    <w:p>
      <w:pPr>
        <w:spacing w:line="262"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（6）法律、法规及本采购文件规定的其他情况。</w:t>
      </w:r>
    </w:p>
    <w:p>
      <w:pPr>
        <w:spacing w:line="262" w:lineRule="auto"/>
        <w:rPr>
          <w:rFonts w:asciiTheme="minorEastAsia" w:hAnsiTheme="minorEastAsia" w:eastAsiaTheme="minorEastAsia" w:cstheme="minorEastAsia"/>
          <w:b/>
          <w:szCs w:val="21"/>
        </w:rPr>
      </w:pPr>
      <w:bookmarkStart w:id="104" w:name="_Toc23590"/>
      <w:bookmarkStart w:id="105" w:name="_Toc515647772"/>
      <w:bookmarkStart w:id="106" w:name="_Toc32569"/>
      <w:bookmarkStart w:id="107" w:name="_Toc520356157"/>
      <w:bookmarkStart w:id="108" w:name="_Toc22901"/>
      <w:r>
        <w:rPr>
          <w:rFonts w:hint="eastAsia" w:asciiTheme="minorEastAsia" w:hAnsiTheme="minorEastAsia" w:eastAsiaTheme="minorEastAsia" w:cstheme="minorEastAsia"/>
          <w:b/>
          <w:szCs w:val="21"/>
        </w:rPr>
        <w:t>6.投标有效期</w:t>
      </w:r>
      <w:bookmarkEnd w:id="104"/>
      <w:bookmarkEnd w:id="105"/>
      <w:bookmarkEnd w:id="106"/>
      <w:bookmarkEnd w:id="107"/>
      <w:bookmarkEnd w:id="108"/>
    </w:p>
    <w:p>
      <w:pPr>
        <w:spacing w:line="262" w:lineRule="auto"/>
        <w:ind w:firstLine="420"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szCs w:val="21"/>
        </w:rPr>
        <w:t>6.1投标应在</w:t>
      </w:r>
      <w:r>
        <w:rPr>
          <w:rFonts w:hint="eastAsia" w:asciiTheme="minorEastAsia" w:hAnsiTheme="minorEastAsia" w:eastAsiaTheme="minorEastAsia" w:cstheme="minorEastAsia"/>
          <w:szCs w:val="21"/>
          <w:u w:val="single"/>
        </w:rPr>
        <w:t>供应商须知资料表</w:t>
      </w:r>
      <w:r>
        <w:rPr>
          <w:rFonts w:hint="eastAsia" w:asciiTheme="minorEastAsia" w:hAnsiTheme="minorEastAsia" w:eastAsiaTheme="minorEastAsia" w:cstheme="minorEastAsia"/>
          <w:szCs w:val="21"/>
        </w:rPr>
        <w:t>中规定时间内保持有效。投标有效期不满足要求的投标，其投标将被认定为</w:t>
      </w:r>
      <w:r>
        <w:rPr>
          <w:rFonts w:hint="eastAsia" w:asciiTheme="minorEastAsia" w:hAnsiTheme="minorEastAsia" w:eastAsiaTheme="minorEastAsia" w:cstheme="minorEastAsia"/>
          <w:b/>
          <w:bCs/>
          <w:szCs w:val="21"/>
        </w:rPr>
        <w:t>投标无效</w:t>
      </w:r>
      <w:r>
        <w:rPr>
          <w:rFonts w:hint="eastAsia" w:asciiTheme="minorEastAsia" w:hAnsiTheme="minorEastAsia" w:eastAsiaTheme="minorEastAsia" w:cstheme="minorEastAsia"/>
          <w:szCs w:val="21"/>
        </w:rPr>
        <w:t>。</w:t>
      </w:r>
    </w:p>
    <w:p>
      <w:pPr>
        <w:spacing w:line="262"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6.2为保证有充分时间签订合同，采购人或采购代理机构可根据实际情况，在原投标有效期截止之前，要求供应商延长响应文件的有效期，接受该要求的供应商将不会被要求和允许修正其投标。</w:t>
      </w:r>
      <w:bookmarkStart w:id="109" w:name="_Toc520356158"/>
      <w:bookmarkStart w:id="110" w:name="_Toc515647773"/>
      <w:bookmarkStart w:id="111" w:name="_Toc17609"/>
      <w:bookmarkStart w:id="112" w:name="_Toc17074"/>
      <w:bookmarkStart w:id="113" w:name="_Toc493"/>
    </w:p>
    <w:bookmarkEnd w:id="109"/>
    <w:bookmarkEnd w:id="110"/>
    <w:bookmarkEnd w:id="111"/>
    <w:bookmarkEnd w:id="112"/>
    <w:bookmarkEnd w:id="113"/>
    <w:p>
      <w:pPr>
        <w:spacing w:line="262" w:lineRule="auto"/>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7.响应文件的签署及规定</w:t>
      </w:r>
    </w:p>
    <w:p>
      <w:pPr>
        <w:pStyle w:val="13"/>
        <w:spacing w:line="262" w:lineRule="auto"/>
        <w:ind w:firstLine="420"/>
        <w:jc w:val="left"/>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sz w:val="21"/>
          <w:szCs w:val="21"/>
        </w:rPr>
        <w:t>7.1供应商应按</w:t>
      </w:r>
      <w:r>
        <w:rPr>
          <w:rFonts w:hint="eastAsia" w:asciiTheme="minorEastAsia" w:hAnsiTheme="minorEastAsia" w:eastAsiaTheme="minorEastAsia" w:cstheme="minorEastAsia"/>
          <w:sz w:val="21"/>
          <w:szCs w:val="21"/>
          <w:u w:val="single"/>
        </w:rPr>
        <w:t>供应商须知资料表</w:t>
      </w:r>
      <w:r>
        <w:rPr>
          <w:rFonts w:hint="eastAsia" w:asciiTheme="minorEastAsia" w:hAnsiTheme="minorEastAsia" w:eastAsiaTheme="minorEastAsia" w:cstheme="minorEastAsia"/>
          <w:sz w:val="21"/>
          <w:szCs w:val="21"/>
        </w:rPr>
        <w:t>中的规定，准备和递交响应文件正本、副本和电子文档，每份响应文件封皮须清楚地标明“正本”或“副本”。若正本和副本不符，以正本为准。如响应文件未标明或未清楚标准明正本或副本的，所引起的后果由供应商负责（含承担</w:t>
      </w:r>
      <w:r>
        <w:rPr>
          <w:rFonts w:hint="eastAsia" w:asciiTheme="minorEastAsia" w:hAnsiTheme="minorEastAsia" w:eastAsiaTheme="minorEastAsia" w:cstheme="minorEastAsia"/>
          <w:sz w:val="21"/>
          <w:szCs w:val="21"/>
          <w:shd w:val="clear" w:color="auto" w:fill="FFFFFF"/>
        </w:rPr>
        <w:t>过错赔偿）</w:t>
      </w:r>
      <w:r>
        <w:rPr>
          <w:rFonts w:hint="eastAsia" w:asciiTheme="minorEastAsia" w:hAnsiTheme="minorEastAsia" w:eastAsiaTheme="minorEastAsia" w:cstheme="minorEastAsia"/>
          <w:sz w:val="21"/>
          <w:szCs w:val="21"/>
        </w:rPr>
        <w:t>。</w:t>
      </w:r>
    </w:p>
    <w:p>
      <w:pPr>
        <w:spacing w:line="262" w:lineRule="auto"/>
        <w:ind w:firstLine="420"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szCs w:val="21"/>
        </w:rPr>
        <w:t>7.2响应文件的正本需打印或用不褪色墨水书写，并由供应商的法定代表人或经其正式委托代理人按采购文件规定在响应文件上签字并加盖单位印章。如对响应文件进行了修改，则应由供应商的法定代表人或其委托代理人在每一修改处签字。响应文件的副本可采用正本的复印件。</w:t>
      </w:r>
    </w:p>
    <w:p>
      <w:pPr>
        <w:spacing w:line="262"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7.3所有响应文件请采用不可拆装的胶订或订书机方式装订。响应文件因字迹潦草、表达不清或装订不当等原因所引起的后果由供应商负责。</w:t>
      </w:r>
    </w:p>
    <w:p>
      <w:pPr>
        <w:pStyle w:val="2"/>
        <w:spacing w:line="240" w:lineRule="exact"/>
        <w:rPr>
          <w:rFonts w:asciiTheme="minorEastAsia" w:hAnsiTheme="minorEastAsia" w:eastAsiaTheme="minorEastAsia" w:cstheme="minorEastAsia"/>
          <w:sz w:val="21"/>
          <w:szCs w:val="21"/>
        </w:rPr>
      </w:pPr>
    </w:p>
    <w:p>
      <w:pPr>
        <w:spacing w:line="262" w:lineRule="auto"/>
        <w:ind w:firstLine="422" w:firstLineChars="200"/>
        <w:jc w:val="center"/>
        <w:outlineLvl w:val="1"/>
        <w:rPr>
          <w:rFonts w:asciiTheme="minorEastAsia" w:hAnsiTheme="minorEastAsia" w:eastAsiaTheme="minorEastAsia" w:cstheme="minorEastAsia"/>
          <w:b/>
          <w:bCs/>
          <w:szCs w:val="21"/>
        </w:rPr>
      </w:pPr>
      <w:bookmarkStart w:id="114" w:name="_Toc118275517"/>
      <w:bookmarkStart w:id="115" w:name="_Toc118275557"/>
      <w:bookmarkStart w:id="116" w:name="_Toc107916291"/>
      <w:bookmarkStart w:id="117" w:name="_Toc118235412"/>
      <w:bookmarkStart w:id="118" w:name="_Toc118275637"/>
      <w:r>
        <w:rPr>
          <w:rFonts w:hint="eastAsia" w:asciiTheme="minorEastAsia" w:hAnsiTheme="minorEastAsia" w:eastAsiaTheme="minorEastAsia" w:cstheme="minorEastAsia"/>
          <w:b/>
          <w:bCs/>
          <w:szCs w:val="21"/>
        </w:rPr>
        <w:t>四、响应文件的递交</w:t>
      </w:r>
      <w:r>
        <w:rPr>
          <w:rFonts w:hint="eastAsia" w:asciiTheme="minorEastAsia" w:hAnsiTheme="minorEastAsia" w:eastAsiaTheme="minorEastAsia" w:cstheme="minorEastAsia"/>
          <w:b/>
          <w:szCs w:val="21"/>
        </w:rPr>
        <w:t>及</w:t>
      </w:r>
      <w:r>
        <w:rPr>
          <w:rFonts w:hint="eastAsia" w:asciiTheme="minorEastAsia" w:hAnsiTheme="minorEastAsia" w:eastAsiaTheme="minorEastAsia" w:cstheme="minorEastAsia"/>
          <w:b/>
          <w:bCs/>
          <w:szCs w:val="21"/>
        </w:rPr>
        <w:t>接收</w:t>
      </w:r>
      <w:bookmarkEnd w:id="114"/>
      <w:bookmarkEnd w:id="115"/>
      <w:bookmarkEnd w:id="116"/>
      <w:bookmarkEnd w:id="117"/>
      <w:bookmarkEnd w:id="118"/>
    </w:p>
    <w:p>
      <w:pPr>
        <w:pStyle w:val="2"/>
        <w:spacing w:line="240" w:lineRule="exact"/>
        <w:rPr>
          <w:rFonts w:asciiTheme="minorEastAsia" w:hAnsiTheme="minorEastAsia" w:eastAsiaTheme="minorEastAsia" w:cstheme="minorEastAsia"/>
          <w:sz w:val="21"/>
          <w:szCs w:val="21"/>
        </w:rPr>
      </w:pPr>
    </w:p>
    <w:p>
      <w:pPr>
        <w:spacing w:line="262" w:lineRule="auto"/>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1.响应文件的密封及递交（</w:t>
      </w:r>
      <w:r>
        <w:rPr>
          <w:rFonts w:hint="eastAsia" w:asciiTheme="minorEastAsia" w:hAnsiTheme="minorEastAsia" w:eastAsiaTheme="minorEastAsia" w:cstheme="minorEastAsia"/>
          <w:b/>
          <w:bCs/>
          <w:szCs w:val="21"/>
        </w:rPr>
        <w:t>接收</w:t>
      </w:r>
      <w:r>
        <w:rPr>
          <w:rFonts w:hint="eastAsia" w:asciiTheme="minorEastAsia" w:hAnsiTheme="minorEastAsia" w:eastAsiaTheme="minorEastAsia" w:cstheme="minorEastAsia"/>
          <w:b/>
          <w:szCs w:val="21"/>
        </w:rPr>
        <w:t>）</w:t>
      </w:r>
    </w:p>
    <w:p>
      <w:pPr>
        <w:spacing w:line="262" w:lineRule="auto"/>
        <w:ind w:firstLine="422"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1.1提交响应文件截止时间及地点：</w:t>
      </w:r>
      <w:r>
        <w:rPr>
          <w:rFonts w:hint="eastAsia" w:asciiTheme="minorEastAsia" w:hAnsiTheme="minorEastAsia" w:eastAsiaTheme="minorEastAsia" w:cstheme="minorEastAsia"/>
          <w:szCs w:val="21"/>
        </w:rPr>
        <w:t>提交响应文件截止时间及地点见</w:t>
      </w:r>
      <w:r>
        <w:rPr>
          <w:rFonts w:hint="eastAsia" w:asciiTheme="minorEastAsia" w:hAnsiTheme="minorEastAsia" w:eastAsiaTheme="minorEastAsia" w:cstheme="minorEastAsia"/>
          <w:szCs w:val="21"/>
          <w:u w:val="single"/>
        </w:rPr>
        <w:t>采购公告</w:t>
      </w:r>
      <w:r>
        <w:rPr>
          <w:rFonts w:hint="eastAsia" w:asciiTheme="minorEastAsia" w:hAnsiTheme="minorEastAsia" w:eastAsiaTheme="minorEastAsia" w:cstheme="minorEastAsia"/>
          <w:szCs w:val="21"/>
        </w:rPr>
        <w:t>。</w:t>
      </w:r>
    </w:p>
    <w:p>
      <w:pPr>
        <w:spacing w:line="262"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供应商应当在采购文件（</w:t>
      </w:r>
      <w:r>
        <w:rPr>
          <w:rFonts w:hint="eastAsia" w:asciiTheme="minorEastAsia" w:hAnsiTheme="minorEastAsia" w:eastAsiaTheme="minorEastAsia" w:cstheme="minorEastAsia"/>
          <w:szCs w:val="21"/>
          <w:u w:val="single"/>
        </w:rPr>
        <w:t>采购公告）</w:t>
      </w:r>
      <w:r>
        <w:rPr>
          <w:rFonts w:hint="eastAsia" w:asciiTheme="minorEastAsia" w:hAnsiTheme="minorEastAsia" w:eastAsiaTheme="minorEastAsia" w:cstheme="minorEastAsia"/>
          <w:szCs w:val="21"/>
        </w:rPr>
        <w:t>要求的截止时间前，将响应文件密封（</w:t>
      </w:r>
      <w:r>
        <w:rPr>
          <w:rFonts w:hint="eastAsia" w:asciiTheme="minorEastAsia" w:hAnsiTheme="minorEastAsia" w:eastAsiaTheme="minorEastAsia" w:cstheme="minorEastAsia"/>
          <w:b/>
          <w:szCs w:val="21"/>
        </w:rPr>
        <w:t>无法直接换取即可。但建议密封严实</w:t>
      </w:r>
      <w:r>
        <w:rPr>
          <w:rFonts w:hint="eastAsia" w:asciiTheme="minorEastAsia" w:hAnsiTheme="minorEastAsia" w:eastAsiaTheme="minorEastAsia" w:cstheme="minorEastAsia"/>
          <w:szCs w:val="21"/>
        </w:rPr>
        <w:t>）送达指定地点。在截止时间后送达的响应文件为无效文件，携手阳 光公司等予以拒收。请供应商在密封包装上注明供应商名称、项目名称（编号）等信息，以便携手阳光公司接受。</w:t>
      </w:r>
    </w:p>
    <w:p>
      <w:pPr>
        <w:pStyle w:val="13"/>
        <w:spacing w:line="262" w:lineRule="auto"/>
        <w:ind w:firstLine="420" w:firstLineChars="200"/>
        <w:jc w:val="left"/>
        <w:rPr>
          <w:rFonts w:asciiTheme="minorEastAsia" w:hAnsiTheme="minorEastAsia" w:eastAsiaTheme="minorEastAsia" w:cstheme="minorEastAsia"/>
          <w:sz w:val="21"/>
          <w:szCs w:val="21"/>
        </w:rPr>
      </w:pPr>
      <w:bookmarkStart w:id="119" w:name="_Toc2421"/>
      <w:bookmarkStart w:id="120" w:name="_Toc8324"/>
      <w:bookmarkStart w:id="121" w:name="_Toc518926877"/>
      <w:r>
        <w:rPr>
          <w:rFonts w:hint="eastAsia" w:asciiTheme="minorEastAsia" w:hAnsiTheme="minorEastAsia" w:eastAsiaTheme="minorEastAsia" w:cstheme="minorEastAsia"/>
          <w:sz w:val="21"/>
          <w:szCs w:val="21"/>
        </w:rPr>
        <w:t>1.2采购人和采购代理机构有权按本须知的规定，延迟投标截止时间。在此情况下，采购人、携手阳光公司和供应商受投标截止时间制约的所有权利和义务均应延长至新的截止时间。</w:t>
      </w:r>
    </w:p>
    <w:p>
      <w:pPr>
        <w:pStyle w:val="13"/>
        <w:spacing w:line="262" w:lineRule="auto"/>
        <w:ind w:firstLine="420" w:firstLineChars="200"/>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1.3采购方对供应商误投或过早启封概不负责。</w:t>
      </w:r>
      <w:r>
        <w:rPr>
          <w:rFonts w:hint="eastAsia" w:asciiTheme="minorEastAsia" w:hAnsiTheme="minorEastAsia" w:eastAsiaTheme="minorEastAsia" w:cstheme="minorEastAsia"/>
          <w:bCs/>
          <w:sz w:val="21"/>
          <w:szCs w:val="21"/>
        </w:rPr>
        <w:t>不论供应商是否成交，</w:t>
      </w:r>
      <w:r>
        <w:rPr>
          <w:rFonts w:hint="eastAsia" w:asciiTheme="minorEastAsia" w:hAnsiTheme="minorEastAsia" w:eastAsiaTheme="minorEastAsia" w:cstheme="minorEastAsia"/>
          <w:sz w:val="21"/>
          <w:szCs w:val="21"/>
        </w:rPr>
        <w:t>响应文件</w:t>
      </w:r>
      <w:r>
        <w:rPr>
          <w:rFonts w:hint="eastAsia" w:asciiTheme="minorEastAsia" w:hAnsiTheme="minorEastAsia" w:eastAsiaTheme="minorEastAsia" w:cstheme="minorEastAsia"/>
          <w:bCs/>
          <w:sz w:val="21"/>
          <w:szCs w:val="21"/>
        </w:rPr>
        <w:t>均不退回。</w:t>
      </w:r>
    </w:p>
    <w:p>
      <w:pPr>
        <w:pStyle w:val="13"/>
        <w:spacing w:line="262" w:lineRule="auto"/>
        <w:jc w:val="left"/>
        <w:rPr>
          <w:rFonts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2.响应文件的修改与撤回</w:t>
      </w:r>
    </w:p>
    <w:p>
      <w:pPr>
        <w:pStyle w:val="13"/>
        <w:spacing w:line="262" w:lineRule="auto"/>
        <w:jc w:val="left"/>
        <w:rPr>
          <w:rFonts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 xml:space="preserve">    </w:t>
      </w:r>
      <w:r>
        <w:rPr>
          <w:rFonts w:hint="eastAsia" w:asciiTheme="minorEastAsia" w:hAnsiTheme="minorEastAsia" w:eastAsiaTheme="minorEastAsia" w:cstheme="minorEastAsia"/>
          <w:sz w:val="21"/>
          <w:szCs w:val="21"/>
        </w:rPr>
        <w:t>2.1供应商在提交响应文件截止时间前，可以对所提交的响应文件进行补充、修改或者撤回，并书面通知采购人、采购代理机构。补充、修改的内容作为响应文件的组成部分。补充、修改的内容与响应文件不一致的，以补充、修改的内容为准（须密封并在提交响应文件截止时间前重新递交）。</w:t>
      </w:r>
    </w:p>
    <w:p>
      <w:pPr>
        <w:pStyle w:val="13"/>
        <w:spacing w:line="262" w:lineRule="auto"/>
        <w:ind w:firstLine="420" w:firstLineChars="200"/>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2.2</w:t>
      </w:r>
      <w:bookmarkEnd w:id="119"/>
      <w:bookmarkEnd w:id="120"/>
      <w:bookmarkEnd w:id="121"/>
      <w:r>
        <w:rPr>
          <w:rFonts w:hint="eastAsia" w:asciiTheme="minorEastAsia" w:hAnsiTheme="minorEastAsia" w:eastAsiaTheme="minorEastAsia" w:cstheme="minorEastAsia"/>
          <w:sz w:val="21"/>
          <w:szCs w:val="21"/>
        </w:rPr>
        <w:t>供应商在提交响应文件截止时间后撤回响应文件的，</w:t>
      </w:r>
      <w:r>
        <w:rPr>
          <w:rFonts w:hint="eastAsia" w:asciiTheme="minorEastAsia" w:hAnsiTheme="minorEastAsia" w:eastAsiaTheme="minorEastAsia" w:cstheme="minorEastAsia"/>
          <w:b/>
          <w:sz w:val="21"/>
          <w:szCs w:val="21"/>
        </w:rPr>
        <w:t>供应商须承担</w:t>
      </w:r>
      <w:r>
        <w:rPr>
          <w:rFonts w:hint="eastAsia" w:asciiTheme="minorEastAsia" w:hAnsiTheme="minorEastAsia" w:eastAsiaTheme="minorEastAsia" w:cstheme="minorEastAsia"/>
          <w:b/>
          <w:sz w:val="21"/>
          <w:szCs w:val="21"/>
          <w:shd w:val="clear" w:color="auto" w:fill="FFFFFF"/>
        </w:rPr>
        <w:t>过错赔偿</w:t>
      </w:r>
      <w:r>
        <w:rPr>
          <w:rFonts w:hint="eastAsia" w:asciiTheme="minorEastAsia" w:hAnsiTheme="minorEastAsia" w:eastAsiaTheme="minorEastAsia" w:cstheme="minorEastAsia"/>
          <w:b/>
          <w:sz w:val="21"/>
          <w:szCs w:val="21"/>
        </w:rPr>
        <w:t>。</w:t>
      </w:r>
      <w:r>
        <w:rPr>
          <w:rFonts w:hint="eastAsia" w:asciiTheme="minorEastAsia" w:hAnsiTheme="minorEastAsia" w:eastAsiaTheme="minorEastAsia" w:cstheme="minorEastAsia"/>
          <w:b/>
          <w:bCs/>
          <w:sz w:val="21"/>
          <w:szCs w:val="21"/>
        </w:rPr>
        <w:t xml:space="preserve">   </w:t>
      </w:r>
    </w:p>
    <w:p>
      <w:pPr>
        <w:pStyle w:val="13"/>
        <w:spacing w:line="262" w:lineRule="auto"/>
        <w:ind w:firstLine="420"/>
        <w:jc w:val="left"/>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sz w:val="21"/>
          <w:szCs w:val="21"/>
        </w:rPr>
        <w:t>2.3</w:t>
      </w:r>
      <w:bookmarkEnd w:id="98"/>
      <w:bookmarkEnd w:id="99"/>
      <w:bookmarkEnd w:id="100"/>
      <w:bookmarkEnd w:id="101"/>
      <w:bookmarkEnd w:id="102"/>
      <w:bookmarkEnd w:id="103"/>
      <w:bookmarkStart w:id="122" w:name="_Toc61149562"/>
      <w:bookmarkStart w:id="123" w:name="_Toc513029224"/>
      <w:bookmarkStart w:id="124" w:name="_Toc14577362"/>
      <w:r>
        <w:rPr>
          <w:rFonts w:hint="eastAsia" w:asciiTheme="minorEastAsia" w:hAnsiTheme="minorEastAsia" w:eastAsiaTheme="minorEastAsia" w:cstheme="minorEastAsia"/>
          <w:sz w:val="21"/>
          <w:szCs w:val="21"/>
        </w:rPr>
        <w:t>供应商在提交最后报价之前，可以根据磋商情况退出磋商。但如无正当理由退出且造成在采购过程中符合竞争要求的供应商或者报价未超过采购预算的供应商不足3家的，</w:t>
      </w:r>
      <w:r>
        <w:rPr>
          <w:rFonts w:hint="eastAsia" w:asciiTheme="minorEastAsia" w:hAnsiTheme="minorEastAsia" w:eastAsiaTheme="minorEastAsia" w:cstheme="minorEastAsia"/>
          <w:b/>
          <w:sz w:val="21"/>
          <w:szCs w:val="21"/>
        </w:rPr>
        <w:t>供应商须承担</w:t>
      </w:r>
      <w:r>
        <w:rPr>
          <w:rFonts w:hint="eastAsia" w:asciiTheme="minorEastAsia" w:hAnsiTheme="minorEastAsia" w:eastAsiaTheme="minorEastAsia" w:cstheme="minorEastAsia"/>
          <w:b/>
          <w:sz w:val="21"/>
          <w:szCs w:val="21"/>
          <w:shd w:val="clear" w:color="auto" w:fill="FFFFFF"/>
        </w:rPr>
        <w:t>过错赔偿</w:t>
      </w:r>
      <w:r>
        <w:rPr>
          <w:rFonts w:hint="eastAsia" w:asciiTheme="minorEastAsia" w:hAnsiTheme="minorEastAsia" w:eastAsiaTheme="minorEastAsia" w:cstheme="minorEastAsia"/>
          <w:b/>
          <w:sz w:val="21"/>
          <w:szCs w:val="21"/>
        </w:rPr>
        <w:t>。</w:t>
      </w:r>
    </w:p>
    <w:p>
      <w:pPr>
        <w:pStyle w:val="2"/>
        <w:spacing w:line="240" w:lineRule="exact"/>
        <w:rPr>
          <w:rFonts w:asciiTheme="minorEastAsia" w:hAnsiTheme="minorEastAsia" w:eastAsiaTheme="minorEastAsia" w:cstheme="minorEastAsia"/>
          <w:sz w:val="21"/>
          <w:szCs w:val="21"/>
        </w:rPr>
      </w:pPr>
    </w:p>
    <w:bookmarkEnd w:id="122"/>
    <w:bookmarkEnd w:id="123"/>
    <w:bookmarkEnd w:id="124"/>
    <w:p>
      <w:pPr>
        <w:spacing w:line="262" w:lineRule="auto"/>
        <w:jc w:val="center"/>
        <w:outlineLvl w:val="1"/>
        <w:rPr>
          <w:rFonts w:asciiTheme="minorEastAsia" w:hAnsiTheme="minorEastAsia" w:eastAsiaTheme="minorEastAsia" w:cstheme="minorEastAsia"/>
          <w:b/>
          <w:szCs w:val="21"/>
        </w:rPr>
      </w:pPr>
      <w:bookmarkStart w:id="125" w:name="_Hlt26954864"/>
      <w:bookmarkEnd w:id="125"/>
      <w:bookmarkStart w:id="126" w:name="_Hlt26670523"/>
      <w:bookmarkEnd w:id="126"/>
      <w:bookmarkStart w:id="127" w:name="_Hlt26954856"/>
      <w:bookmarkEnd w:id="127"/>
      <w:bookmarkStart w:id="128" w:name="_Toc118275638"/>
      <w:bookmarkStart w:id="129" w:name="_Toc107916292"/>
      <w:bookmarkStart w:id="130" w:name="_Toc118235413"/>
      <w:bookmarkStart w:id="131" w:name="_Toc118275558"/>
      <w:bookmarkStart w:id="132" w:name="_Toc118275518"/>
      <w:r>
        <w:rPr>
          <w:rFonts w:hint="eastAsia" w:asciiTheme="minorEastAsia" w:hAnsiTheme="minorEastAsia" w:eastAsiaTheme="minorEastAsia" w:cstheme="minorEastAsia"/>
          <w:b/>
          <w:szCs w:val="21"/>
        </w:rPr>
        <w:t>五、响应开启、评审程序与评审</w:t>
      </w:r>
      <w:bookmarkEnd w:id="128"/>
      <w:bookmarkEnd w:id="129"/>
      <w:bookmarkEnd w:id="130"/>
      <w:bookmarkEnd w:id="131"/>
      <w:bookmarkEnd w:id="132"/>
      <w:bookmarkStart w:id="133" w:name="_Toc16938546"/>
      <w:bookmarkStart w:id="134" w:name="_Toc513029230"/>
      <w:bookmarkStart w:id="135" w:name="_Toc20823302"/>
    </w:p>
    <w:p>
      <w:pPr>
        <w:pStyle w:val="2"/>
        <w:spacing w:line="240" w:lineRule="exact"/>
        <w:rPr>
          <w:rFonts w:asciiTheme="minorEastAsia" w:hAnsiTheme="minorEastAsia" w:eastAsiaTheme="minorEastAsia" w:cstheme="minorEastAsia"/>
          <w:sz w:val="21"/>
          <w:szCs w:val="21"/>
        </w:rPr>
      </w:pPr>
    </w:p>
    <w:p>
      <w:pPr>
        <w:spacing w:line="262" w:lineRule="auto"/>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1</w:t>
      </w:r>
      <w:bookmarkEnd w:id="133"/>
      <w:bookmarkEnd w:id="134"/>
      <w:bookmarkEnd w:id="135"/>
      <w:r>
        <w:rPr>
          <w:rFonts w:hint="eastAsia" w:asciiTheme="minorEastAsia" w:hAnsiTheme="minorEastAsia" w:eastAsiaTheme="minorEastAsia" w:cstheme="minorEastAsia"/>
          <w:b/>
          <w:szCs w:val="21"/>
        </w:rPr>
        <w:t>.响应</w:t>
      </w:r>
      <w:bookmarkStart w:id="136" w:name="_Toc20823303"/>
      <w:bookmarkStart w:id="137" w:name="_Toc16938547"/>
      <w:bookmarkStart w:id="138" w:name="_Toc513029231"/>
      <w:r>
        <w:rPr>
          <w:rFonts w:hint="eastAsia" w:asciiTheme="minorEastAsia" w:hAnsiTheme="minorEastAsia" w:eastAsiaTheme="minorEastAsia" w:cstheme="minorEastAsia"/>
          <w:b/>
          <w:szCs w:val="21"/>
        </w:rPr>
        <w:t>开启时间及地点</w:t>
      </w:r>
    </w:p>
    <w:p>
      <w:pPr>
        <w:spacing w:line="262" w:lineRule="auto"/>
        <w:ind w:firstLine="420"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szCs w:val="21"/>
        </w:rPr>
        <w:t>本项目响应文件开启时间及地点见</w:t>
      </w:r>
      <w:r>
        <w:rPr>
          <w:rFonts w:hint="eastAsia" w:asciiTheme="minorEastAsia" w:hAnsiTheme="minorEastAsia" w:eastAsiaTheme="minorEastAsia" w:cstheme="minorEastAsia"/>
          <w:b/>
          <w:bCs/>
          <w:szCs w:val="21"/>
          <w:u w:val="single"/>
        </w:rPr>
        <w:t>采购公告</w:t>
      </w:r>
      <w:r>
        <w:rPr>
          <w:rFonts w:hint="eastAsia" w:asciiTheme="minorEastAsia" w:hAnsiTheme="minorEastAsia" w:eastAsiaTheme="minorEastAsia" w:cstheme="minorEastAsia"/>
          <w:szCs w:val="21"/>
        </w:rPr>
        <w:t>。</w:t>
      </w:r>
    </w:p>
    <w:p>
      <w:pPr>
        <w:spacing w:line="262" w:lineRule="auto"/>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2.评审小组</w:t>
      </w:r>
    </w:p>
    <w:p>
      <w:pPr>
        <w:spacing w:line="262"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2.1评审小组由采购人代表和评审专家共3人以上单数组成，其中评审专家人数不得少于评审小组成员总数的2/3。评审专家应当遵守评审工作纪律，不得泄露评审情况和评审中获悉的商业秘密。</w:t>
      </w:r>
    </w:p>
    <w:p>
      <w:pPr>
        <w:spacing w:line="262"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2.2</w:t>
      </w:r>
      <w:bookmarkEnd w:id="136"/>
      <w:bookmarkEnd w:id="137"/>
      <w:bookmarkEnd w:id="138"/>
      <w:r>
        <w:rPr>
          <w:rFonts w:hint="eastAsia" w:asciiTheme="minorEastAsia" w:hAnsiTheme="minorEastAsia" w:eastAsiaTheme="minorEastAsia" w:cstheme="minorEastAsia"/>
          <w:szCs w:val="21"/>
        </w:rPr>
        <w:t>评审小组成员应当按照客观、公正、审慎的原则，根据采购文件规定的评审程序、评审方法和评审标准进行独立评审。未实质性响应采购文件的响应文件按无效响应处理。</w:t>
      </w:r>
    </w:p>
    <w:p>
      <w:pPr>
        <w:spacing w:line="262"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2.3在评审过程中，供应商不得以任何行为影响评审过程，否则其响应文件将被作为无效响应文件。</w:t>
      </w:r>
      <w:bookmarkStart w:id="139" w:name="_Toc16938549"/>
      <w:bookmarkStart w:id="140" w:name="_Toc513029233"/>
      <w:bookmarkStart w:id="141" w:name="_Toc20823305"/>
    </w:p>
    <w:p>
      <w:pPr>
        <w:spacing w:line="247" w:lineRule="auto"/>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3.有效的响应文件</w:t>
      </w:r>
    </w:p>
    <w:bookmarkEnd w:id="139"/>
    <w:bookmarkEnd w:id="140"/>
    <w:bookmarkEnd w:id="141"/>
    <w:p>
      <w:pPr>
        <w:spacing w:line="262"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3.1评审小组在对响应文件的有效性、完整性和响应程度进行审查</w:t>
      </w:r>
      <w:r>
        <w:rPr>
          <w:rFonts w:hint="eastAsia" w:asciiTheme="minorEastAsia" w:hAnsiTheme="minorEastAsia" w:eastAsiaTheme="minorEastAsia" w:cstheme="minorEastAsia"/>
          <w:b/>
          <w:szCs w:val="21"/>
        </w:rPr>
        <w:t>。</w:t>
      </w:r>
    </w:p>
    <w:p>
      <w:pPr>
        <w:spacing w:line="262" w:lineRule="auto"/>
        <w:ind w:firstLine="420" w:firstLineChars="200"/>
        <w:rPr>
          <w:rFonts w:asciiTheme="minorEastAsia" w:hAnsiTheme="minorEastAsia" w:eastAsiaTheme="minorEastAsia" w:cstheme="minorEastAsia"/>
          <w:szCs w:val="21"/>
        </w:rPr>
      </w:pPr>
      <w:bookmarkStart w:id="142" w:name="_Toc20823306"/>
      <w:bookmarkStart w:id="143" w:name="_Toc16938550"/>
      <w:bookmarkStart w:id="144" w:name="_Toc513029234"/>
      <w:r>
        <w:rPr>
          <w:rFonts w:hint="eastAsia" w:asciiTheme="minorEastAsia" w:hAnsiTheme="minorEastAsia" w:eastAsiaTheme="minorEastAsia" w:cstheme="minorEastAsia"/>
          <w:szCs w:val="21"/>
        </w:rPr>
        <w:t>3.2被认定为未实质性响应采购文件的响应文件的情形：</w:t>
      </w:r>
    </w:p>
    <w:p>
      <w:pPr>
        <w:spacing w:line="262" w:lineRule="auto"/>
        <w:ind w:firstLine="420" w:firstLineChars="200"/>
        <w:rPr>
          <w:rFonts w:asciiTheme="minorEastAsia" w:hAnsiTheme="minorEastAsia" w:eastAsiaTheme="minorEastAsia" w:cstheme="minorEastAsia"/>
          <w:szCs w:val="21"/>
        </w:rPr>
      </w:pPr>
      <w:bookmarkStart w:id="145" w:name="_Toc20823304"/>
      <w:bookmarkStart w:id="146" w:name="_Toc16938548"/>
      <w:bookmarkStart w:id="147" w:name="_Toc513029232"/>
      <w:r>
        <w:rPr>
          <w:rFonts w:hint="eastAsia" w:asciiTheme="minorEastAsia" w:hAnsiTheme="minorEastAsia" w:eastAsiaTheme="minorEastAsia" w:cstheme="minorEastAsia"/>
          <w:szCs w:val="21"/>
        </w:rPr>
        <w:t>（1）未按要求交纳保证金的（限要求提交保证金的项目）；</w:t>
      </w:r>
    </w:p>
    <w:p>
      <w:pPr>
        <w:spacing w:line="262"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（2）未按照采购文件规定要求签署、盖章的；</w:t>
      </w:r>
    </w:p>
    <w:p>
      <w:pPr>
        <w:spacing w:line="262"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（3）提供的产品质量和服务没有满足采购文件规定的实质性要求的；</w:t>
      </w:r>
    </w:p>
    <w:p>
      <w:pPr>
        <w:spacing w:line="262"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（4）评审小组认为供应商的报价明显低于其他通过符合性检查供应商的报价</w:t>
      </w:r>
      <w:r>
        <w:rPr>
          <w:rFonts w:hint="eastAsia" w:asciiTheme="minorEastAsia" w:hAnsiTheme="minorEastAsia" w:eastAsiaTheme="minorEastAsia" w:cstheme="minorEastAsia"/>
          <w:kern w:val="0"/>
          <w:szCs w:val="21"/>
        </w:rPr>
        <w:t>，有可能影响采购质量（例：所投产品品牌档次无可比性或非同一级别的等）或者不能诚信履约的；</w:t>
      </w:r>
    </w:p>
    <w:p>
      <w:pPr>
        <w:spacing w:line="262"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（5）不符合法规和采购文件中规定的其他实质性要求的（例：</w:t>
      </w:r>
      <w:r>
        <w:rPr>
          <w:rFonts w:hint="eastAsia" w:asciiTheme="minorEastAsia" w:hAnsiTheme="minorEastAsia" w:eastAsiaTheme="minorEastAsia" w:cstheme="minorEastAsia"/>
          <w:kern w:val="0"/>
          <w:szCs w:val="21"/>
        </w:rPr>
        <w:t>超过预算金额、</w:t>
      </w:r>
      <w:r>
        <w:rPr>
          <w:rFonts w:hint="eastAsia" w:asciiTheme="minorEastAsia" w:hAnsiTheme="minorEastAsia" w:eastAsiaTheme="minorEastAsia" w:cstheme="minorEastAsia"/>
          <w:szCs w:val="21"/>
        </w:rPr>
        <w:t>采用选择性报价等）。</w:t>
      </w:r>
    </w:p>
    <w:p>
      <w:pPr>
        <w:spacing w:line="262" w:lineRule="auto"/>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4.评审过程的澄清</w:t>
      </w:r>
      <w:bookmarkEnd w:id="145"/>
      <w:bookmarkEnd w:id="146"/>
      <w:bookmarkEnd w:id="147"/>
      <w:r>
        <w:rPr>
          <w:rFonts w:hint="eastAsia" w:asciiTheme="minorEastAsia" w:hAnsiTheme="minorEastAsia" w:eastAsiaTheme="minorEastAsia" w:cstheme="minorEastAsia"/>
          <w:b/>
          <w:szCs w:val="21"/>
        </w:rPr>
        <w:t>、说明和更正</w:t>
      </w:r>
    </w:p>
    <w:p>
      <w:pPr>
        <w:spacing w:line="262" w:lineRule="auto"/>
        <w:ind w:firstLine="420"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szCs w:val="21"/>
        </w:rPr>
        <w:t>4.1评审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262"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4.2接到评审小组要求的供应商应派人按评审小组通知的时间和地点做出书面澄清、说明或更正。供应商的澄清、说明或者更正应当由法定代表人或其授权代表签字或者加盖公章。由授权代表签字的，应当附法人授权书。</w:t>
      </w:r>
    </w:p>
    <w:p>
      <w:pPr>
        <w:spacing w:line="262"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4.3 接到评审小组澄清要求的供应商如未按规定做出澄清，其风险由供应商自行承担。</w:t>
      </w:r>
      <w:bookmarkEnd w:id="142"/>
      <w:bookmarkEnd w:id="143"/>
      <w:bookmarkEnd w:id="144"/>
    </w:p>
    <w:p>
      <w:pP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5.</w:t>
      </w:r>
      <w:bookmarkStart w:id="148" w:name="_Toc513029235"/>
      <w:bookmarkStart w:id="149" w:name="_Toc16938551"/>
      <w:bookmarkStart w:id="150" w:name="_Toc20823307"/>
      <w:r>
        <w:rPr>
          <w:rFonts w:hint="eastAsia" w:asciiTheme="minorEastAsia" w:hAnsiTheme="minorEastAsia" w:eastAsiaTheme="minorEastAsia" w:cstheme="minorEastAsia"/>
          <w:b/>
          <w:szCs w:val="21"/>
        </w:rPr>
        <w:t>评审方法、评审标准</w:t>
      </w:r>
    </w:p>
    <w:p>
      <w:pPr>
        <w:spacing w:line="262"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5.1评审方法：综合评分法。</w:t>
      </w:r>
    </w:p>
    <w:p>
      <w:pPr>
        <w:spacing w:line="262"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综合评分法，是指响应文件满足采购文件全部实质性要求且按评审因素的量化指标评审得分最高的供应商为成交候选供应商的评审方法。评审时，评审小组各成员独立对每个有效响应的文件进行评价、打分，然后汇总每个供应商每项评分因素的得分。</w:t>
      </w:r>
    </w:p>
    <w:p>
      <w:pPr>
        <w:spacing w:line="262"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5.2评审标准：略，见本采购文件第4章规定。</w:t>
      </w:r>
    </w:p>
    <w:p>
      <w:pPr>
        <w:spacing w:line="262" w:lineRule="auto"/>
        <w:ind w:firstLine="4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5.3采购人视情执行政府采购政策。具体优先采购办法见采购文件第4章。</w:t>
      </w:r>
    </w:p>
    <w:p>
      <w:pPr>
        <w:spacing w:line="262"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5.4评审小组根据综合评分情况，按照评审得分由高到低顺序推荐成交候选供应商，并编写评审报告。评审得分相同的，按照最后报价由低到高的顺序推荐。评审得分且最后报价相同的，按照技术指标优劣顺序推荐。采购人根据评审小组推荐的成交候选人确定成交供应商（多种并列情形的，采购人将自行确定）。采购人确定成交供应商后，将发布公告或以电子邮件等方式通知所有参加采购的供应商。</w:t>
      </w:r>
    </w:p>
    <w:bookmarkEnd w:id="148"/>
    <w:bookmarkEnd w:id="149"/>
    <w:bookmarkEnd w:id="150"/>
    <w:p>
      <w:pPr>
        <w:spacing w:line="262" w:lineRule="auto"/>
        <w:jc w:val="center"/>
        <w:outlineLvl w:val="1"/>
        <w:rPr>
          <w:rFonts w:asciiTheme="minorEastAsia" w:hAnsiTheme="minorEastAsia" w:eastAsiaTheme="minorEastAsia" w:cstheme="minorEastAsia"/>
          <w:szCs w:val="21"/>
        </w:rPr>
      </w:pPr>
      <w:bookmarkStart w:id="151" w:name="_Toc118275519"/>
      <w:bookmarkStart w:id="152" w:name="_Toc118275639"/>
      <w:bookmarkStart w:id="153" w:name="_Toc118275559"/>
      <w:bookmarkStart w:id="154" w:name="_Toc107916293"/>
      <w:bookmarkStart w:id="155" w:name="_Toc118235414"/>
      <w:r>
        <w:rPr>
          <w:rFonts w:hint="eastAsia" w:asciiTheme="minorEastAsia" w:hAnsiTheme="minorEastAsia" w:eastAsiaTheme="minorEastAsia" w:cstheme="minorEastAsia"/>
          <w:b/>
          <w:szCs w:val="21"/>
        </w:rPr>
        <w:t>六、合同签订相关事项</w:t>
      </w:r>
      <w:bookmarkEnd w:id="151"/>
      <w:bookmarkEnd w:id="152"/>
      <w:bookmarkEnd w:id="153"/>
      <w:bookmarkEnd w:id="154"/>
      <w:bookmarkEnd w:id="155"/>
    </w:p>
    <w:p>
      <w:pPr>
        <w:spacing w:line="262" w:lineRule="auto"/>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1. 合同草案条款及签订合同</w:t>
      </w:r>
    </w:p>
    <w:p>
      <w:pPr>
        <w:spacing w:line="262" w:lineRule="auto"/>
        <w:ind w:firstLine="432"/>
        <w:rPr>
          <w:rFonts w:asciiTheme="minorEastAsia" w:hAnsiTheme="minorEastAsia" w:eastAsiaTheme="minorEastAsia" w:cstheme="minorEastAsia"/>
          <w:spacing w:val="15"/>
          <w:kern w:val="0"/>
          <w:szCs w:val="21"/>
        </w:rPr>
      </w:pPr>
      <w:r>
        <w:rPr>
          <w:rFonts w:hint="eastAsia" w:asciiTheme="minorEastAsia" w:hAnsiTheme="minorEastAsia" w:eastAsiaTheme="minorEastAsia" w:cstheme="minorEastAsia"/>
          <w:szCs w:val="21"/>
        </w:rPr>
        <w:t>1.l成交供应商确定后，</w:t>
      </w:r>
      <w:r>
        <w:rPr>
          <w:rFonts w:hint="eastAsia" w:asciiTheme="minorEastAsia" w:hAnsiTheme="minorEastAsia" w:eastAsiaTheme="minorEastAsia" w:cstheme="minorEastAsia"/>
          <w:bCs/>
          <w:szCs w:val="21"/>
        </w:rPr>
        <w:t>携手阳光公司</w:t>
      </w:r>
      <w:r>
        <w:rPr>
          <w:rFonts w:hint="eastAsia" w:asciiTheme="minorEastAsia" w:hAnsiTheme="minorEastAsia" w:eastAsiaTheme="minorEastAsia" w:cstheme="minorEastAsia"/>
          <w:szCs w:val="21"/>
        </w:rPr>
        <w:t>将向成交供应商发出成交通知书。</w:t>
      </w:r>
      <w:r>
        <w:rPr>
          <w:rFonts w:hint="eastAsia" w:asciiTheme="minorEastAsia" w:hAnsiTheme="minorEastAsia" w:eastAsiaTheme="minorEastAsia" w:cstheme="minorEastAsia"/>
          <w:spacing w:val="15"/>
          <w:kern w:val="0"/>
          <w:szCs w:val="21"/>
        </w:rPr>
        <w:t>成交供应商应当在成交通知书发出之日起7日内，按照采购文件确定的事项签订政府采购合同。</w:t>
      </w:r>
    </w:p>
    <w:p>
      <w:pPr>
        <w:spacing w:line="262" w:lineRule="auto"/>
        <w:ind w:firstLine="43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1.2合同草案条款（拟签订的合同文本）见采购文件第3章。采购文件、成交供应商的响应文件及采购过程中有关澄清、承诺文件均应为合同的组成部分。</w:t>
      </w:r>
    </w:p>
    <w:p>
      <w:pPr>
        <w:spacing w:line="262"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1.3成交供应商不得将政府采购合同转包。未经采购人同意，成交供应商也不得采取分包的形式履行合同。否则采购人有权终止合同及履约保证金将不予退还。造成损失的，成交供应商应承担赔偿责任。</w:t>
      </w:r>
    </w:p>
    <w:p>
      <w:pPr>
        <w:numPr>
          <w:ilvl w:val="0"/>
          <w:numId w:val="4"/>
        </w:numPr>
        <w:spacing w:line="262" w:lineRule="auto"/>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履约保证金</w:t>
      </w:r>
    </w:p>
    <w:p>
      <w:pPr>
        <w:spacing w:line="262" w:lineRule="auto"/>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2.1在签订合同前，中标人需向招标人交纳履约保证金（请将履约保证金汇款凭证发送至QQ邮箱：532223373@qq.com），具体金额为中标价的5%。拟中标人应当按照招标人的要求及时、足额缴纳履约保证金，履约保证金待项目验收结束后一次性无息退还。</w:t>
      </w:r>
    </w:p>
    <w:p>
      <w:pPr>
        <w:spacing w:line="262" w:lineRule="auto"/>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2.2履约保证金专户帐户信息</w:t>
      </w:r>
    </w:p>
    <w:p>
      <w:pPr>
        <w:spacing w:line="262" w:lineRule="auto"/>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单位名称：江苏医药职业学院</w:t>
      </w:r>
    </w:p>
    <w:p>
      <w:pPr>
        <w:spacing w:line="262" w:lineRule="auto"/>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开户行名称：建行盐城市城南支行</w:t>
      </w:r>
    </w:p>
    <w:p>
      <w:pPr>
        <w:spacing w:line="262" w:lineRule="auto"/>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银行帐号：32001735038052500575</w:t>
      </w:r>
    </w:p>
    <w:p>
      <w:pPr>
        <w:spacing w:line="262" w:lineRule="auto"/>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地    址：江苏省盐城市解放南路283号</w:t>
      </w:r>
    </w:p>
    <w:p>
      <w:pPr>
        <w:spacing w:line="262" w:lineRule="auto"/>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电    话：0515-88550311</w:t>
      </w:r>
    </w:p>
    <w:p>
      <w:pPr>
        <w:spacing w:line="262" w:lineRule="auto"/>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2.3如果拟中标人没有在规定的时间内交纳履约保证金，或放弃中标、或被查实存在影响中标结果的违法行为、或其他供应商对招标项目的质疑（投诉）成立、或拒绝遵守招标文件规定、响应承诺，或拒绝签订合同、或虽签署合同但不予履行等，则取消（拟）中标人资格，已经缴纳的履约保证金作为违约金不予退还。</w:t>
      </w:r>
    </w:p>
    <w:p>
      <w:pPr>
        <w:spacing w:line="262" w:lineRule="auto"/>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2.4履约保证金退还：中标人缴纳的履约保证金待项目验收结束后无质量问题一次性无息退还，（凭“保证金请退函”到学校国资处办理退款手续）。如果中标人不履行合同约定的义务，未能完全履行合同规定的义务或其履行不符合合同的约定，招标人有权扣除履约保证金取得补偿。</w:t>
      </w:r>
    </w:p>
    <w:p>
      <w:pPr>
        <w:spacing w:line="262" w:lineRule="auto"/>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2.5履约保证金用以约束成交供应商在合同履行中的行为，弥补合同执行中由于自身行为可能给采购人带来的各种损失（履约保证金将不予退还）。</w:t>
      </w:r>
    </w:p>
    <w:p>
      <w:pPr>
        <w:spacing w:line="262" w:lineRule="auto"/>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3.代理服务费</w:t>
      </w:r>
    </w:p>
    <w:p>
      <w:pPr>
        <w:spacing w:line="262" w:lineRule="auto"/>
        <w:ind w:firstLine="408"/>
        <w:jc w:val="left"/>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3.1</w:t>
      </w:r>
      <w:r>
        <w:rPr>
          <w:rFonts w:hint="eastAsia" w:asciiTheme="minorEastAsia" w:hAnsiTheme="minorEastAsia" w:eastAsiaTheme="minorEastAsia" w:cstheme="minorEastAsia"/>
          <w:bCs/>
          <w:szCs w:val="21"/>
        </w:rPr>
        <w:t>代理服务费收费标准：见</w:t>
      </w:r>
      <w:r>
        <w:rPr>
          <w:rFonts w:hint="eastAsia" w:asciiTheme="minorEastAsia" w:hAnsiTheme="minorEastAsia" w:eastAsiaTheme="minorEastAsia" w:cstheme="minorEastAsia"/>
          <w:bCs/>
          <w:szCs w:val="21"/>
          <w:u w:val="single"/>
        </w:rPr>
        <w:t>供应商须知资料表</w:t>
      </w:r>
      <w:r>
        <w:rPr>
          <w:rFonts w:hint="eastAsia" w:asciiTheme="minorEastAsia" w:hAnsiTheme="minorEastAsia" w:eastAsiaTheme="minorEastAsia" w:cstheme="minorEastAsia"/>
          <w:szCs w:val="21"/>
        </w:rPr>
        <w:t>。</w:t>
      </w:r>
    </w:p>
    <w:p>
      <w:pPr>
        <w:spacing w:line="262" w:lineRule="auto"/>
        <w:ind w:firstLine="408"/>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bCs/>
          <w:szCs w:val="21"/>
        </w:rPr>
        <w:t>3.2如</w:t>
      </w:r>
      <w:r>
        <w:rPr>
          <w:rFonts w:hint="eastAsia" w:asciiTheme="minorEastAsia" w:hAnsiTheme="minorEastAsia" w:eastAsiaTheme="minorEastAsia" w:cstheme="minorEastAsia"/>
          <w:bCs/>
          <w:szCs w:val="21"/>
          <w:u w:val="single"/>
        </w:rPr>
        <w:t>供应商须知资料表</w:t>
      </w:r>
      <w:r>
        <w:rPr>
          <w:rFonts w:hint="eastAsia" w:asciiTheme="minorEastAsia" w:hAnsiTheme="minorEastAsia" w:eastAsiaTheme="minorEastAsia" w:cstheme="minorEastAsia"/>
          <w:bCs/>
          <w:szCs w:val="21"/>
        </w:rPr>
        <w:t>规定代理服务费由成交供应商承担的。成交供应商须在领取成交通知书时，按照</w:t>
      </w:r>
      <w:r>
        <w:rPr>
          <w:rFonts w:hint="eastAsia" w:asciiTheme="minorEastAsia" w:hAnsiTheme="minorEastAsia" w:eastAsiaTheme="minorEastAsia" w:cstheme="minorEastAsia"/>
          <w:bCs/>
          <w:szCs w:val="21"/>
          <w:u w:val="single"/>
        </w:rPr>
        <w:t>供应商须知资料表</w:t>
      </w:r>
      <w:r>
        <w:rPr>
          <w:rFonts w:hint="eastAsia" w:asciiTheme="minorEastAsia" w:hAnsiTheme="minorEastAsia" w:eastAsiaTheme="minorEastAsia" w:cstheme="minorEastAsia"/>
          <w:bCs/>
          <w:szCs w:val="21"/>
        </w:rPr>
        <w:t>规定的收费标准向携手阳光公司支付代理服务费（一次性付清）。</w:t>
      </w:r>
      <w:r>
        <w:rPr>
          <w:rFonts w:hint="eastAsia" w:asciiTheme="minorEastAsia" w:hAnsiTheme="minorEastAsia" w:eastAsiaTheme="minorEastAsia" w:cstheme="minorEastAsia"/>
          <w:szCs w:val="21"/>
        </w:rPr>
        <w:t>该费用折算在供应商报价中，不在响应文件中单独列出。</w:t>
      </w:r>
    </w:p>
    <w:p>
      <w:pPr>
        <w:spacing w:line="262" w:lineRule="auto"/>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bCs/>
          <w:szCs w:val="21"/>
        </w:rPr>
        <w:t>3.3代理服务费支付形式为：电款、转账等；发票为</w:t>
      </w:r>
      <w:r>
        <w:rPr>
          <w:rFonts w:hint="eastAsia" w:asciiTheme="minorEastAsia" w:hAnsiTheme="minorEastAsia" w:eastAsiaTheme="minorEastAsia" w:cstheme="minorEastAsia"/>
          <w:szCs w:val="21"/>
        </w:rPr>
        <w:t>普通发票。账户信息：开户名：盐城市携手阳光集中采购代理有限公司；开户行：兴业银行盐城分行；账号：402010100100119375）。</w:t>
      </w:r>
    </w:p>
    <w:p>
      <w:pPr>
        <w:spacing w:line="262" w:lineRule="auto"/>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4.成交供应商违约、违规责任</w:t>
      </w:r>
    </w:p>
    <w:p>
      <w:pPr>
        <w:spacing w:line="262" w:lineRule="auto"/>
        <w:ind w:firstLine="420" w:firstLineChars="200"/>
        <w:rPr>
          <w:rFonts w:asciiTheme="minorEastAsia" w:hAnsiTheme="minorEastAsia" w:eastAsiaTheme="minorEastAsia" w:cstheme="minorEastAsia"/>
          <w:spacing w:val="15"/>
          <w:kern w:val="0"/>
          <w:szCs w:val="21"/>
        </w:rPr>
      </w:pPr>
      <w:r>
        <w:rPr>
          <w:rFonts w:hint="eastAsia" w:asciiTheme="minorEastAsia" w:hAnsiTheme="minorEastAsia" w:eastAsiaTheme="minorEastAsia" w:cstheme="minorEastAsia"/>
          <w:szCs w:val="21"/>
        </w:rPr>
        <w:t>4.1</w:t>
      </w:r>
      <w:r>
        <w:rPr>
          <w:rFonts w:hint="eastAsia" w:asciiTheme="minorEastAsia" w:hAnsiTheme="minorEastAsia" w:eastAsiaTheme="minorEastAsia" w:cstheme="minorEastAsia"/>
          <w:spacing w:val="15"/>
          <w:kern w:val="0"/>
          <w:szCs w:val="21"/>
        </w:rPr>
        <w:t>政府采购遵循诚实信用原则。为保证政府采购效率及采购人的合法权益，</w:t>
      </w:r>
      <w:r>
        <w:rPr>
          <w:rFonts w:hint="eastAsia" w:asciiTheme="minorEastAsia" w:hAnsiTheme="minorEastAsia" w:eastAsiaTheme="minorEastAsia" w:cstheme="minorEastAsia"/>
          <w:szCs w:val="21"/>
        </w:rPr>
        <w:t>成交供应商出现违约、违规的，按照有利于采购人的原则处理。即：如采购文件、投标（响应）文件及合同条款约定中对成交供应商有不同违约、违规规定的，按照处罚最高的规定处理（供应商承担）。</w:t>
      </w:r>
    </w:p>
    <w:p>
      <w:pPr>
        <w:spacing w:line="262"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4.2如成交供应商出现下例情况的，采购人或采购代理机构有权拒绝其供应商参加采购代理机构代理的或采购人的各类采购活动（视为没有良好的商业信誉而拒绝参加）：1、未及时与采购人签订合同（放弃成交）；2、未按照采购文件、响应文件及合同条款履行合同的；3、未及时向携手阳光公司支持代理服务费的；4、出现其它违法、违规、违约行为的。以上情节严重的，将报请政府采购监督管理部门进行相应的行政处罚。造成采购人损失的，成交供应商须承担全部赔偿责任，采购人保留诉讼的权利。</w:t>
      </w:r>
      <w:r>
        <w:rPr>
          <w:rFonts w:hint="eastAsia" w:asciiTheme="minorEastAsia" w:hAnsiTheme="minorEastAsia" w:eastAsiaTheme="minorEastAsia" w:cstheme="minorEastAsia"/>
          <w:spacing w:val="15"/>
          <w:kern w:val="0"/>
          <w:szCs w:val="21"/>
        </w:rPr>
        <w:t> </w:t>
      </w:r>
    </w:p>
    <w:p>
      <w:pPr>
        <w:spacing w:line="262"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4.3法律法规规定的其它违约、违规责任。</w:t>
      </w:r>
    </w:p>
    <w:p>
      <w:pPr>
        <w:pStyle w:val="2"/>
        <w:spacing w:line="240" w:lineRule="exact"/>
        <w:rPr>
          <w:rFonts w:asciiTheme="minorEastAsia" w:hAnsiTheme="minorEastAsia" w:eastAsiaTheme="minorEastAsia" w:cstheme="minorEastAsia"/>
          <w:sz w:val="21"/>
          <w:szCs w:val="21"/>
        </w:rPr>
      </w:pPr>
    </w:p>
    <w:p>
      <w:pPr>
        <w:spacing w:line="262" w:lineRule="auto"/>
        <w:ind w:firstLine="422" w:firstLineChars="200"/>
        <w:jc w:val="center"/>
        <w:outlineLvl w:val="1"/>
        <w:rPr>
          <w:rFonts w:asciiTheme="minorEastAsia" w:hAnsiTheme="minorEastAsia" w:eastAsiaTheme="minorEastAsia" w:cstheme="minorEastAsia"/>
          <w:b/>
          <w:szCs w:val="21"/>
        </w:rPr>
      </w:pPr>
      <w:bookmarkStart w:id="156" w:name="_Toc118235415"/>
      <w:bookmarkStart w:id="157" w:name="_Toc118275560"/>
      <w:bookmarkStart w:id="158" w:name="_Toc118275640"/>
      <w:bookmarkStart w:id="159" w:name="_Toc118275520"/>
      <w:bookmarkStart w:id="160" w:name="_Toc107916294"/>
      <w:r>
        <w:rPr>
          <w:rFonts w:hint="eastAsia" w:asciiTheme="minorEastAsia" w:hAnsiTheme="minorEastAsia" w:eastAsiaTheme="minorEastAsia" w:cstheme="minorEastAsia"/>
          <w:b/>
          <w:szCs w:val="21"/>
        </w:rPr>
        <w:t>七、质疑受理</w:t>
      </w:r>
      <w:bookmarkEnd w:id="156"/>
      <w:bookmarkEnd w:id="157"/>
      <w:bookmarkEnd w:id="158"/>
      <w:bookmarkEnd w:id="159"/>
      <w:bookmarkEnd w:id="160"/>
    </w:p>
    <w:p>
      <w:pPr>
        <w:pStyle w:val="2"/>
        <w:spacing w:line="240" w:lineRule="exact"/>
        <w:rPr>
          <w:rFonts w:asciiTheme="minorEastAsia" w:hAnsiTheme="minorEastAsia" w:eastAsiaTheme="minorEastAsia" w:cstheme="minorEastAsia"/>
          <w:sz w:val="21"/>
          <w:szCs w:val="21"/>
        </w:rPr>
      </w:pPr>
    </w:p>
    <w:p>
      <w:pPr>
        <w:spacing w:line="262" w:lineRule="auto"/>
        <w:rPr>
          <w:rFonts w:asciiTheme="minorEastAsia" w:hAnsiTheme="minorEastAsia" w:eastAsiaTheme="minorEastAsia" w:cstheme="minorEastAsia"/>
          <w:szCs w:val="21"/>
        </w:rPr>
      </w:pPr>
      <w:bookmarkStart w:id="161" w:name="_Toc20823309"/>
      <w:bookmarkStart w:id="162" w:name="_Toc16938553"/>
      <w:bookmarkStart w:id="163" w:name="_Toc513029237"/>
      <w:r>
        <w:rPr>
          <w:rFonts w:hint="eastAsia" w:asciiTheme="minorEastAsia" w:hAnsiTheme="minorEastAsia" w:eastAsiaTheme="minorEastAsia" w:cstheme="minorEastAsia"/>
          <w:b/>
          <w:szCs w:val="21"/>
        </w:rPr>
        <w:t>1.质疑受理</w:t>
      </w:r>
    </w:p>
    <w:p>
      <w:pPr>
        <w:spacing w:line="262" w:lineRule="auto"/>
        <w:ind w:firstLine="422"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1.1供应商认为采购文件采购过程和成交结果使自己的权益受到损害的，可以在3日历天内向</w:t>
      </w:r>
      <w:r>
        <w:rPr>
          <w:rFonts w:hint="eastAsia" w:asciiTheme="minorEastAsia" w:hAnsiTheme="minorEastAsia" w:eastAsiaTheme="minorEastAsia" w:cstheme="minorEastAsia"/>
          <w:b/>
          <w:bCs/>
          <w:szCs w:val="21"/>
        </w:rPr>
        <w:t>携手阳光公司（采购人受权接受）</w:t>
      </w:r>
      <w:r>
        <w:rPr>
          <w:rFonts w:hint="eastAsia" w:asciiTheme="minorEastAsia" w:hAnsiTheme="minorEastAsia" w:eastAsiaTheme="minorEastAsia" w:cstheme="minorEastAsia"/>
          <w:b/>
          <w:szCs w:val="21"/>
        </w:rPr>
        <w:t>提出质疑。</w:t>
      </w:r>
    </w:p>
    <w:p>
      <w:pPr>
        <w:spacing w:line="262" w:lineRule="auto"/>
        <w:ind w:firstLine="422"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1.2质疑供应商应按照财政部制定的《政府采购质疑函范本》格式（可从财政部官方网站下载）和《政府采购质疑和投诉办法》的要求，在法定质疑期内以书面形式提出质疑，针对同一采购程序环节的质疑应一次性提出。</w:t>
      </w:r>
    </w:p>
    <w:p>
      <w:pPr>
        <w:spacing w:line="262" w:lineRule="auto"/>
        <w:ind w:firstLine="422" w:firstLineChars="200"/>
        <w:jc w:val="left"/>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超出约定质疑期的、重复提出的、分次提出的或内容、形式不符合《政府采购质疑和投诉办法》的，质疑供应商将依法承担不利后果。</w:t>
      </w:r>
    </w:p>
    <w:p>
      <w:pPr>
        <w:spacing w:line="262" w:lineRule="auto"/>
        <w:ind w:firstLine="422" w:firstLineChars="200"/>
        <w:jc w:val="left"/>
        <w:rPr>
          <w:rFonts w:asciiTheme="minorEastAsia" w:hAnsiTheme="minorEastAsia" w:eastAsiaTheme="minorEastAsia" w:cstheme="minorEastAsia"/>
          <w:szCs w:val="21"/>
          <w:shd w:val="clear" w:color="auto" w:fill="FFFFFF"/>
        </w:rPr>
      </w:pPr>
      <w:r>
        <w:rPr>
          <w:rFonts w:hint="eastAsia" w:asciiTheme="minorEastAsia" w:hAnsiTheme="minorEastAsia" w:eastAsiaTheme="minorEastAsia" w:cstheme="minorEastAsia"/>
          <w:b/>
          <w:szCs w:val="21"/>
        </w:rPr>
        <w:t>1.3质疑供应商对采购人、携手阳光公司的答复不满意或者采购人、采购代理机构未在规定的时间内作出答复的，可以在答复期满后3日历天内向采购人内控管理部门反映（投诉）</w:t>
      </w:r>
      <w:r>
        <w:rPr>
          <w:rFonts w:hint="eastAsia" w:asciiTheme="minorEastAsia" w:hAnsiTheme="minorEastAsia" w:eastAsiaTheme="minorEastAsia" w:cstheme="minorEastAsia"/>
          <w:szCs w:val="21"/>
          <w:shd w:val="clear" w:color="auto" w:fill="FFFFFF"/>
        </w:rPr>
        <w:t>。</w:t>
      </w:r>
    </w:p>
    <w:p>
      <w:pPr>
        <w:pStyle w:val="2"/>
        <w:spacing w:line="240" w:lineRule="exact"/>
        <w:rPr>
          <w:rFonts w:asciiTheme="minorEastAsia" w:hAnsiTheme="minorEastAsia" w:eastAsiaTheme="minorEastAsia" w:cstheme="minorEastAsia"/>
          <w:sz w:val="21"/>
          <w:szCs w:val="21"/>
        </w:rPr>
      </w:pPr>
    </w:p>
    <w:p>
      <w:pPr>
        <w:spacing w:line="262" w:lineRule="auto"/>
        <w:ind w:firstLine="422" w:firstLineChars="200"/>
        <w:jc w:val="center"/>
        <w:outlineLvl w:val="1"/>
        <w:rPr>
          <w:rFonts w:asciiTheme="minorEastAsia" w:hAnsiTheme="minorEastAsia" w:eastAsiaTheme="minorEastAsia" w:cstheme="minorEastAsia"/>
          <w:b/>
          <w:szCs w:val="21"/>
        </w:rPr>
      </w:pPr>
      <w:bookmarkStart w:id="164" w:name="_Toc107916295"/>
      <w:bookmarkStart w:id="165" w:name="_Toc118275641"/>
      <w:bookmarkStart w:id="166" w:name="_Toc118275521"/>
      <w:bookmarkStart w:id="167" w:name="_Toc118235416"/>
      <w:bookmarkStart w:id="168" w:name="_Toc118275561"/>
      <w:r>
        <w:rPr>
          <w:rFonts w:hint="eastAsia" w:asciiTheme="minorEastAsia" w:hAnsiTheme="minorEastAsia" w:eastAsiaTheme="minorEastAsia" w:cstheme="minorEastAsia"/>
          <w:b/>
          <w:szCs w:val="21"/>
        </w:rPr>
        <w:t>八、终止磋商采购活动</w:t>
      </w:r>
      <w:bookmarkEnd w:id="164"/>
      <w:bookmarkEnd w:id="165"/>
      <w:bookmarkEnd w:id="166"/>
      <w:bookmarkEnd w:id="167"/>
      <w:bookmarkEnd w:id="168"/>
    </w:p>
    <w:p>
      <w:pPr>
        <w:pStyle w:val="2"/>
        <w:spacing w:line="240" w:lineRule="exact"/>
        <w:rPr>
          <w:rFonts w:asciiTheme="minorEastAsia" w:hAnsiTheme="minorEastAsia" w:eastAsiaTheme="minorEastAsia" w:cstheme="minorEastAsia"/>
          <w:sz w:val="21"/>
          <w:szCs w:val="21"/>
        </w:rPr>
      </w:pPr>
    </w:p>
    <w:p>
      <w:pPr>
        <w:spacing w:line="262" w:lineRule="auto"/>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终止磋商采购活动</w:t>
      </w:r>
    </w:p>
    <w:p>
      <w:pPr>
        <w:spacing w:line="262" w:lineRule="auto"/>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出现下列情形之一的，采购人或者采购代理机构应当终止磋商采购活动，发布项目终止公告并说明原因，重新开展采购活动：</w:t>
      </w:r>
    </w:p>
    <w:p>
      <w:pPr>
        <w:spacing w:line="262" w:lineRule="auto"/>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（1）因情况变化，不再符合规定的磋商采购方式适用情形的；</w:t>
      </w:r>
    </w:p>
    <w:p>
      <w:pPr>
        <w:spacing w:line="262" w:lineRule="auto"/>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（2）出现影响采购公正的违法、违规行为的；</w:t>
      </w:r>
    </w:p>
    <w:bookmarkEnd w:id="161"/>
    <w:bookmarkEnd w:id="162"/>
    <w:bookmarkEnd w:id="163"/>
    <w:p>
      <w:pPr>
        <w:spacing w:line="386"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在采购过程中符合竞争要求的供应商或者报价未超过采购预算的供应商不足3家的，采购人可以终止采购活动，也可以按照“以合理的价格购买数量、质量合适的产品”的原则继续评审。</w:t>
      </w:r>
    </w:p>
    <w:p>
      <w:pPr>
        <w:pStyle w:val="2"/>
        <w:spacing w:line="240" w:lineRule="exact"/>
        <w:rPr>
          <w:rFonts w:asciiTheme="minorEastAsia" w:hAnsiTheme="minorEastAsia" w:eastAsiaTheme="minorEastAsia" w:cstheme="minorEastAsia"/>
          <w:sz w:val="21"/>
          <w:szCs w:val="21"/>
        </w:rPr>
      </w:pPr>
    </w:p>
    <w:p>
      <w:pPr>
        <w:spacing w:line="262" w:lineRule="auto"/>
        <w:jc w:val="center"/>
        <w:outlineLvl w:val="1"/>
        <w:rPr>
          <w:rFonts w:asciiTheme="minorEastAsia" w:hAnsiTheme="minorEastAsia" w:eastAsiaTheme="minorEastAsia" w:cstheme="minorEastAsia"/>
          <w:b/>
          <w:szCs w:val="21"/>
        </w:rPr>
      </w:pPr>
      <w:bookmarkStart w:id="169" w:name="_Toc118275562"/>
      <w:bookmarkStart w:id="170" w:name="_Toc118275642"/>
      <w:bookmarkStart w:id="171" w:name="_Toc118235417"/>
      <w:bookmarkStart w:id="172" w:name="_Toc118275522"/>
      <w:bookmarkStart w:id="173" w:name="_Toc107916296"/>
      <w:r>
        <w:rPr>
          <w:rFonts w:hint="eastAsia" w:asciiTheme="minorEastAsia" w:hAnsiTheme="minorEastAsia" w:eastAsiaTheme="minorEastAsia" w:cstheme="minorEastAsia"/>
          <w:b/>
          <w:szCs w:val="21"/>
        </w:rPr>
        <w:t>九、其他</w:t>
      </w:r>
      <w:bookmarkEnd w:id="169"/>
      <w:bookmarkEnd w:id="170"/>
      <w:bookmarkEnd w:id="171"/>
      <w:bookmarkEnd w:id="172"/>
      <w:bookmarkEnd w:id="173"/>
    </w:p>
    <w:p>
      <w:pPr>
        <w:pStyle w:val="2"/>
        <w:spacing w:line="240" w:lineRule="exact"/>
        <w:rPr>
          <w:rFonts w:asciiTheme="minorEastAsia" w:hAnsiTheme="minorEastAsia" w:eastAsiaTheme="minorEastAsia" w:cstheme="minorEastAsia"/>
          <w:sz w:val="21"/>
          <w:szCs w:val="21"/>
        </w:rPr>
      </w:pPr>
    </w:p>
    <w:p>
      <w:pPr>
        <w:spacing w:line="262" w:lineRule="auto"/>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1.政府采购履约资金扶持政策</w:t>
      </w:r>
    </w:p>
    <w:p>
      <w:pPr>
        <w:spacing w:line="262"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根据国家扶持中小企业的有关政策，政府采购成交供应商在履约过程中如遇到资金困难，凭成交通知书在相关金融机构办理授信申请。相关事宜向采购代理机构咨询。</w:t>
      </w:r>
    </w:p>
    <w:p>
      <w:pPr>
        <w:spacing w:line="262" w:lineRule="auto"/>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2.解释（定义）及其它：</w:t>
      </w:r>
    </w:p>
    <w:p>
      <w:pPr>
        <w:spacing w:line="262" w:lineRule="auto"/>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本采购文件当中“投标”、“投标人”、“投标文件”、“中标”、“中标人”，分别是指 “参加磋商响应”、“供应商”、“响应文件”、“成交”、“成交供应商”。</w:t>
      </w:r>
    </w:p>
    <w:p>
      <w:pPr>
        <w:spacing w:line="262" w:lineRule="auto"/>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供应商应确保响应文件中证明材料的有效性。如证明材料有效性不受其证明材料所注明的时间影响等情形的（例：证书上有效时间已过期，但政策规定向后延期），供应商应当在响应文件中进行说明并提供相关法律依据。如供应商未提供的，评审人员有权仅按自身理解评审（后果由供应商自负）。</w:t>
      </w:r>
    </w:p>
    <w:p>
      <w:pPr>
        <w:spacing w:line="262" w:lineRule="auto"/>
        <w:ind w:firstLine="422" w:firstLineChars="200"/>
        <w:jc w:val="left"/>
        <w:rPr>
          <w:rFonts w:asciiTheme="minorEastAsia" w:hAnsiTheme="minorEastAsia" w:eastAsiaTheme="minorEastAsia" w:cstheme="minorEastAsia"/>
          <w:b/>
          <w:szCs w:val="21"/>
        </w:rPr>
      </w:pPr>
    </w:p>
    <w:p>
      <w:pPr>
        <w:spacing w:line="262" w:lineRule="auto"/>
        <w:ind w:firstLine="422" w:firstLineChars="200"/>
        <w:jc w:val="left"/>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本采购文件仅限于政府采购参加人参加本次政府采购活动使用。版权所有（2021.4版），未经携手阳光公司书面授权，本采购文件内容严禁摘录、引用、传播或用于它处。</w:t>
      </w:r>
    </w:p>
    <w:p>
      <w:pPr>
        <w:spacing w:line="480" w:lineRule="auto"/>
        <w:jc w:val="center"/>
        <w:rPr>
          <w:rFonts w:ascii="宋体" w:hAnsi="宋体" w:cs="宋体"/>
          <w:b/>
          <w:color w:val="000000"/>
          <w:sz w:val="32"/>
          <w:szCs w:val="21"/>
        </w:rPr>
      </w:pPr>
      <w:bookmarkStart w:id="174" w:name="_Toc122338093"/>
    </w:p>
    <w:p>
      <w:pPr>
        <w:spacing w:line="480" w:lineRule="auto"/>
        <w:jc w:val="center"/>
        <w:rPr>
          <w:rFonts w:ascii="宋体" w:hAnsi="宋体" w:cs="宋体"/>
          <w:b/>
          <w:color w:val="000000"/>
          <w:sz w:val="32"/>
          <w:szCs w:val="21"/>
        </w:rPr>
      </w:pPr>
    </w:p>
    <w:p>
      <w:pPr>
        <w:spacing w:line="480" w:lineRule="auto"/>
        <w:jc w:val="center"/>
        <w:rPr>
          <w:rFonts w:ascii="宋体" w:hAnsi="宋体" w:cs="宋体"/>
          <w:b/>
          <w:color w:val="000000"/>
          <w:sz w:val="32"/>
          <w:szCs w:val="21"/>
        </w:rPr>
      </w:pPr>
    </w:p>
    <w:p>
      <w:pPr>
        <w:spacing w:line="480" w:lineRule="auto"/>
        <w:jc w:val="center"/>
        <w:rPr>
          <w:rFonts w:ascii="宋体" w:hAnsi="宋体" w:cs="宋体"/>
          <w:b/>
          <w:color w:val="000000"/>
          <w:sz w:val="32"/>
          <w:szCs w:val="21"/>
        </w:rPr>
      </w:pPr>
    </w:p>
    <w:p>
      <w:pPr>
        <w:spacing w:line="480" w:lineRule="auto"/>
        <w:jc w:val="center"/>
        <w:rPr>
          <w:rFonts w:ascii="宋体" w:hAnsi="宋体" w:cs="宋体"/>
          <w:b/>
          <w:color w:val="000000"/>
          <w:sz w:val="32"/>
          <w:szCs w:val="21"/>
        </w:rPr>
      </w:pPr>
    </w:p>
    <w:p>
      <w:pPr>
        <w:spacing w:line="480" w:lineRule="auto"/>
        <w:jc w:val="center"/>
        <w:rPr>
          <w:rFonts w:ascii="宋体" w:hAnsi="宋体" w:cs="宋体"/>
          <w:b/>
          <w:color w:val="000000"/>
          <w:sz w:val="32"/>
          <w:szCs w:val="21"/>
        </w:rPr>
      </w:pPr>
    </w:p>
    <w:p>
      <w:pPr>
        <w:spacing w:line="480" w:lineRule="auto"/>
        <w:jc w:val="center"/>
        <w:rPr>
          <w:rFonts w:ascii="宋体" w:hAnsi="宋体" w:cs="宋体"/>
          <w:b/>
          <w:color w:val="000000"/>
          <w:sz w:val="32"/>
          <w:szCs w:val="21"/>
        </w:rPr>
      </w:pPr>
    </w:p>
    <w:p>
      <w:pPr>
        <w:spacing w:line="480" w:lineRule="auto"/>
        <w:jc w:val="center"/>
        <w:rPr>
          <w:rFonts w:ascii="宋体" w:hAnsi="宋体" w:cs="宋体"/>
          <w:b/>
          <w:color w:val="000000"/>
          <w:sz w:val="32"/>
          <w:szCs w:val="21"/>
        </w:rPr>
      </w:pPr>
    </w:p>
    <w:p>
      <w:pPr>
        <w:spacing w:line="480" w:lineRule="auto"/>
        <w:jc w:val="center"/>
        <w:rPr>
          <w:rFonts w:ascii="宋体" w:hAnsi="宋体" w:cs="宋体"/>
          <w:b/>
          <w:color w:val="000000"/>
          <w:sz w:val="32"/>
          <w:szCs w:val="21"/>
        </w:rPr>
      </w:pPr>
    </w:p>
    <w:p>
      <w:pPr>
        <w:spacing w:line="480" w:lineRule="auto"/>
        <w:jc w:val="center"/>
        <w:rPr>
          <w:rFonts w:ascii="宋体" w:hAnsi="宋体" w:cs="宋体"/>
          <w:b/>
          <w:color w:val="000000"/>
          <w:sz w:val="32"/>
          <w:szCs w:val="21"/>
        </w:rPr>
      </w:pPr>
    </w:p>
    <w:p>
      <w:pPr>
        <w:spacing w:line="480" w:lineRule="auto"/>
        <w:jc w:val="center"/>
        <w:rPr>
          <w:rFonts w:ascii="宋体" w:hAnsi="宋体" w:cs="宋体"/>
          <w:b/>
          <w:color w:val="000000"/>
          <w:sz w:val="32"/>
          <w:szCs w:val="21"/>
        </w:rPr>
      </w:pPr>
    </w:p>
    <w:p>
      <w:pPr>
        <w:spacing w:line="480" w:lineRule="auto"/>
        <w:jc w:val="center"/>
        <w:rPr>
          <w:rFonts w:ascii="宋体" w:hAnsi="宋体" w:cs="宋体"/>
          <w:b/>
          <w:color w:val="000000"/>
          <w:sz w:val="32"/>
          <w:szCs w:val="21"/>
        </w:rPr>
      </w:pPr>
    </w:p>
    <w:p>
      <w:pPr>
        <w:spacing w:line="480" w:lineRule="auto"/>
        <w:jc w:val="center"/>
        <w:rPr>
          <w:rFonts w:ascii="宋体" w:hAnsi="宋体" w:cs="宋体"/>
          <w:b/>
          <w:color w:val="000000"/>
          <w:sz w:val="32"/>
          <w:szCs w:val="21"/>
        </w:rPr>
      </w:pPr>
    </w:p>
    <w:p>
      <w:pPr>
        <w:spacing w:line="480" w:lineRule="auto"/>
        <w:jc w:val="center"/>
        <w:rPr>
          <w:rFonts w:ascii="宋体" w:hAnsi="宋体" w:cs="宋体"/>
          <w:b/>
          <w:color w:val="000000"/>
          <w:sz w:val="32"/>
          <w:szCs w:val="21"/>
        </w:rPr>
      </w:pPr>
    </w:p>
    <w:p>
      <w:pPr>
        <w:spacing w:line="480" w:lineRule="auto"/>
        <w:jc w:val="center"/>
        <w:rPr>
          <w:rFonts w:ascii="宋体" w:hAnsi="宋体" w:cs="宋体"/>
          <w:b/>
          <w:color w:val="000000"/>
          <w:sz w:val="32"/>
          <w:szCs w:val="21"/>
        </w:rPr>
      </w:pPr>
    </w:p>
    <w:p>
      <w:pPr>
        <w:spacing w:line="480" w:lineRule="auto"/>
        <w:jc w:val="center"/>
        <w:rPr>
          <w:rFonts w:ascii="宋体" w:hAnsi="宋体" w:cs="宋体"/>
          <w:b/>
          <w:color w:val="000000"/>
          <w:sz w:val="32"/>
          <w:szCs w:val="21"/>
        </w:rPr>
      </w:pPr>
    </w:p>
    <w:p>
      <w:pPr>
        <w:spacing w:line="480" w:lineRule="auto"/>
        <w:jc w:val="center"/>
        <w:rPr>
          <w:rFonts w:ascii="宋体" w:hAnsi="宋体" w:cs="宋体"/>
          <w:b/>
          <w:color w:val="000000"/>
          <w:sz w:val="32"/>
          <w:szCs w:val="21"/>
        </w:rPr>
      </w:pPr>
    </w:p>
    <w:p>
      <w:pPr>
        <w:spacing w:line="480" w:lineRule="auto"/>
        <w:jc w:val="center"/>
        <w:rPr>
          <w:rFonts w:ascii="宋体" w:hAnsi="宋体" w:cs="宋体"/>
          <w:b/>
          <w:color w:val="000000"/>
          <w:sz w:val="32"/>
          <w:szCs w:val="21"/>
        </w:rPr>
      </w:pPr>
    </w:p>
    <w:p>
      <w:pPr>
        <w:spacing w:line="480" w:lineRule="auto"/>
        <w:jc w:val="center"/>
        <w:rPr>
          <w:rFonts w:ascii="宋体" w:hAnsi="宋体" w:cs="宋体"/>
          <w:b/>
          <w:color w:val="000000"/>
          <w:sz w:val="32"/>
          <w:szCs w:val="21"/>
        </w:rPr>
      </w:pPr>
    </w:p>
    <w:p>
      <w:pPr>
        <w:spacing w:line="480" w:lineRule="auto"/>
        <w:rPr>
          <w:rFonts w:ascii="宋体" w:hAnsi="宋体" w:cs="宋体"/>
          <w:b/>
          <w:color w:val="000000"/>
          <w:sz w:val="32"/>
          <w:szCs w:val="21"/>
        </w:rPr>
      </w:pPr>
    </w:p>
    <w:p>
      <w:pPr>
        <w:spacing w:line="480" w:lineRule="auto"/>
        <w:jc w:val="center"/>
        <w:outlineLvl w:val="0"/>
        <w:rPr>
          <w:rFonts w:ascii="宋体" w:hAnsi="宋体" w:cs="宋体"/>
          <w:b/>
          <w:color w:val="000000"/>
          <w:sz w:val="32"/>
          <w:szCs w:val="21"/>
        </w:rPr>
      </w:pPr>
      <w:r>
        <w:rPr>
          <w:rFonts w:hint="eastAsia" w:ascii="宋体" w:hAnsi="宋体" w:cs="宋体"/>
          <w:b/>
          <w:color w:val="000000"/>
          <w:sz w:val="32"/>
          <w:szCs w:val="21"/>
        </w:rPr>
        <w:t>第三章  采购需求及政府采购合同（拟签订的合同文本）</w:t>
      </w:r>
      <w:bookmarkEnd w:id="174"/>
    </w:p>
    <w:p>
      <w:pPr>
        <w:spacing w:line="480" w:lineRule="auto"/>
        <w:jc w:val="center"/>
        <w:outlineLvl w:val="1"/>
        <w:rPr>
          <w:rFonts w:ascii="宋体" w:hAnsi="宋体"/>
          <w:color w:val="000000"/>
          <w:szCs w:val="21"/>
        </w:rPr>
      </w:pPr>
      <w:bookmarkStart w:id="175" w:name="_Toc122338094"/>
      <w:r>
        <w:rPr>
          <w:rFonts w:hint="eastAsia" w:ascii="宋体" w:hAnsi="宋体" w:cs="宋体"/>
          <w:b/>
          <w:bCs/>
          <w:color w:val="000000"/>
          <w:szCs w:val="21"/>
        </w:rPr>
        <w:t>采购需求及</w:t>
      </w:r>
      <w:r>
        <w:rPr>
          <w:rFonts w:hint="eastAsia" w:ascii="宋体" w:hAnsi="宋体"/>
          <w:b/>
          <w:color w:val="000000"/>
          <w:szCs w:val="21"/>
        </w:rPr>
        <w:t>政府采购合同</w:t>
      </w:r>
      <w:r>
        <w:rPr>
          <w:rFonts w:hint="eastAsia" w:ascii="宋体" w:hAnsi="宋体" w:cs="宋体"/>
          <w:b/>
          <w:bCs/>
          <w:color w:val="000000"/>
          <w:szCs w:val="21"/>
        </w:rPr>
        <w:t>前附表</w:t>
      </w:r>
      <w:bookmarkEnd w:id="175"/>
    </w:p>
    <w:p>
      <w:pPr>
        <w:spacing w:line="480" w:lineRule="auto"/>
        <w:ind w:left="420"/>
        <w:jc w:val="center"/>
        <w:rPr>
          <w:rFonts w:ascii="宋体" w:hAnsi="宋体"/>
          <w:b/>
          <w:color w:val="000000"/>
        </w:rPr>
      </w:pPr>
      <w:r>
        <w:rPr>
          <w:rFonts w:hint="eastAsia" w:ascii="宋体" w:hAnsi="宋体"/>
          <w:b/>
          <w:color w:val="000000"/>
        </w:rPr>
        <w:t>★本表是</w:t>
      </w:r>
      <w:r>
        <w:rPr>
          <w:rFonts w:hint="eastAsia" w:ascii="宋体" w:hAnsi="宋体" w:cs="宋体"/>
          <w:b/>
          <w:bCs/>
          <w:color w:val="000000"/>
          <w:szCs w:val="21"/>
        </w:rPr>
        <w:t>采购需求及</w:t>
      </w:r>
      <w:r>
        <w:rPr>
          <w:rFonts w:hint="eastAsia" w:ascii="宋体" w:hAnsi="宋体"/>
          <w:b/>
          <w:color w:val="000000"/>
          <w:szCs w:val="21"/>
        </w:rPr>
        <w:t>政府采购合同</w:t>
      </w:r>
      <w:r>
        <w:rPr>
          <w:rFonts w:hint="eastAsia" w:ascii="宋体" w:hAnsi="宋体"/>
          <w:b/>
          <w:color w:val="000000"/>
        </w:rPr>
        <w:t>相关内容的</w:t>
      </w:r>
      <w:r>
        <w:rPr>
          <w:rFonts w:ascii="宋体" w:hAnsi="宋体"/>
          <w:b/>
          <w:color w:val="000000"/>
        </w:rPr>
        <w:t>说明和补充</w:t>
      </w:r>
      <w:r>
        <w:rPr>
          <w:rFonts w:hint="eastAsia" w:ascii="宋体" w:hAnsi="宋体"/>
          <w:b/>
          <w:color w:val="000000"/>
        </w:rPr>
        <w:t>，如有矛盾，应以本表为准。</w:t>
      </w:r>
    </w:p>
    <w:tbl>
      <w:tblPr>
        <w:tblStyle w:val="26"/>
        <w:tblW w:w="1007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2902"/>
        <w:gridCol w:w="717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2902" w:type="dxa"/>
            <w:noWrap/>
            <w:vAlign w:val="center"/>
          </w:tcPr>
          <w:p>
            <w:pPr>
              <w:spacing w:line="276" w:lineRule="auto"/>
              <w:jc w:val="center"/>
              <w:rPr>
                <w:rFonts w:ascii="宋体" w:hAnsi="宋体"/>
                <w:b/>
                <w:color w:val="000000"/>
              </w:rPr>
            </w:pPr>
            <w:r>
              <w:rPr>
                <w:rFonts w:hint="eastAsia" w:ascii="宋体" w:hAnsi="宋体"/>
                <w:b/>
                <w:color w:val="000000"/>
              </w:rPr>
              <w:t>内容</w:t>
            </w:r>
          </w:p>
        </w:tc>
        <w:tc>
          <w:tcPr>
            <w:tcW w:w="7170" w:type="dxa"/>
            <w:noWrap/>
            <w:vAlign w:val="center"/>
          </w:tcPr>
          <w:p>
            <w:pPr>
              <w:spacing w:line="276" w:lineRule="auto"/>
              <w:jc w:val="center"/>
              <w:rPr>
                <w:rFonts w:ascii="宋体" w:hAnsi="宋体"/>
                <w:b/>
                <w:color w:val="000000"/>
              </w:rPr>
            </w:pPr>
            <w:r>
              <w:rPr>
                <w:rFonts w:hint="eastAsia" w:ascii="宋体" w:hAnsi="宋体"/>
                <w:b/>
                <w:color w:val="000000"/>
              </w:rPr>
              <w:t>相关要求（说明）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21" w:hRule="atLeast"/>
          <w:jc w:val="center"/>
        </w:trPr>
        <w:tc>
          <w:tcPr>
            <w:tcW w:w="2902" w:type="dxa"/>
            <w:noWrap/>
            <w:vAlign w:val="center"/>
          </w:tcPr>
          <w:p>
            <w:pPr>
              <w:jc w:val="center"/>
              <w:rPr>
                <w:b/>
                <w:color w:val="000000"/>
              </w:rPr>
            </w:pPr>
            <w:r>
              <w:rPr>
                <w:rFonts w:hint="eastAsia"/>
                <w:b/>
                <w:color w:val="000000"/>
              </w:rPr>
              <w:t>采购标的需实现的功能或者目标，采购标的的数量，</w:t>
            </w:r>
            <w:r>
              <w:rPr>
                <w:b/>
                <w:color w:val="000000"/>
              </w:rPr>
              <w:t>所有技术、服务、安全等要求</w:t>
            </w:r>
          </w:p>
        </w:tc>
        <w:tc>
          <w:tcPr>
            <w:tcW w:w="7170" w:type="dxa"/>
            <w:noWrap/>
            <w:vAlign w:val="center"/>
          </w:tcPr>
          <w:p>
            <w:pPr>
              <w:spacing w:line="276" w:lineRule="auto"/>
              <w:jc w:val="center"/>
              <w:rPr>
                <w:color w:val="000000"/>
              </w:rPr>
            </w:pPr>
            <w:r>
              <w:rPr>
                <w:rFonts w:hint="eastAsia"/>
                <w:color w:val="000000"/>
              </w:rPr>
              <w:t>略，详见“采购需求”部分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285" w:hRule="atLeast"/>
          <w:jc w:val="center"/>
        </w:trPr>
        <w:tc>
          <w:tcPr>
            <w:tcW w:w="2902" w:type="dxa"/>
            <w:noWrap/>
            <w:vAlign w:val="center"/>
          </w:tcPr>
          <w:p>
            <w:pPr>
              <w:spacing w:line="276" w:lineRule="auto"/>
              <w:jc w:val="center"/>
              <w:rPr>
                <w:b/>
                <w:color w:val="000000"/>
              </w:rPr>
            </w:pPr>
            <w:r>
              <w:rPr>
                <w:rFonts w:hint="eastAsia" w:ascii="宋体" w:hAnsi="宋体"/>
                <w:b/>
                <w:color w:val="000000"/>
              </w:rPr>
              <w:t>★工期</w:t>
            </w:r>
          </w:p>
        </w:tc>
        <w:tc>
          <w:tcPr>
            <w:tcW w:w="7170" w:type="dxa"/>
            <w:noWrap/>
            <w:vAlign w:val="center"/>
          </w:tcPr>
          <w:p>
            <w:pPr>
              <w:spacing w:line="276" w:lineRule="auto"/>
              <w:ind w:firstLine="420" w:firstLineChars="200"/>
              <w:jc w:val="left"/>
              <w:rPr>
                <w:color w:val="000000"/>
                <w:highlight w:val="yellow"/>
              </w:rPr>
            </w:pPr>
            <w:r>
              <w:rPr>
                <w:rFonts w:hint="eastAsia"/>
              </w:rPr>
              <w:t>自合同签订之日起，45日历天供货、安装完毕；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255" w:hRule="atLeast"/>
          <w:jc w:val="center"/>
        </w:trPr>
        <w:tc>
          <w:tcPr>
            <w:tcW w:w="2902" w:type="dxa"/>
            <w:noWrap/>
            <w:vAlign w:val="center"/>
          </w:tcPr>
          <w:p>
            <w:pPr>
              <w:spacing w:line="276" w:lineRule="auto"/>
              <w:jc w:val="center"/>
              <w:rPr>
                <w:rFonts w:ascii="宋体" w:hAnsi="宋体"/>
                <w:b/>
                <w:color w:val="000000"/>
              </w:rPr>
            </w:pPr>
            <w:r>
              <w:rPr>
                <w:rFonts w:hint="eastAsia" w:ascii="宋体" w:hAnsi="宋体"/>
                <w:b/>
                <w:color w:val="000000"/>
              </w:rPr>
              <w:t>★质保期</w:t>
            </w:r>
          </w:p>
        </w:tc>
        <w:tc>
          <w:tcPr>
            <w:tcW w:w="7170" w:type="dxa"/>
            <w:noWrap/>
            <w:vAlign w:val="center"/>
          </w:tcPr>
          <w:p>
            <w:pPr>
              <w:spacing w:line="276" w:lineRule="auto"/>
              <w:ind w:firstLine="420" w:firstLineChars="200"/>
              <w:jc w:val="left"/>
            </w:pPr>
            <w:r>
              <w:rPr>
                <w:rFonts w:hint="eastAsia"/>
              </w:rPr>
              <w:t>不少于3年，质保期自验收合格之日起算。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437" w:hRule="atLeast"/>
          <w:jc w:val="center"/>
        </w:trPr>
        <w:tc>
          <w:tcPr>
            <w:tcW w:w="2902" w:type="dxa"/>
            <w:noWrap/>
            <w:vAlign w:val="center"/>
          </w:tcPr>
          <w:p>
            <w:pPr>
              <w:spacing w:line="276" w:lineRule="auto"/>
              <w:jc w:val="center"/>
              <w:rPr>
                <w:b/>
                <w:color w:val="000000"/>
              </w:rPr>
            </w:pPr>
            <w:r>
              <w:rPr>
                <w:rFonts w:hint="eastAsia" w:ascii="宋体" w:hAnsi="宋体"/>
                <w:b/>
                <w:color w:val="000000"/>
              </w:rPr>
              <w:t>★</w:t>
            </w:r>
            <w:r>
              <w:rPr>
                <w:rFonts w:hint="eastAsia"/>
                <w:b/>
                <w:color w:val="000000"/>
              </w:rPr>
              <w:t>交付或者实施的地点</w:t>
            </w:r>
          </w:p>
          <w:p>
            <w:pPr>
              <w:spacing w:line="276" w:lineRule="auto"/>
              <w:jc w:val="center"/>
              <w:rPr>
                <w:b/>
                <w:color w:val="000000"/>
              </w:rPr>
            </w:pPr>
            <w:r>
              <w:rPr>
                <w:rFonts w:hint="eastAsia"/>
                <w:b/>
                <w:color w:val="000000"/>
              </w:rPr>
              <w:t>（</w:t>
            </w:r>
            <w:r>
              <w:rPr>
                <w:b/>
                <w:color w:val="000000"/>
              </w:rPr>
              <w:t>交付</w:t>
            </w:r>
            <w:r>
              <w:rPr>
                <w:rFonts w:hint="eastAsia"/>
                <w:b/>
                <w:color w:val="000000"/>
              </w:rPr>
              <w:t>地点或施工地点）</w:t>
            </w:r>
          </w:p>
        </w:tc>
        <w:tc>
          <w:tcPr>
            <w:tcW w:w="7170" w:type="dxa"/>
            <w:noWrap/>
            <w:vAlign w:val="center"/>
          </w:tcPr>
          <w:p>
            <w:pPr>
              <w:spacing w:line="276" w:lineRule="auto"/>
              <w:jc w:val="center"/>
              <w:rPr>
                <w:color w:val="000000"/>
              </w:rPr>
            </w:pPr>
            <w:r>
              <w:rPr>
                <w:rFonts w:hint="eastAsia"/>
                <w:color w:val="000000"/>
              </w:rPr>
              <w:t>江苏医药职业学院指定地点（具体地点以采购人另行通知的为准）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507" w:hRule="atLeast"/>
          <w:jc w:val="center"/>
        </w:trPr>
        <w:tc>
          <w:tcPr>
            <w:tcW w:w="2902" w:type="dxa"/>
            <w:noWrap/>
            <w:vAlign w:val="center"/>
          </w:tcPr>
          <w:p>
            <w:pPr>
              <w:spacing w:line="276" w:lineRule="auto"/>
              <w:jc w:val="center"/>
              <w:rPr>
                <w:rFonts w:ascii="宋体" w:hAnsi="宋体"/>
                <w:b/>
                <w:color w:val="000000"/>
              </w:rPr>
            </w:pPr>
            <w:r>
              <w:rPr>
                <w:rFonts w:hint="eastAsia" w:ascii="宋体" w:hAnsi="宋体"/>
                <w:b/>
              </w:rPr>
              <w:t>★采购资金的支付方式、时间、条件（付款方式）</w:t>
            </w:r>
          </w:p>
        </w:tc>
        <w:tc>
          <w:tcPr>
            <w:tcW w:w="7170" w:type="dxa"/>
            <w:noWrap/>
            <w:vAlign w:val="center"/>
          </w:tcPr>
          <w:p>
            <w:pPr>
              <w:spacing w:line="276" w:lineRule="auto"/>
              <w:ind w:firstLine="422" w:firstLineChars="200"/>
              <w:rPr>
                <w:rFonts w:ascii="宋体" w:hAnsi="宋体"/>
                <w:b/>
              </w:rPr>
            </w:pPr>
            <w:r>
              <w:rPr>
                <w:rFonts w:hint="eastAsia" w:ascii="宋体" w:hAnsi="宋体"/>
                <w:b/>
              </w:rPr>
              <w:t xml:space="preserve">1.支付方式：电汇或转账等非现金方式  </w:t>
            </w:r>
          </w:p>
          <w:p>
            <w:pPr>
              <w:spacing w:line="276" w:lineRule="auto"/>
              <w:ind w:firstLine="422" w:firstLineChars="200"/>
              <w:rPr>
                <w:rFonts w:ascii="宋体" w:hAnsi="宋体"/>
                <w:b/>
                <w:bCs/>
                <w:szCs w:val="21"/>
              </w:rPr>
            </w:pPr>
            <w:r>
              <w:rPr>
                <w:rFonts w:hint="eastAsia" w:ascii="宋体" w:hAnsi="宋体"/>
                <w:b/>
                <w:bCs/>
                <w:szCs w:val="21"/>
              </w:rPr>
              <w:t>2.支付时间、条件付款方式：</w:t>
            </w:r>
          </w:p>
          <w:p>
            <w:pPr>
              <w:pStyle w:val="11"/>
              <w:spacing w:line="276" w:lineRule="auto"/>
              <w:ind w:firstLine="422"/>
              <w:rPr>
                <w:color w:val="000000"/>
              </w:rPr>
            </w:pPr>
            <w:r>
              <w:rPr>
                <w:rFonts w:hint="eastAsia"/>
                <w:b/>
                <w:color w:val="auto"/>
                <w:szCs w:val="24"/>
              </w:rPr>
              <w:t>项目验收合格后无质量问题支付合同价的70%款项；审计合格后付至审计价的90%，余款待验收合格质保结束后无质量问题一次性无息付清。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11" w:hRule="atLeast"/>
          <w:jc w:val="center"/>
        </w:trPr>
        <w:tc>
          <w:tcPr>
            <w:tcW w:w="10072" w:type="dxa"/>
            <w:gridSpan w:val="2"/>
            <w:noWrap/>
            <w:vAlign w:val="center"/>
          </w:tcPr>
          <w:p>
            <w:pPr>
              <w:spacing w:line="276" w:lineRule="auto"/>
              <w:jc w:val="center"/>
              <w:rPr>
                <w:rFonts w:ascii="宋体" w:hAnsi="宋体"/>
                <w:b/>
                <w:color w:val="000000"/>
              </w:rPr>
            </w:pPr>
            <w:r>
              <w:rPr>
                <w:rFonts w:hint="eastAsia" w:ascii="宋体" w:hAnsi="宋体"/>
                <w:b/>
                <w:color w:val="000000"/>
              </w:rPr>
              <w:t>本表当中，加★部分为实质性要求，不接受负偏离。</w:t>
            </w:r>
          </w:p>
        </w:tc>
      </w:tr>
    </w:tbl>
    <w:p>
      <w:pPr>
        <w:pStyle w:val="2"/>
        <w:jc w:val="center"/>
        <w:rPr>
          <w:rFonts w:ascii="宋体" w:hAnsi="宋体" w:eastAsia="宋体" w:cs="宋体"/>
          <w:b/>
        </w:rPr>
      </w:pPr>
      <w:bookmarkStart w:id="176" w:name="_Toc122338096"/>
    </w:p>
    <w:p>
      <w:pPr>
        <w:pStyle w:val="2"/>
        <w:jc w:val="center"/>
        <w:rPr>
          <w:rFonts w:ascii="宋体" w:hAnsi="宋体" w:eastAsia="宋体" w:cs="宋体"/>
          <w:b/>
        </w:rPr>
      </w:pPr>
    </w:p>
    <w:p>
      <w:pPr>
        <w:pStyle w:val="32"/>
        <w:outlineLvl w:val="9"/>
      </w:pPr>
    </w:p>
    <w:p>
      <w:pPr>
        <w:pStyle w:val="34"/>
      </w:pPr>
    </w:p>
    <w:p>
      <w:pPr>
        <w:pStyle w:val="43"/>
      </w:pPr>
    </w:p>
    <w:p>
      <w:pPr>
        <w:pStyle w:val="13"/>
      </w:pPr>
    </w:p>
    <w:p>
      <w:pPr>
        <w:pStyle w:val="2"/>
        <w:numPr>
          <w:ilvl w:val="0"/>
          <w:numId w:val="5"/>
        </w:numPr>
        <w:jc w:val="center"/>
        <w:outlineLvl w:val="1"/>
        <w:rPr>
          <w:rFonts w:ascii="宋体" w:hAnsi="宋体" w:eastAsia="宋体" w:cs="宋体"/>
          <w:b/>
        </w:rPr>
      </w:pPr>
      <w:r>
        <w:rPr>
          <w:rFonts w:hint="eastAsia" w:ascii="宋体" w:hAnsi="宋体" w:eastAsia="宋体" w:cs="宋体"/>
          <w:b/>
        </w:rPr>
        <w:t xml:space="preserve"> 采购需求</w:t>
      </w:r>
      <w:bookmarkEnd w:id="176"/>
    </w:p>
    <w:p>
      <w:pPr>
        <w:spacing w:line="336" w:lineRule="auto"/>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一、项目内容：</w:t>
      </w:r>
    </w:p>
    <w:p>
      <w:pPr>
        <w:spacing w:line="336" w:lineRule="auto"/>
        <w:ind w:firstLine="420" w:firstLineChars="200"/>
        <w:rPr>
          <w:rFonts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拟采购高速冷冻离心机、手持式气溶胶监测仪、台式气溶胶监测仪、心肺复苏模型（半身）、心肺复苏模型（全身）、便携式袖珍噪声测量仪器、声级校准器等公共卫生相关专业常规配备仪器。</w:t>
      </w:r>
    </w:p>
    <w:p>
      <w:pPr>
        <w:spacing w:line="336" w:lineRule="auto"/>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二、主要技术参数：</w:t>
      </w:r>
    </w:p>
    <w:tbl>
      <w:tblPr>
        <w:tblStyle w:val="26"/>
        <w:tblW w:w="100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2"/>
        <w:gridCol w:w="1425"/>
        <w:gridCol w:w="5490"/>
        <w:gridCol w:w="795"/>
        <w:gridCol w:w="750"/>
        <w:gridCol w:w="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02" w:type="dxa"/>
            <w:vAlign w:val="center"/>
          </w:tcPr>
          <w:p>
            <w:pPr>
              <w:widowControl/>
              <w:jc w:val="center"/>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序号</w:t>
            </w:r>
          </w:p>
        </w:tc>
        <w:tc>
          <w:tcPr>
            <w:tcW w:w="1425" w:type="dxa"/>
            <w:vAlign w:val="center"/>
          </w:tcPr>
          <w:p>
            <w:pPr>
              <w:widowControl/>
              <w:jc w:val="center"/>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名称</w:t>
            </w:r>
          </w:p>
        </w:tc>
        <w:tc>
          <w:tcPr>
            <w:tcW w:w="5490" w:type="dxa"/>
            <w:tcBorders>
              <w:top w:val="single" w:color="000000" w:sz="4" w:space="0"/>
            </w:tcBorders>
            <w:vAlign w:val="center"/>
          </w:tcPr>
          <w:p>
            <w:pPr>
              <w:widowControl/>
              <w:jc w:val="center"/>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主要技术需求</w:t>
            </w:r>
          </w:p>
        </w:tc>
        <w:tc>
          <w:tcPr>
            <w:tcW w:w="795" w:type="dxa"/>
            <w:vAlign w:val="center"/>
          </w:tcPr>
          <w:p>
            <w:pPr>
              <w:widowControl/>
              <w:jc w:val="center"/>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数量</w:t>
            </w:r>
          </w:p>
        </w:tc>
        <w:tc>
          <w:tcPr>
            <w:tcW w:w="750" w:type="dxa"/>
            <w:vAlign w:val="center"/>
          </w:tcPr>
          <w:p>
            <w:pPr>
              <w:widowControl/>
              <w:jc w:val="center"/>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单位</w:t>
            </w:r>
          </w:p>
        </w:tc>
        <w:tc>
          <w:tcPr>
            <w:tcW w:w="750" w:type="dxa"/>
            <w:vAlign w:val="center"/>
          </w:tcPr>
          <w:p>
            <w:pPr>
              <w:widowControl/>
              <w:jc w:val="center"/>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02" w:type="dxa"/>
            <w:vAlign w:val="center"/>
          </w:tcPr>
          <w:p>
            <w:pPr>
              <w:widowControl/>
              <w:spacing w:line="360" w:lineRule="exact"/>
              <w:jc w:val="center"/>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1</w:t>
            </w:r>
          </w:p>
        </w:tc>
        <w:tc>
          <w:tcPr>
            <w:tcW w:w="1425" w:type="dxa"/>
            <w:vAlign w:val="center"/>
          </w:tcPr>
          <w:p>
            <w:pPr>
              <w:widowControl/>
              <w:spacing w:line="360" w:lineRule="exact"/>
              <w:jc w:val="center"/>
            </w:pPr>
            <w:r>
              <w:rPr>
                <w:rFonts w:hint="eastAsia"/>
              </w:rPr>
              <w:t>高速冷冻离心机</w:t>
            </w:r>
          </w:p>
          <w:p>
            <w:pPr>
              <w:pStyle w:val="2"/>
              <w:rPr>
                <w:rFonts w:eastAsiaTheme="minorEastAsia"/>
              </w:rPr>
            </w:pPr>
            <w:r>
              <w:rPr>
                <w:rFonts w:hint="eastAsia" w:asciiTheme="minorEastAsia" w:hAnsiTheme="minorEastAsia" w:eastAsiaTheme="minorEastAsia" w:cstheme="minorEastAsia"/>
                <w:b/>
                <w:bCs/>
                <w:sz w:val="21"/>
                <w:szCs w:val="21"/>
              </w:rPr>
              <w:t>（核心产品）</w:t>
            </w:r>
          </w:p>
        </w:tc>
        <w:tc>
          <w:tcPr>
            <w:tcW w:w="5490" w:type="dxa"/>
            <w:vAlign w:val="center"/>
          </w:tcPr>
          <w:p>
            <w:pPr>
              <w:spacing w:line="360" w:lineRule="exact"/>
              <w:ind w:firstLine="422" w:firstLineChars="200"/>
              <w:outlineLvl w:val="7"/>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1、设备参数</w:t>
            </w:r>
          </w:p>
          <w:p>
            <w:pPr>
              <w:spacing w:line="360" w:lineRule="exact"/>
              <w:ind w:firstLine="420" w:firstLineChars="200"/>
              <w:jc w:val="left"/>
              <w:outlineLvl w:val="7"/>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 ★最高转速≥26,000 rpm，最大相对离心力≥55,000 ×g；；</w:t>
            </w:r>
          </w:p>
          <w:p>
            <w:pPr>
              <w:spacing w:line="360" w:lineRule="exact"/>
              <w:ind w:firstLine="420" w:firstLineChars="200"/>
              <w:outlineLvl w:val="7"/>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 转速控制精度≤10 rpm或者0.1%；</w:t>
            </w:r>
          </w:p>
          <w:p>
            <w:pPr>
              <w:pStyle w:val="19"/>
              <w:spacing w:line="360" w:lineRule="exact"/>
              <w:ind w:left="0" w:leftChars="0"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 制冷系统采用环境保护冷冻剂，温度控制范围为-20℃至40℃；降温至4℃所需时间10分钟内；所有转头在最高转速下都可以保持4℃。</w:t>
            </w:r>
          </w:p>
          <w:p>
            <w:pPr>
              <w:spacing w:line="36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 安全操作功能包括转头不平衡检测、超速保护、超温保护等；</w:t>
            </w:r>
          </w:p>
          <w:p>
            <w:pPr>
              <w:pStyle w:val="19"/>
              <w:spacing w:line="360" w:lineRule="exact"/>
              <w:ind w:left="0" w:leftChars="0"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 噪音：＜60 dB；</w:t>
            </w:r>
          </w:p>
          <w:p>
            <w:pPr>
              <w:spacing w:line="36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 体型小，为台式离心机。</w:t>
            </w:r>
          </w:p>
          <w:p>
            <w:pPr>
              <w:spacing w:line="360" w:lineRule="exact"/>
              <w:ind w:firstLine="422" w:firstLineChars="200"/>
              <w:outlineLvl w:val="7"/>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2、配置清单</w:t>
            </w:r>
          </w:p>
          <w:p>
            <w:pPr>
              <w:spacing w:line="360" w:lineRule="exact"/>
              <w:ind w:firstLine="420" w:firstLineChars="200"/>
              <w:outlineLvl w:val="7"/>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 主机一台；</w:t>
            </w:r>
          </w:p>
          <w:p>
            <w:pPr>
              <w:spacing w:line="360" w:lineRule="exact"/>
              <w:ind w:left="420" w:leftChars="200"/>
              <w:outlineLvl w:val="7"/>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 转头规格1.5mL；</w:t>
            </w:r>
          </w:p>
          <w:p>
            <w:pPr>
              <w:spacing w:line="360" w:lineRule="exact"/>
              <w:ind w:left="420" w:leftChars="200"/>
              <w:outlineLvl w:val="7"/>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 转头规格50mL。</w:t>
            </w:r>
          </w:p>
        </w:tc>
        <w:tc>
          <w:tcPr>
            <w:tcW w:w="795" w:type="dxa"/>
            <w:vAlign w:val="center"/>
          </w:tcPr>
          <w:p>
            <w:pPr>
              <w:widowControl/>
              <w:spacing w:line="36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w:t>
            </w:r>
          </w:p>
        </w:tc>
        <w:tc>
          <w:tcPr>
            <w:tcW w:w="750" w:type="dxa"/>
            <w:vAlign w:val="center"/>
          </w:tcPr>
          <w:p>
            <w:pPr>
              <w:widowControl/>
              <w:spacing w:line="36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台</w:t>
            </w:r>
          </w:p>
        </w:tc>
        <w:tc>
          <w:tcPr>
            <w:tcW w:w="750" w:type="dxa"/>
            <w:vAlign w:val="center"/>
          </w:tcPr>
          <w:p>
            <w:pPr>
              <w:widowControl/>
              <w:spacing w:line="36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接受进口设备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02" w:type="dxa"/>
            <w:vAlign w:val="center"/>
          </w:tcPr>
          <w:p>
            <w:pPr>
              <w:widowControl/>
              <w:spacing w:line="360" w:lineRule="exact"/>
              <w:jc w:val="center"/>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2</w:t>
            </w:r>
          </w:p>
        </w:tc>
        <w:tc>
          <w:tcPr>
            <w:tcW w:w="1425" w:type="dxa"/>
            <w:vAlign w:val="center"/>
          </w:tcPr>
          <w:p>
            <w:pPr>
              <w:widowControl/>
              <w:jc w:val="center"/>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kern w:val="0"/>
                <w:szCs w:val="21"/>
              </w:rPr>
              <w:t>手持式气溶胶监测仪</w:t>
            </w:r>
          </w:p>
        </w:tc>
        <w:tc>
          <w:tcPr>
            <w:tcW w:w="5490" w:type="dxa"/>
            <w:vAlign w:val="center"/>
          </w:tcPr>
          <w:p>
            <w:pPr>
              <w:spacing w:line="360" w:lineRule="exact"/>
              <w:ind w:firstLine="422" w:firstLineChars="200"/>
              <w:outlineLvl w:val="7"/>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1、设备参数</w:t>
            </w:r>
          </w:p>
          <w:p>
            <w:pPr>
              <w:spacing w:line="360" w:lineRule="exact"/>
              <w:ind w:firstLine="420" w:firstLineChars="200"/>
              <w:outlineLvl w:val="7"/>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 手持式，可充电；</w:t>
            </w:r>
          </w:p>
          <w:p>
            <w:pPr>
              <w:spacing w:line="360" w:lineRule="exact"/>
              <w:ind w:firstLine="420" w:firstLineChars="200"/>
              <w:outlineLvl w:val="7"/>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 传感器类型：90°光散射；</w:t>
            </w:r>
          </w:p>
          <w:p>
            <w:pPr>
              <w:spacing w:line="360" w:lineRule="exact"/>
              <w:ind w:firstLine="420" w:firstLineChars="200"/>
              <w:outlineLvl w:val="7"/>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 气溶胶浓度范围：0.001-150 mg/m</w:t>
            </w:r>
            <w:r>
              <w:rPr>
                <w:rFonts w:hint="eastAsia" w:asciiTheme="minorEastAsia" w:hAnsiTheme="minorEastAsia" w:eastAsiaTheme="minorEastAsia" w:cstheme="minorEastAsia"/>
                <w:szCs w:val="21"/>
                <w:vertAlign w:val="superscript"/>
              </w:rPr>
              <w:t>3</w:t>
            </w:r>
            <w:r>
              <w:rPr>
                <w:rFonts w:hint="eastAsia" w:asciiTheme="minorEastAsia" w:hAnsiTheme="minorEastAsia" w:eastAsiaTheme="minorEastAsia" w:cstheme="minorEastAsia"/>
                <w:szCs w:val="21"/>
              </w:rPr>
              <w:t>；</w:t>
            </w:r>
          </w:p>
          <w:p>
            <w:pPr>
              <w:spacing w:line="360" w:lineRule="exact"/>
              <w:ind w:firstLine="420" w:firstLineChars="200"/>
              <w:outlineLvl w:val="7"/>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 分辨率:±0.1%读数，0.001 mg/m</w:t>
            </w:r>
            <w:r>
              <w:rPr>
                <w:rFonts w:hint="eastAsia" w:asciiTheme="minorEastAsia" w:hAnsiTheme="minorEastAsia" w:eastAsiaTheme="minorEastAsia" w:cstheme="minorEastAsia"/>
                <w:szCs w:val="21"/>
                <w:vertAlign w:val="superscript"/>
              </w:rPr>
              <w:t>3</w:t>
            </w:r>
            <w:r>
              <w:rPr>
                <w:rFonts w:hint="eastAsia" w:asciiTheme="minorEastAsia" w:hAnsiTheme="minorEastAsia" w:eastAsiaTheme="minorEastAsia" w:cstheme="minorEastAsia"/>
                <w:szCs w:val="21"/>
              </w:rPr>
              <w:t xml:space="preserve"> 取大值；</w:t>
            </w:r>
          </w:p>
          <w:p>
            <w:pPr>
              <w:spacing w:line="360" w:lineRule="exact"/>
              <w:ind w:firstLine="420" w:firstLineChars="200"/>
              <w:outlineLvl w:val="7"/>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 可检测大气颗粒物粒径尺寸：0.1-15μm；</w:t>
            </w:r>
          </w:p>
          <w:p>
            <w:pPr>
              <w:spacing w:line="360" w:lineRule="exact"/>
              <w:ind w:firstLine="420" w:firstLineChars="200"/>
              <w:outlineLvl w:val="7"/>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 ★可测量大气颗粒物类型：PM1、PM2.5、PM10和全粒径浓度；</w:t>
            </w:r>
          </w:p>
          <w:p>
            <w:pPr>
              <w:spacing w:line="360" w:lineRule="exact"/>
              <w:ind w:firstLine="420" w:firstLineChars="200"/>
              <w:outlineLvl w:val="7"/>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(7)采样流量：2.5-3.5 L/min；</w:t>
            </w:r>
          </w:p>
          <w:p>
            <w:pPr>
              <w:spacing w:line="360" w:lineRule="exact"/>
              <w:ind w:firstLine="420" w:firstLineChars="200"/>
              <w:outlineLvl w:val="7"/>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(8)可记录采样数据。</w:t>
            </w:r>
          </w:p>
          <w:p>
            <w:pPr>
              <w:spacing w:line="360" w:lineRule="exact"/>
              <w:ind w:firstLine="422" w:firstLineChars="200"/>
              <w:outlineLvl w:val="7"/>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2、配置清单</w:t>
            </w:r>
          </w:p>
          <w:p>
            <w:pPr>
              <w:spacing w:line="360" w:lineRule="exact"/>
              <w:ind w:firstLine="420" w:firstLineChars="200"/>
              <w:outlineLvl w:val="7"/>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 主机：1个；</w:t>
            </w:r>
          </w:p>
          <w:p>
            <w:pPr>
              <w:spacing w:line="360" w:lineRule="exact"/>
              <w:ind w:firstLine="420" w:firstLineChars="200"/>
              <w:outlineLvl w:val="7"/>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 光学传感器：1个；</w:t>
            </w:r>
          </w:p>
          <w:p>
            <w:pPr>
              <w:spacing w:line="360" w:lineRule="exact"/>
              <w:ind w:firstLine="420" w:firstLineChars="200"/>
              <w:outlineLvl w:val="7"/>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szCs w:val="21"/>
              </w:rPr>
              <w:t>(3) 手提箱：1个。</w:t>
            </w:r>
          </w:p>
        </w:tc>
        <w:tc>
          <w:tcPr>
            <w:tcW w:w="795" w:type="dxa"/>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w:t>
            </w:r>
          </w:p>
        </w:tc>
        <w:tc>
          <w:tcPr>
            <w:tcW w:w="750" w:type="dxa"/>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台</w:t>
            </w:r>
          </w:p>
        </w:tc>
        <w:tc>
          <w:tcPr>
            <w:tcW w:w="750" w:type="dxa"/>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接受进口设备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02" w:type="dxa"/>
            <w:vAlign w:val="center"/>
          </w:tcPr>
          <w:p>
            <w:pPr>
              <w:widowControl/>
              <w:spacing w:line="360" w:lineRule="exact"/>
              <w:jc w:val="center"/>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3</w:t>
            </w:r>
          </w:p>
        </w:tc>
        <w:tc>
          <w:tcPr>
            <w:tcW w:w="1425" w:type="dxa"/>
            <w:vAlign w:val="center"/>
          </w:tcPr>
          <w:p>
            <w:pPr>
              <w:widowControl/>
              <w:jc w:val="center"/>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kern w:val="0"/>
                <w:szCs w:val="21"/>
              </w:rPr>
              <w:t>台式气溶胶监测仪</w:t>
            </w:r>
          </w:p>
        </w:tc>
        <w:tc>
          <w:tcPr>
            <w:tcW w:w="5490" w:type="dxa"/>
            <w:vAlign w:val="center"/>
          </w:tcPr>
          <w:p>
            <w:pPr>
              <w:spacing w:line="360" w:lineRule="exact"/>
              <w:ind w:firstLine="422" w:firstLineChars="200"/>
              <w:jc w:val="left"/>
              <w:outlineLvl w:val="7"/>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1、设备参数</w:t>
            </w:r>
          </w:p>
          <w:p>
            <w:pPr>
              <w:spacing w:line="360" w:lineRule="exact"/>
              <w:ind w:firstLine="420" w:firstLineChars="200"/>
              <w:outlineLvl w:val="7"/>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 台式，可充电；</w:t>
            </w:r>
          </w:p>
          <w:p>
            <w:pPr>
              <w:spacing w:line="360" w:lineRule="exact"/>
              <w:ind w:firstLine="420" w:firstLineChars="200"/>
              <w:outlineLvl w:val="7"/>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 传感器类型：90°光散射；</w:t>
            </w:r>
          </w:p>
          <w:p>
            <w:pPr>
              <w:spacing w:line="360" w:lineRule="exact"/>
              <w:ind w:firstLine="420" w:firstLineChars="200"/>
              <w:outlineLvl w:val="7"/>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 气溶胶浓度范围：0.001-400 mg/m</w:t>
            </w:r>
            <w:r>
              <w:rPr>
                <w:rFonts w:hint="eastAsia" w:asciiTheme="minorEastAsia" w:hAnsiTheme="minorEastAsia" w:eastAsiaTheme="minorEastAsia" w:cstheme="minorEastAsia"/>
                <w:szCs w:val="21"/>
                <w:vertAlign w:val="superscript"/>
              </w:rPr>
              <w:t>3</w:t>
            </w:r>
            <w:r>
              <w:rPr>
                <w:rFonts w:hint="eastAsia" w:asciiTheme="minorEastAsia" w:hAnsiTheme="minorEastAsia" w:eastAsiaTheme="minorEastAsia" w:cstheme="minorEastAsia"/>
                <w:szCs w:val="21"/>
              </w:rPr>
              <w:t>；</w:t>
            </w:r>
          </w:p>
          <w:p>
            <w:pPr>
              <w:spacing w:line="360" w:lineRule="exact"/>
              <w:ind w:firstLine="420" w:firstLineChars="200"/>
              <w:outlineLvl w:val="7"/>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 分辨率:± 0.1%读数，0.001 mg/m</w:t>
            </w:r>
            <w:r>
              <w:rPr>
                <w:rFonts w:hint="eastAsia" w:asciiTheme="minorEastAsia" w:hAnsiTheme="minorEastAsia" w:eastAsiaTheme="minorEastAsia" w:cstheme="minorEastAsia"/>
                <w:szCs w:val="21"/>
                <w:vertAlign w:val="superscript"/>
              </w:rPr>
              <w:t>3</w:t>
            </w:r>
            <w:r>
              <w:rPr>
                <w:rFonts w:hint="eastAsia" w:asciiTheme="minorEastAsia" w:hAnsiTheme="minorEastAsia" w:eastAsiaTheme="minorEastAsia" w:cstheme="minorEastAsia"/>
                <w:szCs w:val="21"/>
              </w:rPr>
              <w:t xml:space="preserve"> 取大值；</w:t>
            </w:r>
          </w:p>
          <w:p>
            <w:pPr>
              <w:spacing w:line="360" w:lineRule="exact"/>
              <w:ind w:firstLine="420" w:firstLineChars="200"/>
              <w:outlineLvl w:val="7"/>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 可检测大气颗粒物粒径尺寸：0.1-15μm；</w:t>
            </w:r>
          </w:p>
          <w:p>
            <w:pPr>
              <w:spacing w:line="360" w:lineRule="exact"/>
              <w:ind w:firstLine="420" w:firstLineChars="200"/>
              <w:outlineLvl w:val="7"/>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 ★可测量大气颗粒物类型：PM1、PM2.5、PM10和全粒径浓度；</w:t>
            </w:r>
          </w:p>
          <w:p>
            <w:pPr>
              <w:spacing w:line="360" w:lineRule="exact"/>
              <w:ind w:firstLine="420" w:firstLineChars="200"/>
              <w:outlineLvl w:val="7"/>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 采样流量：2.5-3.5 L/min；</w:t>
            </w:r>
          </w:p>
          <w:p>
            <w:pPr>
              <w:spacing w:line="360" w:lineRule="exact"/>
              <w:ind w:firstLine="420" w:firstLineChars="200"/>
              <w:outlineLvl w:val="7"/>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(8) 可记录采样数据；</w:t>
            </w:r>
          </w:p>
          <w:p>
            <w:pPr>
              <w:spacing w:line="36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(9) 含有滤盒，可进行采样分析。</w:t>
            </w:r>
          </w:p>
          <w:p>
            <w:pPr>
              <w:spacing w:line="360" w:lineRule="exact"/>
              <w:ind w:firstLine="422" w:firstLineChars="200"/>
              <w:jc w:val="left"/>
              <w:outlineLvl w:val="7"/>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2、配置清单</w:t>
            </w:r>
          </w:p>
          <w:p>
            <w:pPr>
              <w:spacing w:line="360" w:lineRule="exact"/>
              <w:ind w:firstLine="420" w:firstLineChars="200"/>
              <w:outlineLvl w:val="7"/>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 主机：1个；</w:t>
            </w:r>
          </w:p>
          <w:p>
            <w:pPr>
              <w:spacing w:line="360" w:lineRule="exact"/>
              <w:ind w:firstLine="420" w:firstLineChars="200"/>
              <w:outlineLvl w:val="7"/>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 光学传感器：1个；</w:t>
            </w:r>
          </w:p>
          <w:p>
            <w:pPr>
              <w:spacing w:line="360" w:lineRule="exact"/>
              <w:ind w:firstLine="420" w:firstLineChars="200"/>
              <w:outlineLvl w:val="7"/>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 手提箱：1个。</w:t>
            </w:r>
          </w:p>
        </w:tc>
        <w:tc>
          <w:tcPr>
            <w:tcW w:w="795" w:type="dxa"/>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w:t>
            </w:r>
          </w:p>
        </w:tc>
        <w:tc>
          <w:tcPr>
            <w:tcW w:w="750" w:type="dxa"/>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台</w:t>
            </w:r>
          </w:p>
        </w:tc>
        <w:tc>
          <w:tcPr>
            <w:tcW w:w="750" w:type="dxa"/>
            <w:vAlign w:val="center"/>
          </w:tcPr>
          <w:p>
            <w:pPr>
              <w:widowControl/>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接受进口设备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02" w:type="dxa"/>
            <w:vAlign w:val="center"/>
          </w:tcPr>
          <w:p>
            <w:pPr>
              <w:widowControl/>
              <w:jc w:val="center"/>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4</w:t>
            </w:r>
          </w:p>
        </w:tc>
        <w:tc>
          <w:tcPr>
            <w:tcW w:w="1425" w:type="dxa"/>
            <w:vAlign w:val="center"/>
          </w:tcPr>
          <w:p>
            <w:pPr>
              <w:widowControl/>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心肺复苏模型（半身）</w:t>
            </w:r>
          </w:p>
        </w:tc>
        <w:tc>
          <w:tcPr>
            <w:tcW w:w="5490" w:type="dxa"/>
            <w:vAlign w:val="center"/>
          </w:tcPr>
          <w:p>
            <w:pPr>
              <w:spacing w:line="360" w:lineRule="atLeast"/>
              <w:ind w:firstLine="422" w:firstLineChars="200"/>
              <w:outlineLvl w:val="7"/>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1、设备参数</w:t>
            </w:r>
          </w:p>
          <w:p>
            <w:pPr>
              <w:spacing w:line="360" w:lineRule="atLeast"/>
              <w:ind w:firstLine="420" w:firstLineChars="200"/>
              <w:outlineLvl w:val="7"/>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 仰卧位，头可后仰，可左右摆动，水平转动180度，便于清除呼吸道异物；</w:t>
            </w:r>
          </w:p>
          <w:p>
            <w:pPr>
              <w:spacing w:line="360" w:lineRule="atLeast"/>
              <w:ind w:firstLine="420" w:firstLineChars="200"/>
              <w:outlineLvl w:val="7"/>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 面皮肤、颈皮肤、胸皮肤、头发均采用进口热塑弹性体混合胶材料；</w:t>
            </w:r>
          </w:p>
          <w:p>
            <w:pPr>
              <w:spacing w:line="360" w:lineRule="atLeast"/>
              <w:ind w:firstLine="420" w:firstLineChars="200"/>
              <w:outlineLvl w:val="7"/>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 ★可进行人工呼吸和心外按压，模拟标准气道开放显示；</w:t>
            </w:r>
          </w:p>
          <w:p>
            <w:pPr>
              <w:spacing w:line="360" w:lineRule="atLeast"/>
              <w:ind w:firstLine="420" w:firstLineChars="200"/>
              <w:outlineLvl w:val="7"/>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 具有语音提示、数字计数、指示灯显示；</w:t>
            </w:r>
          </w:p>
          <w:p>
            <w:pPr>
              <w:spacing w:line="360" w:lineRule="atLeast"/>
              <w:ind w:firstLine="420" w:firstLineChars="200"/>
              <w:outlineLvl w:val="7"/>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 可模拟人瞳孔变化及颈动脉搏动；</w:t>
            </w:r>
          </w:p>
          <w:p>
            <w:pPr>
              <w:spacing w:line="360" w:lineRule="atLeast"/>
              <w:ind w:firstLine="420" w:firstLineChars="200"/>
              <w:outlineLvl w:val="7"/>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 操作方式：训练操作、模式考核。</w:t>
            </w:r>
          </w:p>
          <w:p>
            <w:pPr>
              <w:spacing w:line="360" w:lineRule="atLeast"/>
              <w:ind w:firstLine="422" w:firstLineChars="200"/>
              <w:outlineLvl w:val="7"/>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2、配置清单</w:t>
            </w:r>
          </w:p>
          <w:p>
            <w:pPr>
              <w:spacing w:line="360" w:lineRule="atLeast"/>
              <w:ind w:firstLine="420" w:firstLineChars="200"/>
              <w:outlineLvl w:val="7"/>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 高级复苏半身人体模型一具； </w:t>
            </w:r>
          </w:p>
          <w:p>
            <w:pPr>
              <w:spacing w:line="360" w:lineRule="atLeast"/>
              <w:ind w:firstLine="420" w:firstLineChars="200"/>
              <w:outlineLvl w:val="7"/>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 复苏操作垫一条；</w:t>
            </w:r>
          </w:p>
          <w:p>
            <w:pPr>
              <w:pStyle w:val="19"/>
              <w:spacing w:line="360" w:lineRule="atLeast"/>
              <w:ind w:left="0" w:leftChars="0"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 电源适配器、数据线等。</w:t>
            </w:r>
          </w:p>
        </w:tc>
        <w:tc>
          <w:tcPr>
            <w:tcW w:w="795" w:type="dxa"/>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8</w:t>
            </w:r>
          </w:p>
        </w:tc>
        <w:tc>
          <w:tcPr>
            <w:tcW w:w="750" w:type="dxa"/>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台</w:t>
            </w:r>
          </w:p>
        </w:tc>
        <w:tc>
          <w:tcPr>
            <w:tcW w:w="750" w:type="dxa"/>
            <w:vAlign w:val="center"/>
          </w:tcPr>
          <w:p>
            <w:pPr>
              <w:widowControl/>
              <w:jc w:val="center"/>
              <w:rPr>
                <w:rFonts w:asciiTheme="minorEastAsia" w:hAnsiTheme="minorEastAsia" w:eastAsiaTheme="minorEastAsia" w:cs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02" w:type="dxa"/>
            <w:vAlign w:val="center"/>
          </w:tcPr>
          <w:p>
            <w:pPr>
              <w:widowControl/>
              <w:jc w:val="center"/>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5</w:t>
            </w:r>
          </w:p>
        </w:tc>
        <w:tc>
          <w:tcPr>
            <w:tcW w:w="1425" w:type="dxa"/>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心肺复苏模型（全身）</w:t>
            </w:r>
          </w:p>
        </w:tc>
        <w:tc>
          <w:tcPr>
            <w:tcW w:w="5490" w:type="dxa"/>
            <w:vAlign w:val="center"/>
          </w:tcPr>
          <w:p>
            <w:pPr>
              <w:spacing w:line="360" w:lineRule="exact"/>
              <w:ind w:firstLine="422" w:firstLineChars="200"/>
              <w:jc w:val="left"/>
              <w:outlineLvl w:val="7"/>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1、设备参数</w:t>
            </w:r>
          </w:p>
          <w:p>
            <w:pPr>
              <w:spacing w:line="360" w:lineRule="exact"/>
              <w:ind w:firstLine="420" w:firstLineChars="200"/>
              <w:jc w:val="left"/>
              <w:outlineLvl w:val="7"/>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 仰卧位，头可后仰，可左右摆动，水平转动180度，便于清除呼吸道异物；</w:t>
            </w:r>
          </w:p>
          <w:p>
            <w:pPr>
              <w:spacing w:line="360" w:lineRule="exact"/>
              <w:ind w:firstLine="420" w:firstLineChars="200"/>
              <w:jc w:val="left"/>
              <w:outlineLvl w:val="7"/>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 面皮肤、颈皮肤、胸皮肤、头发均采用进口热塑弹性体混合胶材料，模型下肢可弯曲折叠；</w:t>
            </w:r>
          </w:p>
          <w:p>
            <w:pPr>
              <w:spacing w:line="360" w:lineRule="exact"/>
              <w:ind w:firstLine="420" w:firstLineChars="200"/>
              <w:jc w:val="left"/>
              <w:outlineLvl w:val="7"/>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 模拟生命体征：模拟人瞳孔由一只散大与一只正常相对比认识，具有颈动脉搏动功能；</w:t>
            </w:r>
          </w:p>
          <w:p>
            <w:pPr>
              <w:spacing w:line="360" w:lineRule="exact"/>
              <w:ind w:firstLine="420" w:firstLineChars="200"/>
              <w:jc w:val="left"/>
              <w:outlineLvl w:val="7"/>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 ★可进行人工呼吸和心外按压，并且可进行标准气道开放，气道指示灯变亮；</w:t>
            </w:r>
          </w:p>
          <w:p>
            <w:pPr>
              <w:spacing w:line="360" w:lineRule="exact"/>
              <w:ind w:firstLine="420" w:firstLineChars="200"/>
              <w:jc w:val="left"/>
              <w:outlineLvl w:val="7"/>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(5) 具有语音提示、数字计数、指示灯显示； </w:t>
            </w:r>
          </w:p>
          <w:p>
            <w:pPr>
              <w:spacing w:line="360" w:lineRule="exact"/>
              <w:ind w:firstLine="420" w:firstLineChars="200"/>
              <w:jc w:val="left"/>
              <w:outlineLvl w:val="7"/>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(6) 可显示监测气道开放和按压部位及深度和吹气量大小；  </w:t>
            </w:r>
          </w:p>
          <w:p>
            <w:pPr>
              <w:spacing w:line="360" w:lineRule="exact"/>
              <w:ind w:firstLine="420" w:firstLineChars="200"/>
              <w:outlineLvl w:val="7"/>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 操作方式：训练操作、模式考核。</w:t>
            </w:r>
          </w:p>
          <w:p>
            <w:pPr>
              <w:spacing w:line="360" w:lineRule="exact"/>
              <w:ind w:firstLine="422" w:firstLineChars="200"/>
              <w:jc w:val="left"/>
              <w:outlineLvl w:val="7"/>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2、配置清单</w:t>
            </w:r>
          </w:p>
          <w:p>
            <w:pPr>
              <w:spacing w:line="360" w:lineRule="exact"/>
              <w:ind w:firstLine="420" w:firstLineChars="200"/>
              <w:jc w:val="left"/>
              <w:outlineLvl w:val="7"/>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 高级复苏全身人体模型一具； </w:t>
            </w:r>
          </w:p>
          <w:p>
            <w:pPr>
              <w:spacing w:line="360" w:lineRule="exact"/>
              <w:ind w:firstLine="420" w:firstLineChars="200"/>
              <w:outlineLvl w:val="7"/>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 复苏操作垫一条；</w:t>
            </w:r>
          </w:p>
          <w:p>
            <w:pPr>
              <w:pStyle w:val="19"/>
              <w:spacing w:line="360" w:lineRule="exact"/>
              <w:ind w:left="0" w:leftChars="0"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 电源适配器、数据线等。</w:t>
            </w:r>
          </w:p>
        </w:tc>
        <w:tc>
          <w:tcPr>
            <w:tcW w:w="795" w:type="dxa"/>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w:t>
            </w:r>
          </w:p>
        </w:tc>
        <w:tc>
          <w:tcPr>
            <w:tcW w:w="750" w:type="dxa"/>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台</w:t>
            </w:r>
          </w:p>
        </w:tc>
        <w:tc>
          <w:tcPr>
            <w:tcW w:w="750" w:type="dxa"/>
            <w:vAlign w:val="center"/>
          </w:tcPr>
          <w:p>
            <w:pPr>
              <w:widowControl/>
              <w:jc w:val="center"/>
              <w:rPr>
                <w:rFonts w:asciiTheme="minorEastAsia" w:hAnsiTheme="minorEastAsia" w:eastAsiaTheme="minorEastAsia" w:cs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02" w:type="dxa"/>
            <w:vAlign w:val="center"/>
          </w:tcPr>
          <w:p>
            <w:pPr>
              <w:widowControl/>
              <w:jc w:val="center"/>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6</w:t>
            </w:r>
          </w:p>
        </w:tc>
        <w:tc>
          <w:tcPr>
            <w:tcW w:w="1425" w:type="dxa"/>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便携式袖珍噪声测量仪器</w:t>
            </w:r>
          </w:p>
        </w:tc>
        <w:tc>
          <w:tcPr>
            <w:tcW w:w="5490" w:type="dxa"/>
            <w:vAlign w:val="center"/>
          </w:tcPr>
          <w:p>
            <w:pPr>
              <w:spacing w:line="360" w:lineRule="exact"/>
              <w:ind w:firstLine="422" w:firstLineChars="200"/>
              <w:outlineLvl w:val="7"/>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1、设备参数</w:t>
            </w:r>
          </w:p>
          <w:p>
            <w:pPr>
              <w:spacing w:line="360" w:lineRule="exact"/>
              <w:ind w:firstLine="420" w:firstLineChars="200"/>
              <w:outlineLvl w:val="7"/>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 ★袖珍便携，测量范围：≥35dB； </w:t>
            </w:r>
          </w:p>
          <w:p>
            <w:pPr>
              <w:spacing w:line="360" w:lineRule="exact"/>
              <w:ind w:firstLine="420" w:firstLineChars="200"/>
              <w:outlineLvl w:val="7"/>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 频率范围：≥20Hz；</w:t>
            </w:r>
          </w:p>
          <w:p>
            <w:pPr>
              <w:pStyle w:val="19"/>
              <w:ind w:left="0" w:leftChars="0"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 检波器：LMS有效值，峰值因素≥3；</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 仪器精度：符合IEC61672或GB37852型。</w:t>
            </w:r>
          </w:p>
          <w:p>
            <w:pPr>
              <w:spacing w:line="360" w:lineRule="exact"/>
              <w:ind w:firstLine="422" w:firstLineChars="200"/>
              <w:outlineLvl w:val="7"/>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2、配置清单</w:t>
            </w:r>
          </w:p>
          <w:p>
            <w:pPr>
              <w:spacing w:line="360" w:lineRule="exact"/>
              <w:ind w:firstLine="420" w:firstLineChars="200"/>
              <w:outlineLvl w:val="7"/>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(1)主机一台；</w:t>
            </w:r>
          </w:p>
          <w:p>
            <w:pPr>
              <w:spacing w:line="360" w:lineRule="exact"/>
              <w:ind w:firstLine="420" w:firstLineChars="200"/>
              <w:outlineLvl w:val="7"/>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(2)电源及数据线。</w:t>
            </w:r>
          </w:p>
        </w:tc>
        <w:tc>
          <w:tcPr>
            <w:tcW w:w="795" w:type="dxa"/>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w:t>
            </w:r>
          </w:p>
        </w:tc>
        <w:tc>
          <w:tcPr>
            <w:tcW w:w="750" w:type="dxa"/>
            <w:vAlign w:val="center"/>
          </w:tcPr>
          <w:p>
            <w:pPr>
              <w:widowControl/>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台</w:t>
            </w:r>
          </w:p>
        </w:tc>
        <w:tc>
          <w:tcPr>
            <w:tcW w:w="750" w:type="dxa"/>
            <w:vAlign w:val="center"/>
          </w:tcPr>
          <w:p>
            <w:pPr>
              <w:widowControl/>
              <w:rPr>
                <w:rFonts w:asciiTheme="minorEastAsia" w:hAnsiTheme="minorEastAsia" w:eastAsiaTheme="minorEastAsia" w:cs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1" w:hRule="atLeast"/>
          <w:jc w:val="center"/>
        </w:trPr>
        <w:tc>
          <w:tcPr>
            <w:tcW w:w="802" w:type="dxa"/>
            <w:vAlign w:val="center"/>
          </w:tcPr>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w:t>
            </w:r>
          </w:p>
        </w:tc>
        <w:tc>
          <w:tcPr>
            <w:tcW w:w="1425"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声级校准器</w:t>
            </w:r>
          </w:p>
        </w:tc>
        <w:tc>
          <w:tcPr>
            <w:tcW w:w="5490" w:type="dxa"/>
            <w:vAlign w:val="center"/>
          </w:tcPr>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(1)声压级：94dB/114dB；</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(2)声压级精度：0.3-0.5dB；</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(3)频率：1000Hz±1-4%；</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(4)谐波失真：≤3%；</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(5)耦合腔: 1/2英寸</w:t>
            </w:r>
          </w:p>
        </w:tc>
        <w:tc>
          <w:tcPr>
            <w:tcW w:w="795" w:type="dxa"/>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w:t>
            </w:r>
          </w:p>
        </w:tc>
        <w:tc>
          <w:tcPr>
            <w:tcW w:w="750"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个</w:t>
            </w:r>
          </w:p>
        </w:tc>
        <w:tc>
          <w:tcPr>
            <w:tcW w:w="750" w:type="dxa"/>
            <w:vAlign w:val="center"/>
          </w:tcPr>
          <w:p>
            <w:pPr>
              <w:rPr>
                <w:rFonts w:asciiTheme="minorEastAsia" w:hAnsiTheme="minorEastAsia" w:eastAsiaTheme="minorEastAsia" w:cstheme="minorEastAsia"/>
                <w:szCs w:val="21"/>
              </w:rPr>
            </w:pPr>
          </w:p>
        </w:tc>
      </w:tr>
    </w:tbl>
    <w:p>
      <w:pPr>
        <w:numPr>
          <w:ilvl w:val="0"/>
          <w:numId w:val="2"/>
        </w:numPr>
        <w:spacing w:line="276" w:lineRule="auto"/>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供货及安装、调试要求</w:t>
      </w:r>
    </w:p>
    <w:p>
      <w:pPr>
        <w:spacing w:line="276" w:lineRule="auto"/>
        <w:ind w:firstLine="211" w:firstLineChars="1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（一）技术规格</w:t>
      </w:r>
    </w:p>
    <w:p>
      <w:pPr>
        <w:spacing w:line="276"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1、所有材料须提交详细的技术条款响应表，并注明品牌产地和生产厂地。</w:t>
      </w:r>
    </w:p>
    <w:p>
      <w:pPr>
        <w:spacing w:line="276"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2、成交供应商所提供的设备进场后，如采购人发现有任何问题（如外观有损坏），成交供应商应以同样型号的设备在采购人商定的时间内更换，确保其使用。</w:t>
      </w:r>
    </w:p>
    <w:p>
      <w:pPr>
        <w:spacing w:line="276" w:lineRule="auto"/>
        <w:ind w:firstLine="211" w:firstLineChars="1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（二）质量要求</w:t>
      </w:r>
    </w:p>
    <w:p>
      <w:pPr>
        <w:spacing w:line="276"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1、应严格按照采购文件的要求和国家有关标准，提供全新的、未经使用的、技术先进的设备。</w:t>
      </w:r>
    </w:p>
    <w:p>
      <w:pPr>
        <w:spacing w:line="276"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2、品质说明：必须保证提供的设备完全与采购文件所述的质量、规格和性能相符，所使用的材料及配件达到优质标准，相关设备具有厂家出具的设备质量合格证明书。</w:t>
      </w:r>
    </w:p>
    <w:p>
      <w:pPr>
        <w:spacing w:line="276"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3、成交供应商保证向采购人提供的设备或设备的任何一部分，免受第三方提出的侵犯其专利权、商标权或知识产权等的起诉，任何由此引起的法律责任和经济责任均由供应商承担。</w:t>
      </w:r>
    </w:p>
    <w:p>
      <w:pPr>
        <w:spacing w:line="276" w:lineRule="auto"/>
        <w:ind w:firstLine="211" w:firstLineChars="1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（三）验收方式</w:t>
      </w:r>
    </w:p>
    <w:p>
      <w:pPr>
        <w:spacing w:line="276"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1、设备到达现场后，成交供应商应在采购人在场情况下当面开箱，共同清点、检查外观，作出开箱记录，双方签字确认。</w:t>
      </w:r>
    </w:p>
    <w:p>
      <w:pPr>
        <w:spacing w:line="276"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2、成交供应商应保证货物到达采购人所在地完好无损，如有缺漏、损坏，由成交供应商负责调换、补齐或赔偿。</w:t>
      </w:r>
    </w:p>
    <w:p>
      <w:pPr>
        <w:spacing w:line="276"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3、成交供应商应提供完备的技术资料、原厂真货证明、装箱单和合格证等。验收合格条件如下：</w:t>
      </w:r>
    </w:p>
    <w:p>
      <w:pPr>
        <w:spacing w:line="276"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（1）产品技术参数与项目合同一致，性能指标达到规定的标准。</w:t>
      </w:r>
    </w:p>
    <w:p>
      <w:pPr>
        <w:spacing w:line="276"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（2）货物技术资料、原厂真货证明、装箱单、合格证等资料齐全。</w:t>
      </w:r>
    </w:p>
    <w:p>
      <w:pPr>
        <w:spacing w:line="276"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（3）在规定时间内完成交货并由双方组织验收小组进行验收，并经验收小组签字确认。</w:t>
      </w:r>
    </w:p>
    <w:p>
      <w:pPr>
        <w:spacing w:line="276"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4、成交供应商提供的货物未达到招标文件规定要求，且对采购人造成损失的，由成交供应商承担一切责任，并赔偿所造成的损失。</w:t>
      </w:r>
    </w:p>
    <w:p>
      <w:pPr>
        <w:spacing w:line="276" w:lineRule="auto"/>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（四）验收标准与要求</w:t>
      </w:r>
    </w:p>
    <w:p>
      <w:pPr>
        <w:spacing w:line="276"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所供货物必须是全新的，原装正品，完全符合国家规定的质量标准。因产品质量或安装不当导致验收不合格，应及时处理直至验收合格，期间产生的一切费用由供应商承担；若二次验收不合格，采购人有权退货。采购人在此期间保留对供应商的索赔权利。供应商必须满足所有功能要求，有义务保证采购人系统的功能性和完整性。</w:t>
      </w:r>
    </w:p>
    <w:p>
      <w:pPr>
        <w:spacing w:line="276"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2、成交供应商须保证所提供硬件产品包括相关附件为相应硬件厂家原装正品，软件产品为相关厂家正版软件，符合国家有关规定。</w:t>
      </w:r>
    </w:p>
    <w:p>
      <w:pPr>
        <w:spacing w:line="276"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3、成交供应商须及时和学校用户沟通，确认所有设备材质、款式、规格后方可供货，并确保产品质量。</w:t>
      </w:r>
    </w:p>
    <w:p>
      <w:pPr>
        <w:spacing w:line="276"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4、成交供应商应采取安全措施，确保施工安全。因本项目施工产生的施工人员和学校师生人生安全问题由中标供应商承担全部责任。</w:t>
      </w:r>
    </w:p>
    <w:p>
      <w:pPr>
        <w:spacing w:line="276"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5、严格按照投标文件与采购文件对比验收，保留邀请第三方质检部门验收的权利。</w:t>
      </w:r>
    </w:p>
    <w:p>
      <w:pPr>
        <w:spacing w:line="276" w:lineRule="auto"/>
        <w:ind w:firstLine="211" w:firstLineChars="1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四、供货和质量要求：</w:t>
      </w:r>
    </w:p>
    <w:p>
      <w:pPr>
        <w:spacing w:line="276" w:lineRule="auto"/>
        <w:ind w:firstLine="422"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（一）供货要求</w:t>
      </w:r>
    </w:p>
    <w:p>
      <w:pPr>
        <w:spacing w:line="276"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成交供应商负责将所有产品运到采购人指定地点，由成交供应商负责办理运输、装卸、安装调试等，费用由成交供应商负责，由采购人组织验收，检验不合格或不符合质量要求，成交供应商除无条件退货、返工外，还应承担采购人的一切损失。</w:t>
      </w:r>
    </w:p>
    <w:p>
      <w:pPr>
        <w:spacing w:line="276"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（2）要求所投设备之间能互联互通，满足采购人使用需求。可利用的旧设备要求免费进行安装调试。</w:t>
      </w:r>
    </w:p>
    <w:p>
      <w:pPr>
        <w:spacing w:line="276" w:lineRule="auto"/>
        <w:ind w:firstLine="422"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（二）质保及售后服务要求</w:t>
      </w:r>
    </w:p>
    <w:p>
      <w:pPr>
        <w:spacing w:line="276" w:lineRule="auto"/>
        <w:ind w:firstLine="422"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 xml:space="preserve">  1、产品质量保证期</w:t>
      </w:r>
    </w:p>
    <w:p>
      <w:pPr>
        <w:spacing w:line="276"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（1）质量保证期（简称“质保期”）：自合同签订之日起，提供不少于3年免费硬件质保。质保期内合同中所有设备由中标人提供免费上门保修服务。</w:t>
      </w:r>
    </w:p>
    <w:p>
      <w:pPr>
        <w:spacing w:line="276"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（2）投标产品属于国家规定“三包”范围的，其产品质量保证期不得低于“三包”规定。</w:t>
      </w:r>
    </w:p>
    <w:p>
      <w:pPr>
        <w:spacing w:line="276"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（3）成交供应商的质量保证期承诺优于国家“三包”规定的，按中标供应商实际承诺执行。</w:t>
      </w:r>
    </w:p>
    <w:p>
      <w:pPr>
        <w:spacing w:line="276"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（4）投标产品由制造商（指产品生产制造商，或其负责销售、售后服务机构）负责标准售后服务的，应当在投标文件中予以明确说明，并附制造商售后服务承诺。</w:t>
      </w:r>
    </w:p>
    <w:p>
      <w:pPr>
        <w:spacing w:line="276" w:lineRule="auto"/>
        <w:ind w:firstLine="422"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 xml:space="preserve">  2、售后服务要求</w:t>
      </w:r>
    </w:p>
    <w:p>
      <w:pPr>
        <w:spacing w:line="276"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成交供应商必须具备相应的维护保养、后续跟进服务能力，能提供完善的售后服务（包括技术人员、响应时间及备品、备件方面等）；售后服务应及时有效，设备故障响应时间为7×24小时，修复时间8小时内，超出时间由成交供应商提供备用设备；成交供应商在质量保证期内应当为采购人提供以下技术支持和服务：</w:t>
      </w:r>
    </w:p>
    <w:p>
      <w:pPr>
        <w:spacing w:line="276"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1）正常使用范围内造成的损坏均免费维修，出现质量缺陷问题或同一货物在质保期内出现三次质量问题，成交供应商须免费予以更换。</w:t>
      </w:r>
    </w:p>
    <w:p>
      <w:pPr>
        <w:spacing w:line="276"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2）电话咨询</w:t>
      </w:r>
    </w:p>
    <w:p>
      <w:pPr>
        <w:spacing w:line="276"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质量保证期内，采购人遇到使用及技术问题，成交供应商和原厂商（生产者）应当为采购人提供技术援助电话。电话咨询不能解决的，成交供应商和原厂商（生产者）应采取相应措施，提供上门服务。</w:t>
      </w:r>
    </w:p>
    <w:p>
      <w:pPr>
        <w:spacing w:line="276"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3）现场响应</w:t>
      </w:r>
    </w:p>
    <w:p>
      <w:pPr>
        <w:spacing w:line="276" w:lineRule="auto"/>
        <w:ind w:firstLine="210" w:firstLineChars="1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2）成交供应商应提供应急人员和技术支持人员的名单和联系方式。质保期内，如设备或零部件因质量原因出现故障而造成短期停用时，则质保期和免费维修期相应顺延。如停用时间累计超过60天则质保期重新计算。  </w:t>
      </w:r>
    </w:p>
    <w:p>
      <w:pPr>
        <w:spacing w:line="276" w:lineRule="auto"/>
        <w:ind w:firstLine="422"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3、培训要求</w:t>
      </w:r>
    </w:p>
    <w:p>
      <w:pPr>
        <w:spacing w:line="276"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为保障本项目的顺利实施，成交供应商应根据本项目实际情况，项目交付使用后须提供3次以上免费使用培训，其中主要包括详尽的用户操作培训和系统管理员培训。培训授课人必须是相关经验丰富的工程师或技术人员等，所提供培训应确保系统管理员具有完成系统维护工作的能力。</w:t>
      </w:r>
    </w:p>
    <w:p>
      <w:pPr>
        <w:spacing w:line="276"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采购人可根据实际情况决定培训的时间、人数、地点和培训方式。</w:t>
      </w:r>
    </w:p>
    <w:p>
      <w:pPr>
        <w:spacing w:line="276"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成交供应商须为所有被培训人员提供培训使用的文字资料和讲义等相关用品，以及协助用户方准备培训用的计算机和网络环境。</w:t>
      </w:r>
    </w:p>
    <w:p>
      <w:pPr>
        <w:spacing w:line="276"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（2）质保期过后服务要求：提供终身上门服务（只收材料成本费，其余费用均不得收取）。</w:t>
      </w:r>
    </w:p>
    <w:p>
      <w:pPr>
        <w:spacing w:line="276"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（3）项目交付使用前须提供完整的设备技术文档，并配合学校完成技术文档的归档工作。</w:t>
      </w:r>
    </w:p>
    <w:p>
      <w:pPr>
        <w:spacing w:line="276" w:lineRule="auto"/>
        <w:ind w:firstLine="422"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（三）其它要求</w:t>
      </w:r>
    </w:p>
    <w:p>
      <w:pPr>
        <w:spacing w:line="276"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1、投标供应商依据招标文件中规格要求、材质要求、项目功能和配置清单并依据实际场地情况提供优化设计返方案。</w:t>
      </w:r>
    </w:p>
    <w:p>
      <w:pPr>
        <w:spacing w:line="276"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2、安装调试要求。所有设备安装、搬运、调试到位，能够正常运转。</w:t>
      </w:r>
    </w:p>
    <w:p>
      <w:pPr>
        <w:spacing w:line="276"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质量控制措施。投标供应商所提供的货物的技术规格应与采购文件规定的技术规格及所附的“技术响应偏离表”相一致；若技术性能无特殊说明，则按国家有关部门最新颁布的标准及规范为准；投标供应商应保证货物是全新、未使用过的原装合格正品，并完全符合合同规定的质量、规格和性能的要求；投标供应商应保证其提供的货物在正确安装、正常使用和保养条件下，在其使用寿命内具有良好的性能。货物验收后，在质量保证期内，投标供应商应对由于设计、工艺或材料的缺陷所发生的任何不足或故障负责，所需费用由投标供应商承担。</w:t>
      </w:r>
    </w:p>
    <w:p>
      <w:pPr>
        <w:spacing w:line="360" w:lineRule="auto"/>
        <w:rPr>
          <w:rFonts w:ascii="宋体" w:hAnsi="宋体" w:cs="宋体"/>
          <w:b/>
          <w:color w:val="000000"/>
          <w:sz w:val="28"/>
          <w:szCs w:val="28"/>
        </w:rPr>
      </w:pPr>
      <w:bookmarkStart w:id="177" w:name="_Toc122338097"/>
    </w:p>
    <w:p>
      <w:pPr>
        <w:spacing w:line="480" w:lineRule="auto"/>
        <w:jc w:val="center"/>
        <w:rPr>
          <w:rFonts w:ascii="宋体" w:hAnsi="宋体" w:cs="宋体"/>
          <w:b/>
          <w:color w:val="000000"/>
          <w:sz w:val="32"/>
          <w:szCs w:val="21"/>
        </w:rPr>
      </w:pPr>
    </w:p>
    <w:p>
      <w:pPr>
        <w:spacing w:line="480" w:lineRule="auto"/>
        <w:jc w:val="center"/>
        <w:rPr>
          <w:rFonts w:ascii="宋体" w:hAnsi="宋体" w:cs="宋体"/>
          <w:b/>
          <w:color w:val="000000"/>
          <w:sz w:val="32"/>
          <w:szCs w:val="21"/>
        </w:rPr>
      </w:pPr>
    </w:p>
    <w:p>
      <w:pPr>
        <w:spacing w:line="480" w:lineRule="auto"/>
        <w:jc w:val="center"/>
        <w:rPr>
          <w:rFonts w:ascii="宋体" w:hAnsi="宋体" w:cs="宋体"/>
          <w:b/>
          <w:color w:val="000000"/>
          <w:sz w:val="32"/>
          <w:szCs w:val="21"/>
        </w:rPr>
      </w:pPr>
    </w:p>
    <w:p>
      <w:pPr>
        <w:spacing w:line="480" w:lineRule="auto"/>
        <w:jc w:val="center"/>
        <w:rPr>
          <w:rFonts w:ascii="宋体" w:hAnsi="宋体" w:cs="宋体"/>
          <w:b/>
          <w:color w:val="000000"/>
          <w:sz w:val="32"/>
          <w:szCs w:val="21"/>
        </w:rPr>
      </w:pPr>
    </w:p>
    <w:p>
      <w:pPr>
        <w:spacing w:line="480" w:lineRule="auto"/>
        <w:jc w:val="center"/>
        <w:rPr>
          <w:rFonts w:ascii="宋体" w:hAnsi="宋体" w:cs="宋体"/>
          <w:b/>
          <w:color w:val="000000"/>
          <w:sz w:val="32"/>
          <w:szCs w:val="21"/>
        </w:rPr>
      </w:pPr>
    </w:p>
    <w:p>
      <w:pPr>
        <w:spacing w:line="480" w:lineRule="auto"/>
        <w:jc w:val="center"/>
        <w:rPr>
          <w:rFonts w:ascii="宋体" w:hAnsi="宋体" w:cs="宋体"/>
          <w:b/>
          <w:color w:val="000000"/>
          <w:sz w:val="32"/>
          <w:szCs w:val="21"/>
        </w:rPr>
      </w:pPr>
    </w:p>
    <w:p>
      <w:pPr>
        <w:spacing w:line="480" w:lineRule="auto"/>
        <w:jc w:val="center"/>
        <w:rPr>
          <w:rFonts w:ascii="宋体" w:hAnsi="宋体" w:cs="宋体"/>
          <w:b/>
          <w:color w:val="000000"/>
          <w:sz w:val="32"/>
          <w:szCs w:val="21"/>
        </w:rPr>
      </w:pPr>
    </w:p>
    <w:p>
      <w:pPr>
        <w:spacing w:line="360" w:lineRule="auto"/>
        <w:jc w:val="center"/>
        <w:rPr>
          <w:rFonts w:ascii="宋体" w:hAnsi="宋体" w:cs="宋体"/>
          <w:b/>
          <w:color w:val="000000"/>
          <w:sz w:val="28"/>
          <w:szCs w:val="28"/>
        </w:rPr>
      </w:pPr>
    </w:p>
    <w:p>
      <w:pPr>
        <w:spacing w:line="360" w:lineRule="auto"/>
        <w:jc w:val="center"/>
        <w:rPr>
          <w:rFonts w:ascii="宋体" w:hAnsi="宋体" w:cs="宋体"/>
          <w:b/>
          <w:color w:val="000000"/>
          <w:sz w:val="28"/>
          <w:szCs w:val="28"/>
        </w:rPr>
      </w:pPr>
    </w:p>
    <w:p>
      <w:pPr>
        <w:spacing w:line="360" w:lineRule="auto"/>
        <w:jc w:val="center"/>
        <w:rPr>
          <w:rFonts w:ascii="宋体" w:hAnsi="宋体" w:cs="宋体"/>
          <w:b/>
          <w:color w:val="000000"/>
          <w:sz w:val="28"/>
          <w:szCs w:val="28"/>
        </w:rPr>
      </w:pPr>
    </w:p>
    <w:p>
      <w:pPr>
        <w:spacing w:line="360" w:lineRule="auto"/>
        <w:jc w:val="center"/>
        <w:outlineLvl w:val="0"/>
        <w:rPr>
          <w:rFonts w:ascii="宋体" w:hAnsi="宋体" w:cs="宋体"/>
          <w:b/>
          <w:color w:val="000000"/>
          <w:sz w:val="28"/>
          <w:szCs w:val="28"/>
        </w:rPr>
      </w:pPr>
      <w:r>
        <w:rPr>
          <w:rFonts w:hint="eastAsia" w:ascii="宋体" w:hAnsi="宋体" w:cs="宋体"/>
          <w:b/>
          <w:color w:val="000000"/>
          <w:sz w:val="28"/>
          <w:szCs w:val="28"/>
        </w:rPr>
        <w:t>第二项 政府采购合同（拟签订的合同文本）</w:t>
      </w:r>
      <w:bookmarkEnd w:id="177"/>
    </w:p>
    <w:p>
      <w:pPr>
        <w:spacing w:line="400" w:lineRule="exact"/>
        <w:jc w:val="center"/>
        <w:rPr>
          <w:rFonts w:ascii="黑体" w:hAnsi="黑体" w:eastAsia="黑体" w:cs="Arial Unicode MS"/>
          <w:color w:val="000000"/>
          <w:sz w:val="32"/>
          <w:szCs w:val="32"/>
        </w:rPr>
      </w:pPr>
      <w:r>
        <w:rPr>
          <w:rFonts w:hint="eastAsia" w:ascii="黑体" w:hAnsi="黑体" w:eastAsia="黑体" w:cs="Arial Unicode MS"/>
          <w:color w:val="000000"/>
          <w:sz w:val="32"/>
          <w:szCs w:val="32"/>
        </w:rPr>
        <w:t>货物采购合同</w:t>
      </w:r>
    </w:p>
    <w:p>
      <w:pPr>
        <w:snapToGrid w:val="0"/>
        <w:spacing w:before="50" w:line="440" w:lineRule="exact"/>
        <w:jc w:val="center"/>
      </w:pPr>
      <w:r>
        <w:rPr>
          <w:rFonts w:hint="eastAsia" w:ascii="宋体" w:hAnsi="宋体" w:cs="宋体"/>
          <w:b/>
          <w:bCs/>
          <w:color w:val="000000"/>
          <w:szCs w:val="21"/>
        </w:rPr>
        <w:t>（在未改变实质性条件下，可双方协商确定）</w:t>
      </w:r>
    </w:p>
    <w:p>
      <w:pPr>
        <w:spacing w:line="400" w:lineRule="exact"/>
        <w:jc w:val="center"/>
        <w:rPr>
          <w:rFonts w:ascii="宋体" w:hAnsi="宋体" w:cs="宋体"/>
          <w:color w:val="000000"/>
          <w:szCs w:val="21"/>
        </w:rPr>
      </w:pPr>
      <w:r>
        <w:rPr>
          <w:rFonts w:ascii="楷体_GB2312" w:hAnsi="宋体" w:eastAsia="楷体_GB2312" w:cs="Arial Unicode MS"/>
          <w:color w:val="000000"/>
          <w:sz w:val="18"/>
          <w:szCs w:val="18"/>
        </w:rPr>
        <w:t xml:space="preserve">           </w:t>
      </w:r>
      <w:r>
        <w:rPr>
          <w:rFonts w:hint="eastAsia" w:ascii="宋体" w:hAnsi="宋体" w:cs="宋体"/>
          <w:color w:val="000000"/>
          <w:szCs w:val="21"/>
        </w:rPr>
        <w:t xml:space="preserve">                                                       </w:t>
      </w:r>
    </w:p>
    <w:p>
      <w:pPr>
        <w:spacing w:line="400" w:lineRule="exact"/>
        <w:ind w:firstLine="6204" w:firstLineChars="2943"/>
        <w:jc w:val="left"/>
        <w:rPr>
          <w:rFonts w:ascii="宋体" w:hAnsi="宋体" w:cs="宋体"/>
          <w:color w:val="000000"/>
          <w:szCs w:val="21"/>
        </w:rPr>
      </w:pPr>
      <w:r>
        <w:rPr>
          <w:rFonts w:hint="eastAsia" w:ascii="宋体" w:hAnsi="宋体" w:cs="宋体"/>
          <w:b/>
          <w:color w:val="000000"/>
          <w:szCs w:val="21"/>
        </w:rPr>
        <w:t>合同编号：</w:t>
      </w:r>
      <w:r>
        <w:rPr>
          <w:rFonts w:hint="eastAsia" w:ascii="宋体" w:hAnsi="宋体" w:cs="宋体"/>
          <w:color w:val="000000"/>
          <w:szCs w:val="21"/>
        </w:rPr>
        <w:t>（采购编号）</w:t>
      </w:r>
    </w:p>
    <w:p>
      <w:pPr>
        <w:spacing w:line="400" w:lineRule="exact"/>
        <w:ind w:firstLine="6204" w:firstLineChars="2943"/>
        <w:rPr>
          <w:rFonts w:ascii="宋体" w:hAnsi="宋体" w:cs="宋体"/>
          <w:color w:val="000000"/>
          <w:szCs w:val="21"/>
        </w:rPr>
      </w:pPr>
      <w:r>
        <w:rPr>
          <w:rFonts w:hint="eastAsia" w:ascii="宋体" w:hAnsi="宋体" w:cs="宋体"/>
          <w:b/>
          <w:color w:val="000000"/>
          <w:szCs w:val="21"/>
        </w:rPr>
        <w:t>签署地点：</w:t>
      </w:r>
      <w:r>
        <w:rPr>
          <w:rFonts w:hint="eastAsia" w:ascii="宋体" w:hAnsi="宋体" w:cs="宋体"/>
          <w:color w:val="000000"/>
          <w:szCs w:val="21"/>
        </w:rPr>
        <w:t>江苏医药职业学院</w:t>
      </w:r>
    </w:p>
    <w:p>
      <w:pPr>
        <w:spacing w:line="400" w:lineRule="exact"/>
        <w:rPr>
          <w:rFonts w:ascii="宋体" w:hAnsi="宋体" w:cs="Arial Unicode MS"/>
          <w:color w:val="000000"/>
          <w:szCs w:val="21"/>
        </w:rPr>
      </w:pPr>
    </w:p>
    <w:p>
      <w:pPr>
        <w:spacing w:line="400" w:lineRule="exact"/>
        <w:rPr>
          <w:rFonts w:ascii="宋体" w:cs="Arial Unicode MS"/>
          <w:color w:val="000000"/>
          <w:szCs w:val="21"/>
        </w:rPr>
      </w:pPr>
      <w:r>
        <w:rPr>
          <w:rFonts w:hint="eastAsia" w:ascii="宋体" w:hAnsi="宋体" w:cs="Arial Unicode MS"/>
          <w:color w:val="000000"/>
          <w:szCs w:val="21"/>
        </w:rPr>
        <w:t>甲方</w:t>
      </w:r>
      <w:r>
        <w:rPr>
          <w:rFonts w:ascii="宋体" w:hAnsi="宋体" w:cs="Arial Unicode MS"/>
          <w:color w:val="000000"/>
          <w:szCs w:val="21"/>
        </w:rPr>
        <w:t>(</w:t>
      </w:r>
      <w:r>
        <w:rPr>
          <w:rFonts w:hint="eastAsia" w:ascii="宋体" w:hAnsi="宋体" w:cs="Arial Unicode MS"/>
          <w:color w:val="000000"/>
          <w:szCs w:val="21"/>
        </w:rPr>
        <w:t>需方</w:t>
      </w:r>
      <w:r>
        <w:rPr>
          <w:rFonts w:ascii="宋体" w:hAnsi="宋体" w:cs="Arial Unicode MS"/>
          <w:color w:val="000000"/>
          <w:szCs w:val="21"/>
        </w:rPr>
        <w:t>):</w:t>
      </w:r>
      <w:r>
        <w:rPr>
          <w:rFonts w:ascii="宋体" w:hAnsi="宋体" w:cs="Arial Unicode MS"/>
          <w:color w:val="000000"/>
          <w:szCs w:val="21"/>
          <w:u w:val="single"/>
        </w:rPr>
        <w:t xml:space="preserve"> </w:t>
      </w:r>
      <w:r>
        <w:rPr>
          <w:rFonts w:hint="eastAsia" w:ascii="宋体" w:hAnsi="宋体" w:cs="Arial Unicode MS"/>
          <w:color w:val="000000"/>
          <w:szCs w:val="21"/>
          <w:u w:val="single"/>
        </w:rPr>
        <w:t xml:space="preserve">江苏医药职业学院 </w:t>
      </w:r>
    </w:p>
    <w:p>
      <w:pPr>
        <w:spacing w:line="400" w:lineRule="exact"/>
        <w:rPr>
          <w:rFonts w:ascii="宋体" w:hAnsi="宋体" w:cs="Arial Unicode MS"/>
          <w:color w:val="000000"/>
          <w:szCs w:val="21"/>
        </w:rPr>
      </w:pPr>
      <w:r>
        <w:rPr>
          <w:rFonts w:hint="eastAsia" w:ascii="宋体" w:hAnsi="宋体" w:cs="Arial Unicode MS"/>
          <w:color w:val="000000"/>
          <w:szCs w:val="21"/>
        </w:rPr>
        <w:t>乙方</w:t>
      </w:r>
      <w:r>
        <w:rPr>
          <w:rFonts w:ascii="宋体" w:hAnsi="宋体" w:cs="Arial Unicode MS"/>
          <w:color w:val="000000"/>
          <w:szCs w:val="21"/>
        </w:rPr>
        <w:t>(</w:t>
      </w:r>
      <w:r>
        <w:rPr>
          <w:rFonts w:hint="eastAsia" w:ascii="宋体" w:hAnsi="宋体" w:cs="Arial Unicode MS"/>
          <w:color w:val="000000"/>
          <w:szCs w:val="21"/>
        </w:rPr>
        <w:t>供方</w:t>
      </w:r>
      <w:r>
        <w:rPr>
          <w:rFonts w:ascii="宋体" w:hAnsi="宋体" w:cs="Arial Unicode MS"/>
          <w:color w:val="000000"/>
          <w:szCs w:val="21"/>
        </w:rPr>
        <w:t>):</w:t>
      </w:r>
      <w:r>
        <w:rPr>
          <w:rFonts w:ascii="宋体" w:hAnsi="宋体" w:cs="Arial Unicode MS"/>
          <w:color w:val="000000"/>
          <w:szCs w:val="21"/>
          <w:u w:val="single"/>
        </w:rPr>
        <w:t xml:space="preserve">                 </w:t>
      </w:r>
      <w:r>
        <w:rPr>
          <w:rFonts w:hint="eastAsia" w:ascii="宋体" w:hAnsi="宋体" w:cs="Arial Unicode MS"/>
          <w:color w:val="000000"/>
          <w:szCs w:val="21"/>
        </w:rPr>
        <w:t xml:space="preserve"> </w:t>
      </w:r>
    </w:p>
    <w:p>
      <w:pPr>
        <w:spacing w:before="312" w:beforeLines="100" w:line="276" w:lineRule="auto"/>
        <w:ind w:firstLine="420" w:firstLineChars="200"/>
        <w:jc w:val="left"/>
        <w:rPr>
          <w:rFonts w:ascii="宋体" w:cs="Arial Unicode MS"/>
          <w:color w:val="000000"/>
          <w:szCs w:val="21"/>
        </w:rPr>
      </w:pPr>
      <w:r>
        <w:rPr>
          <w:rFonts w:hint="eastAsia" w:ascii="宋体" w:hAnsi="宋体" w:cs="Arial Unicode MS"/>
          <w:color w:val="000000"/>
          <w:szCs w:val="21"/>
        </w:rPr>
        <w:t>为了维护甲、乙双方合法权益，根据《中华人民共和国民法典》和江苏医药职业学院项目名称的采购文件、响应文件及其在采购过程中的承诺，经双方协商，同意签定本合同，共同遵守。</w:t>
      </w:r>
    </w:p>
    <w:p>
      <w:pPr>
        <w:autoSpaceDE w:val="0"/>
        <w:autoSpaceDN w:val="0"/>
        <w:adjustRightInd w:val="0"/>
        <w:spacing w:line="400" w:lineRule="exact"/>
        <w:ind w:firstLine="422" w:firstLineChars="200"/>
        <w:rPr>
          <w:rFonts w:ascii="宋体" w:hAnsi="宋体" w:cs="仿宋"/>
          <w:b/>
          <w:bCs/>
          <w:color w:val="000000"/>
          <w:szCs w:val="21"/>
        </w:rPr>
      </w:pPr>
      <w:r>
        <w:rPr>
          <w:rFonts w:hint="eastAsia" w:ascii="宋体" w:hAnsi="宋体" w:cs="仿宋"/>
          <w:b/>
          <w:bCs/>
          <w:color w:val="000000"/>
          <w:szCs w:val="21"/>
        </w:rPr>
        <w:t>一、合同文件</w:t>
      </w:r>
    </w:p>
    <w:p>
      <w:pPr>
        <w:autoSpaceDE w:val="0"/>
        <w:autoSpaceDN w:val="0"/>
        <w:adjustRightInd w:val="0"/>
        <w:spacing w:line="400" w:lineRule="exact"/>
        <w:ind w:firstLine="420" w:firstLineChars="200"/>
        <w:rPr>
          <w:rFonts w:ascii="宋体" w:hAnsi="宋体" w:cs="仿宋"/>
          <w:color w:val="000000"/>
          <w:szCs w:val="21"/>
        </w:rPr>
      </w:pPr>
      <w:r>
        <w:rPr>
          <w:rFonts w:hint="eastAsia" w:ascii="宋体" w:hAnsi="宋体" w:cs="仿宋"/>
          <w:color w:val="000000"/>
          <w:szCs w:val="21"/>
          <w:lang w:val="zh-CN"/>
        </w:rPr>
        <w:t>本合同所附下列文件资料为本合同不可分割的部分：</w:t>
      </w:r>
    </w:p>
    <w:p>
      <w:pPr>
        <w:autoSpaceDE w:val="0"/>
        <w:autoSpaceDN w:val="0"/>
        <w:adjustRightInd w:val="0"/>
        <w:spacing w:line="400" w:lineRule="exact"/>
        <w:ind w:firstLine="420" w:firstLineChars="200"/>
        <w:rPr>
          <w:rFonts w:ascii="宋体" w:hAnsi="宋体" w:cs="仿宋"/>
          <w:color w:val="000000"/>
          <w:szCs w:val="21"/>
          <w:lang w:val="zh-CN"/>
        </w:rPr>
      </w:pPr>
      <w:r>
        <w:rPr>
          <w:rFonts w:hint="eastAsia" w:ascii="宋体" w:hAnsi="宋体" w:cs="仿宋"/>
          <w:color w:val="000000"/>
          <w:szCs w:val="21"/>
          <w:lang w:val="zh-CN"/>
        </w:rPr>
        <w:t>1、政府采购招标文件（包括澄清、修改）；</w:t>
      </w:r>
    </w:p>
    <w:p>
      <w:pPr>
        <w:autoSpaceDE w:val="0"/>
        <w:autoSpaceDN w:val="0"/>
        <w:adjustRightInd w:val="0"/>
        <w:spacing w:line="400" w:lineRule="exact"/>
        <w:ind w:firstLine="420" w:firstLineChars="200"/>
        <w:rPr>
          <w:rFonts w:ascii="宋体" w:hAnsi="宋体" w:cs="仿宋"/>
          <w:color w:val="000000"/>
          <w:szCs w:val="21"/>
          <w:lang w:val="zh-CN"/>
        </w:rPr>
      </w:pPr>
      <w:r>
        <w:rPr>
          <w:rFonts w:hint="eastAsia" w:ascii="宋体" w:hAnsi="宋体" w:cs="仿宋"/>
          <w:color w:val="000000"/>
          <w:szCs w:val="21"/>
          <w:lang w:val="zh-CN"/>
        </w:rPr>
        <w:t>2、乙方投标文件；</w:t>
      </w:r>
    </w:p>
    <w:p>
      <w:pPr>
        <w:autoSpaceDE w:val="0"/>
        <w:autoSpaceDN w:val="0"/>
        <w:adjustRightInd w:val="0"/>
        <w:spacing w:line="400" w:lineRule="exact"/>
        <w:ind w:firstLine="420" w:firstLineChars="200"/>
        <w:rPr>
          <w:rFonts w:ascii="宋体" w:hAnsi="宋体" w:cs="仿宋"/>
          <w:color w:val="000000"/>
          <w:szCs w:val="21"/>
          <w:lang w:val="zh-CN"/>
        </w:rPr>
      </w:pPr>
      <w:r>
        <w:rPr>
          <w:rFonts w:hint="eastAsia" w:ascii="宋体" w:hAnsi="宋体" w:cs="仿宋"/>
          <w:color w:val="000000"/>
          <w:szCs w:val="21"/>
          <w:lang w:val="zh-CN"/>
        </w:rPr>
        <w:t>3、中标（成交）通知书；</w:t>
      </w:r>
    </w:p>
    <w:p>
      <w:pPr>
        <w:autoSpaceDE w:val="0"/>
        <w:autoSpaceDN w:val="0"/>
        <w:adjustRightInd w:val="0"/>
        <w:spacing w:line="400" w:lineRule="exact"/>
        <w:ind w:firstLine="420" w:firstLineChars="200"/>
        <w:rPr>
          <w:rFonts w:ascii="宋体" w:hAnsi="宋体" w:cs="仿宋"/>
          <w:color w:val="000000"/>
          <w:szCs w:val="21"/>
          <w:lang w:val="zh-CN"/>
        </w:rPr>
      </w:pPr>
      <w:r>
        <w:rPr>
          <w:rFonts w:hint="eastAsia" w:ascii="宋体" w:hAnsi="宋体" w:cs="仿宋"/>
          <w:color w:val="000000"/>
          <w:szCs w:val="21"/>
          <w:lang w:val="zh-CN"/>
        </w:rPr>
        <w:t>4、中标人在评标过程中做出的有关澄清、说明、承诺或者补正文件；</w:t>
      </w:r>
    </w:p>
    <w:p>
      <w:pPr>
        <w:autoSpaceDE w:val="0"/>
        <w:autoSpaceDN w:val="0"/>
        <w:adjustRightInd w:val="0"/>
        <w:spacing w:line="400" w:lineRule="exact"/>
        <w:ind w:firstLine="420" w:firstLineChars="200"/>
        <w:rPr>
          <w:rFonts w:ascii="宋体" w:hAnsi="宋体" w:cs="仿宋"/>
          <w:color w:val="000000"/>
          <w:szCs w:val="21"/>
          <w:lang w:val="zh-CN"/>
        </w:rPr>
      </w:pPr>
      <w:r>
        <w:rPr>
          <w:rFonts w:hint="eastAsia" w:ascii="宋体" w:hAnsi="宋体" w:cs="仿宋"/>
          <w:color w:val="000000"/>
          <w:szCs w:val="21"/>
          <w:lang w:val="zh-CN"/>
        </w:rPr>
        <w:t>5、政府采购委托协议书。</w:t>
      </w:r>
    </w:p>
    <w:p>
      <w:pPr>
        <w:autoSpaceDE w:val="0"/>
        <w:autoSpaceDN w:val="0"/>
        <w:adjustRightInd w:val="0"/>
        <w:spacing w:line="400" w:lineRule="exact"/>
        <w:ind w:firstLine="422" w:firstLineChars="200"/>
        <w:rPr>
          <w:rFonts w:ascii="宋体" w:hAnsi="宋体" w:cs="仿宋"/>
          <w:color w:val="000000"/>
          <w:szCs w:val="21"/>
        </w:rPr>
      </w:pPr>
      <w:r>
        <w:rPr>
          <w:rFonts w:hint="eastAsia" w:ascii="宋体" w:hAnsi="宋体" w:cs="仿宋"/>
          <w:b/>
          <w:bCs/>
          <w:color w:val="000000"/>
          <w:szCs w:val="21"/>
        </w:rPr>
        <w:t>二、合同范围和条件</w:t>
      </w:r>
    </w:p>
    <w:p>
      <w:pPr>
        <w:autoSpaceDE w:val="0"/>
        <w:autoSpaceDN w:val="0"/>
        <w:adjustRightInd w:val="0"/>
        <w:spacing w:line="400" w:lineRule="exact"/>
        <w:ind w:firstLine="420" w:firstLineChars="200"/>
        <w:rPr>
          <w:rFonts w:ascii="宋体" w:hAnsi="宋体" w:cs="仿宋"/>
          <w:color w:val="000000"/>
          <w:szCs w:val="21"/>
          <w:lang w:val="zh-CN"/>
        </w:rPr>
      </w:pPr>
      <w:r>
        <w:rPr>
          <w:rFonts w:hint="eastAsia" w:ascii="宋体" w:hAnsi="宋体" w:cs="仿宋"/>
          <w:color w:val="000000"/>
          <w:szCs w:val="21"/>
          <w:lang w:val="zh-CN"/>
        </w:rPr>
        <w:t>本合同的范围和条件应与上述合同文件的规定相一致。</w:t>
      </w:r>
    </w:p>
    <w:p>
      <w:pPr>
        <w:pStyle w:val="25"/>
        <w:spacing w:line="276" w:lineRule="auto"/>
        <w:ind w:firstLine="422"/>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b/>
          <w:color w:val="000000"/>
          <w:sz w:val="21"/>
          <w:szCs w:val="21"/>
        </w:rPr>
        <w:t>三、采购内容、价格及采购清单：</w:t>
      </w:r>
      <w:r>
        <w:rPr>
          <w:rFonts w:asciiTheme="minorEastAsia" w:hAnsiTheme="minorEastAsia" w:eastAsiaTheme="minorEastAsia" w:cstheme="minorEastAsia"/>
          <w:color w:val="000000"/>
          <w:sz w:val="21"/>
          <w:szCs w:val="21"/>
        </w:rPr>
        <w:t xml:space="preserve"> </w:t>
      </w:r>
    </w:p>
    <w:tbl>
      <w:tblPr>
        <w:tblStyle w:val="26"/>
        <w:tblW w:w="102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3"/>
        <w:gridCol w:w="16"/>
        <w:gridCol w:w="751"/>
        <w:gridCol w:w="1918"/>
        <w:gridCol w:w="1360"/>
        <w:gridCol w:w="679"/>
        <w:gridCol w:w="709"/>
        <w:gridCol w:w="709"/>
        <w:gridCol w:w="962"/>
        <w:gridCol w:w="850"/>
        <w:gridCol w:w="851"/>
        <w:gridCol w:w="7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93" w:type="dxa"/>
            <w:vAlign w:val="center"/>
          </w:tcPr>
          <w:p>
            <w:pPr>
              <w:jc w:val="center"/>
              <w:rPr>
                <w:rFonts w:asciiTheme="minorEastAsia" w:hAnsiTheme="minorEastAsia" w:eastAsiaTheme="minorEastAsia" w:cstheme="minorEastAsia"/>
                <w:b/>
                <w:color w:val="000000"/>
                <w:szCs w:val="21"/>
              </w:rPr>
            </w:pPr>
            <w:r>
              <w:rPr>
                <w:rFonts w:hint="eastAsia" w:asciiTheme="minorEastAsia" w:hAnsiTheme="minorEastAsia" w:eastAsiaTheme="minorEastAsia" w:cstheme="minorEastAsia"/>
                <w:b/>
                <w:color w:val="000000"/>
                <w:szCs w:val="21"/>
              </w:rPr>
              <w:t>序号</w:t>
            </w:r>
          </w:p>
        </w:tc>
        <w:tc>
          <w:tcPr>
            <w:tcW w:w="2685" w:type="dxa"/>
            <w:gridSpan w:val="3"/>
            <w:vAlign w:val="center"/>
          </w:tcPr>
          <w:p>
            <w:pPr>
              <w:jc w:val="center"/>
              <w:rPr>
                <w:rFonts w:asciiTheme="minorEastAsia" w:hAnsiTheme="minorEastAsia" w:eastAsiaTheme="minorEastAsia" w:cstheme="minorEastAsia"/>
                <w:b/>
                <w:color w:val="000000"/>
                <w:szCs w:val="21"/>
              </w:rPr>
            </w:pPr>
            <w:r>
              <w:rPr>
                <w:rFonts w:hint="eastAsia" w:asciiTheme="minorEastAsia" w:hAnsiTheme="minorEastAsia" w:eastAsiaTheme="minorEastAsia" w:cstheme="minorEastAsia"/>
                <w:b/>
                <w:color w:val="000000"/>
                <w:szCs w:val="21"/>
              </w:rPr>
              <w:t>采购货物名称</w:t>
            </w:r>
          </w:p>
          <w:p>
            <w:pPr>
              <w:pStyle w:val="25"/>
              <w:ind w:firstLine="0" w:firstLineChars="0"/>
              <w:rPr>
                <w:rFonts w:asciiTheme="minorEastAsia" w:hAnsiTheme="minorEastAsia" w:eastAsiaTheme="minorEastAsia" w:cstheme="minorEastAsia"/>
                <w:b/>
                <w:color w:val="000000"/>
                <w:sz w:val="21"/>
                <w:szCs w:val="21"/>
              </w:rPr>
            </w:pPr>
            <w:r>
              <w:rPr>
                <w:rFonts w:hint="eastAsia" w:asciiTheme="minorEastAsia" w:hAnsiTheme="minorEastAsia" w:eastAsiaTheme="minorEastAsia" w:cstheme="minorEastAsia"/>
                <w:b/>
                <w:color w:val="000000"/>
                <w:sz w:val="21"/>
                <w:szCs w:val="21"/>
              </w:rPr>
              <w:t>（进口设备须标明英文名）</w:t>
            </w:r>
          </w:p>
        </w:tc>
        <w:tc>
          <w:tcPr>
            <w:tcW w:w="1360" w:type="dxa"/>
            <w:vAlign w:val="center"/>
          </w:tcPr>
          <w:p>
            <w:pPr>
              <w:jc w:val="center"/>
              <w:rPr>
                <w:rFonts w:asciiTheme="minorEastAsia" w:hAnsiTheme="minorEastAsia" w:eastAsiaTheme="minorEastAsia" w:cstheme="minorEastAsia"/>
                <w:b/>
                <w:color w:val="000000"/>
                <w:szCs w:val="21"/>
              </w:rPr>
            </w:pPr>
            <w:r>
              <w:rPr>
                <w:rFonts w:hint="eastAsia" w:asciiTheme="minorEastAsia" w:hAnsiTheme="minorEastAsia" w:eastAsiaTheme="minorEastAsia" w:cstheme="minorEastAsia"/>
                <w:b/>
                <w:color w:val="000000"/>
                <w:szCs w:val="21"/>
              </w:rPr>
              <w:t>品牌/型号</w:t>
            </w:r>
          </w:p>
        </w:tc>
        <w:tc>
          <w:tcPr>
            <w:tcW w:w="679" w:type="dxa"/>
            <w:vAlign w:val="center"/>
          </w:tcPr>
          <w:p>
            <w:pPr>
              <w:jc w:val="center"/>
              <w:rPr>
                <w:rFonts w:asciiTheme="minorEastAsia" w:hAnsiTheme="minorEastAsia" w:eastAsiaTheme="minorEastAsia" w:cstheme="minorEastAsia"/>
                <w:b/>
                <w:color w:val="000000"/>
                <w:szCs w:val="21"/>
              </w:rPr>
            </w:pPr>
            <w:r>
              <w:rPr>
                <w:rFonts w:hint="eastAsia" w:asciiTheme="minorEastAsia" w:hAnsiTheme="minorEastAsia" w:eastAsiaTheme="minorEastAsia" w:cstheme="minorEastAsia"/>
                <w:b/>
                <w:color w:val="000000"/>
                <w:szCs w:val="21"/>
              </w:rPr>
              <w:t>厂商</w:t>
            </w:r>
          </w:p>
        </w:tc>
        <w:tc>
          <w:tcPr>
            <w:tcW w:w="709" w:type="dxa"/>
            <w:vAlign w:val="center"/>
          </w:tcPr>
          <w:p>
            <w:pPr>
              <w:jc w:val="center"/>
              <w:rPr>
                <w:rFonts w:asciiTheme="minorEastAsia" w:hAnsiTheme="minorEastAsia" w:eastAsiaTheme="minorEastAsia" w:cstheme="minorEastAsia"/>
                <w:b/>
                <w:color w:val="000000"/>
                <w:szCs w:val="21"/>
              </w:rPr>
            </w:pPr>
            <w:r>
              <w:rPr>
                <w:rFonts w:hint="eastAsia" w:asciiTheme="minorEastAsia" w:hAnsiTheme="minorEastAsia" w:eastAsiaTheme="minorEastAsia" w:cstheme="minorEastAsia"/>
                <w:b/>
                <w:color w:val="000000"/>
                <w:szCs w:val="21"/>
              </w:rPr>
              <w:t>产地</w:t>
            </w:r>
          </w:p>
        </w:tc>
        <w:tc>
          <w:tcPr>
            <w:tcW w:w="709" w:type="dxa"/>
            <w:vAlign w:val="center"/>
          </w:tcPr>
          <w:p>
            <w:pPr>
              <w:jc w:val="center"/>
              <w:rPr>
                <w:rFonts w:asciiTheme="minorEastAsia" w:hAnsiTheme="minorEastAsia" w:eastAsiaTheme="minorEastAsia" w:cstheme="minorEastAsia"/>
                <w:b/>
                <w:color w:val="000000"/>
                <w:szCs w:val="21"/>
              </w:rPr>
            </w:pPr>
            <w:r>
              <w:rPr>
                <w:rFonts w:hint="eastAsia" w:asciiTheme="minorEastAsia" w:hAnsiTheme="minorEastAsia" w:eastAsiaTheme="minorEastAsia" w:cstheme="minorEastAsia"/>
                <w:b/>
                <w:color w:val="000000"/>
                <w:szCs w:val="21"/>
              </w:rPr>
              <w:t>数量</w:t>
            </w:r>
          </w:p>
        </w:tc>
        <w:tc>
          <w:tcPr>
            <w:tcW w:w="962" w:type="dxa"/>
            <w:vAlign w:val="center"/>
          </w:tcPr>
          <w:p>
            <w:pPr>
              <w:jc w:val="center"/>
              <w:rPr>
                <w:rFonts w:asciiTheme="minorEastAsia" w:hAnsiTheme="minorEastAsia" w:eastAsiaTheme="minorEastAsia" w:cstheme="minorEastAsia"/>
                <w:b/>
                <w:color w:val="000000"/>
                <w:szCs w:val="21"/>
              </w:rPr>
            </w:pPr>
            <w:r>
              <w:rPr>
                <w:rFonts w:hint="eastAsia" w:asciiTheme="minorEastAsia" w:hAnsiTheme="minorEastAsia" w:eastAsiaTheme="minorEastAsia" w:cstheme="minorEastAsia"/>
                <w:b/>
                <w:color w:val="000000"/>
                <w:szCs w:val="21"/>
              </w:rPr>
              <w:t>单价</w:t>
            </w:r>
          </w:p>
          <w:p>
            <w:pPr>
              <w:jc w:val="center"/>
              <w:rPr>
                <w:rFonts w:asciiTheme="minorEastAsia" w:hAnsiTheme="minorEastAsia" w:eastAsiaTheme="minorEastAsia" w:cstheme="minorEastAsia"/>
                <w:b/>
                <w:color w:val="000000"/>
                <w:szCs w:val="21"/>
              </w:rPr>
            </w:pPr>
            <w:r>
              <w:rPr>
                <w:rFonts w:hint="eastAsia" w:asciiTheme="minorEastAsia" w:hAnsiTheme="minorEastAsia" w:eastAsiaTheme="minorEastAsia" w:cstheme="minorEastAsia"/>
                <w:b/>
                <w:color w:val="000000"/>
                <w:szCs w:val="21"/>
              </w:rPr>
              <w:t>（元）</w:t>
            </w:r>
          </w:p>
        </w:tc>
        <w:tc>
          <w:tcPr>
            <w:tcW w:w="850" w:type="dxa"/>
            <w:vAlign w:val="center"/>
          </w:tcPr>
          <w:p>
            <w:pPr>
              <w:jc w:val="center"/>
              <w:rPr>
                <w:rFonts w:asciiTheme="minorEastAsia" w:hAnsiTheme="minorEastAsia" w:eastAsiaTheme="minorEastAsia" w:cstheme="minorEastAsia"/>
                <w:b/>
                <w:color w:val="000000"/>
                <w:szCs w:val="21"/>
              </w:rPr>
            </w:pPr>
            <w:r>
              <w:rPr>
                <w:rFonts w:hint="eastAsia" w:asciiTheme="minorEastAsia" w:hAnsiTheme="minorEastAsia" w:eastAsiaTheme="minorEastAsia" w:cstheme="minorEastAsia"/>
                <w:b/>
                <w:color w:val="000000"/>
                <w:szCs w:val="21"/>
              </w:rPr>
              <w:t>总价</w:t>
            </w:r>
          </w:p>
          <w:p>
            <w:pPr>
              <w:jc w:val="center"/>
              <w:rPr>
                <w:rFonts w:asciiTheme="minorEastAsia" w:hAnsiTheme="minorEastAsia" w:eastAsiaTheme="minorEastAsia" w:cstheme="minorEastAsia"/>
                <w:b/>
                <w:color w:val="000000"/>
                <w:szCs w:val="21"/>
              </w:rPr>
            </w:pPr>
            <w:r>
              <w:rPr>
                <w:rFonts w:hint="eastAsia" w:asciiTheme="minorEastAsia" w:hAnsiTheme="minorEastAsia" w:eastAsiaTheme="minorEastAsia" w:cstheme="minorEastAsia"/>
                <w:b/>
                <w:color w:val="000000"/>
                <w:szCs w:val="21"/>
              </w:rPr>
              <w:t>（元）</w:t>
            </w:r>
          </w:p>
        </w:tc>
        <w:tc>
          <w:tcPr>
            <w:tcW w:w="851" w:type="dxa"/>
            <w:vAlign w:val="center"/>
          </w:tcPr>
          <w:p>
            <w:pPr>
              <w:jc w:val="center"/>
              <w:rPr>
                <w:rFonts w:asciiTheme="minorEastAsia" w:hAnsiTheme="minorEastAsia" w:eastAsiaTheme="minorEastAsia" w:cstheme="minorEastAsia"/>
                <w:b/>
                <w:color w:val="000000"/>
                <w:szCs w:val="21"/>
              </w:rPr>
            </w:pPr>
            <w:r>
              <w:rPr>
                <w:rFonts w:hint="eastAsia" w:asciiTheme="minorEastAsia" w:hAnsiTheme="minorEastAsia" w:eastAsiaTheme="minorEastAsia" w:cstheme="minorEastAsia"/>
                <w:b/>
                <w:color w:val="000000"/>
                <w:szCs w:val="21"/>
              </w:rPr>
              <w:t>免费</w:t>
            </w:r>
          </w:p>
          <w:p>
            <w:pPr>
              <w:jc w:val="center"/>
              <w:rPr>
                <w:rFonts w:asciiTheme="minorEastAsia" w:hAnsiTheme="minorEastAsia" w:eastAsiaTheme="minorEastAsia" w:cstheme="minorEastAsia"/>
                <w:b/>
                <w:color w:val="000000"/>
                <w:szCs w:val="21"/>
              </w:rPr>
            </w:pPr>
            <w:r>
              <w:rPr>
                <w:rFonts w:hint="eastAsia" w:asciiTheme="minorEastAsia" w:hAnsiTheme="minorEastAsia" w:eastAsiaTheme="minorEastAsia" w:cstheme="minorEastAsia"/>
                <w:b/>
                <w:color w:val="000000"/>
                <w:szCs w:val="21"/>
              </w:rPr>
              <w:t>质保期</w:t>
            </w:r>
          </w:p>
        </w:tc>
        <w:tc>
          <w:tcPr>
            <w:tcW w:w="768" w:type="dxa"/>
            <w:vAlign w:val="center"/>
          </w:tcPr>
          <w:p>
            <w:pPr>
              <w:jc w:val="center"/>
              <w:rPr>
                <w:rFonts w:asciiTheme="minorEastAsia" w:hAnsiTheme="minorEastAsia" w:eastAsiaTheme="minorEastAsia" w:cstheme="minorEastAsia"/>
                <w:b/>
                <w:color w:val="000000"/>
                <w:szCs w:val="21"/>
              </w:rPr>
            </w:pPr>
            <w:r>
              <w:rPr>
                <w:rFonts w:hint="eastAsia" w:asciiTheme="minorEastAsia" w:hAnsiTheme="minorEastAsia" w:eastAsiaTheme="minorEastAsia" w:cstheme="minorEastAsia"/>
                <w:b/>
                <w:color w:val="000000"/>
                <w:szCs w:val="21"/>
              </w:rPr>
              <w:t>交货</w:t>
            </w:r>
          </w:p>
          <w:p>
            <w:pPr>
              <w:jc w:val="center"/>
              <w:rPr>
                <w:rFonts w:asciiTheme="minorEastAsia" w:hAnsiTheme="minorEastAsia" w:eastAsiaTheme="minorEastAsia" w:cstheme="minorEastAsia"/>
                <w:b/>
                <w:color w:val="000000"/>
                <w:szCs w:val="21"/>
              </w:rPr>
            </w:pPr>
            <w:r>
              <w:rPr>
                <w:rFonts w:hint="eastAsia" w:asciiTheme="minorEastAsia" w:hAnsiTheme="minorEastAsia" w:eastAsiaTheme="minorEastAsia" w:cstheme="minorEastAsia"/>
                <w:b/>
                <w:color w:val="000000"/>
                <w:szCs w:val="21"/>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93" w:type="dxa"/>
            <w:vAlign w:val="center"/>
          </w:tcPr>
          <w:p>
            <w:pPr>
              <w:spacing w:line="360" w:lineRule="auto"/>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w:t>
            </w:r>
          </w:p>
        </w:tc>
        <w:tc>
          <w:tcPr>
            <w:tcW w:w="2685" w:type="dxa"/>
            <w:gridSpan w:val="3"/>
            <w:vAlign w:val="center"/>
          </w:tcPr>
          <w:p>
            <w:pPr>
              <w:spacing w:line="360" w:lineRule="auto"/>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 xml:space="preserve"> </w:t>
            </w:r>
          </w:p>
        </w:tc>
        <w:tc>
          <w:tcPr>
            <w:tcW w:w="1360" w:type="dxa"/>
            <w:vAlign w:val="center"/>
          </w:tcPr>
          <w:p>
            <w:pPr>
              <w:spacing w:line="360" w:lineRule="auto"/>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 xml:space="preserve">  </w:t>
            </w:r>
          </w:p>
        </w:tc>
        <w:tc>
          <w:tcPr>
            <w:tcW w:w="679" w:type="dxa"/>
          </w:tcPr>
          <w:p>
            <w:pPr>
              <w:spacing w:line="360" w:lineRule="auto"/>
              <w:jc w:val="center"/>
              <w:rPr>
                <w:rFonts w:asciiTheme="minorEastAsia" w:hAnsiTheme="minorEastAsia" w:eastAsiaTheme="minorEastAsia" w:cstheme="minorEastAsia"/>
                <w:color w:val="000000"/>
                <w:szCs w:val="21"/>
              </w:rPr>
            </w:pPr>
          </w:p>
        </w:tc>
        <w:tc>
          <w:tcPr>
            <w:tcW w:w="709" w:type="dxa"/>
          </w:tcPr>
          <w:p>
            <w:pPr>
              <w:jc w:val="center"/>
              <w:rPr>
                <w:rFonts w:asciiTheme="minorEastAsia" w:hAnsiTheme="minorEastAsia" w:eastAsiaTheme="minorEastAsia" w:cstheme="minorEastAsia"/>
                <w:b/>
                <w:color w:val="000000"/>
                <w:szCs w:val="21"/>
              </w:rPr>
            </w:pPr>
          </w:p>
        </w:tc>
        <w:tc>
          <w:tcPr>
            <w:tcW w:w="709" w:type="dxa"/>
            <w:vAlign w:val="center"/>
          </w:tcPr>
          <w:p>
            <w:pPr>
              <w:spacing w:line="360" w:lineRule="auto"/>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 xml:space="preserve"> </w:t>
            </w:r>
          </w:p>
        </w:tc>
        <w:tc>
          <w:tcPr>
            <w:tcW w:w="962" w:type="dxa"/>
            <w:vAlign w:val="center"/>
          </w:tcPr>
          <w:p>
            <w:pPr>
              <w:spacing w:line="360" w:lineRule="auto"/>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 xml:space="preserve"> </w:t>
            </w:r>
          </w:p>
        </w:tc>
        <w:tc>
          <w:tcPr>
            <w:tcW w:w="850" w:type="dxa"/>
          </w:tcPr>
          <w:p>
            <w:pPr>
              <w:spacing w:line="360" w:lineRule="auto"/>
              <w:jc w:val="center"/>
              <w:rPr>
                <w:rFonts w:asciiTheme="minorEastAsia" w:hAnsiTheme="minorEastAsia" w:eastAsiaTheme="minorEastAsia" w:cstheme="minorEastAsia"/>
                <w:color w:val="000000"/>
                <w:szCs w:val="21"/>
              </w:rPr>
            </w:pPr>
          </w:p>
        </w:tc>
        <w:tc>
          <w:tcPr>
            <w:tcW w:w="851" w:type="dxa"/>
            <w:vAlign w:val="center"/>
          </w:tcPr>
          <w:p>
            <w:pPr>
              <w:spacing w:line="360" w:lineRule="auto"/>
              <w:jc w:val="center"/>
              <w:rPr>
                <w:rFonts w:asciiTheme="minorEastAsia" w:hAnsiTheme="minorEastAsia" w:eastAsiaTheme="minorEastAsia" w:cstheme="minorEastAsia"/>
                <w:color w:val="000000"/>
                <w:szCs w:val="21"/>
              </w:rPr>
            </w:pPr>
          </w:p>
        </w:tc>
        <w:tc>
          <w:tcPr>
            <w:tcW w:w="768" w:type="dxa"/>
            <w:vAlign w:val="center"/>
          </w:tcPr>
          <w:p>
            <w:pPr>
              <w:spacing w:line="360" w:lineRule="auto"/>
              <w:jc w:val="center"/>
              <w:rPr>
                <w:rFonts w:asciiTheme="minorEastAsia" w:hAnsiTheme="minorEastAsia" w:eastAsiaTheme="minorEastAsia" w:cstheme="minorEastAsia"/>
                <w:color w:val="000000"/>
                <w:szCs w:val="21"/>
                <w:lang w:val="zh-CN"/>
              </w:rPr>
            </w:pPr>
            <w:r>
              <w:rPr>
                <w:rFonts w:hint="eastAsia" w:asciiTheme="minorEastAsia" w:hAnsiTheme="minorEastAsia" w:eastAsiaTheme="minorEastAsia" w:cstheme="minorEastAsia"/>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3" w:type="dxa"/>
            <w:vAlign w:val="center"/>
          </w:tcPr>
          <w:p>
            <w:pPr>
              <w:spacing w:line="360" w:lineRule="auto"/>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2</w:t>
            </w:r>
          </w:p>
        </w:tc>
        <w:tc>
          <w:tcPr>
            <w:tcW w:w="2685" w:type="dxa"/>
            <w:gridSpan w:val="3"/>
            <w:vAlign w:val="center"/>
          </w:tcPr>
          <w:p>
            <w:pPr>
              <w:spacing w:line="360" w:lineRule="auto"/>
              <w:jc w:val="center"/>
              <w:rPr>
                <w:rFonts w:asciiTheme="minorEastAsia" w:hAnsiTheme="minorEastAsia" w:eastAsiaTheme="minorEastAsia" w:cstheme="minorEastAsia"/>
                <w:color w:val="000000"/>
                <w:szCs w:val="21"/>
              </w:rPr>
            </w:pPr>
          </w:p>
        </w:tc>
        <w:tc>
          <w:tcPr>
            <w:tcW w:w="1360" w:type="dxa"/>
            <w:vAlign w:val="center"/>
          </w:tcPr>
          <w:p>
            <w:pPr>
              <w:spacing w:line="360" w:lineRule="auto"/>
              <w:jc w:val="center"/>
              <w:rPr>
                <w:rFonts w:asciiTheme="minorEastAsia" w:hAnsiTheme="minorEastAsia" w:eastAsiaTheme="minorEastAsia" w:cstheme="minorEastAsia"/>
                <w:color w:val="000000"/>
                <w:szCs w:val="21"/>
              </w:rPr>
            </w:pPr>
          </w:p>
        </w:tc>
        <w:tc>
          <w:tcPr>
            <w:tcW w:w="679" w:type="dxa"/>
          </w:tcPr>
          <w:p>
            <w:pPr>
              <w:spacing w:line="360" w:lineRule="auto"/>
              <w:jc w:val="center"/>
              <w:rPr>
                <w:rFonts w:asciiTheme="minorEastAsia" w:hAnsiTheme="minorEastAsia" w:eastAsiaTheme="minorEastAsia" w:cstheme="minorEastAsia"/>
                <w:color w:val="000000"/>
                <w:szCs w:val="21"/>
              </w:rPr>
            </w:pPr>
          </w:p>
        </w:tc>
        <w:tc>
          <w:tcPr>
            <w:tcW w:w="709" w:type="dxa"/>
          </w:tcPr>
          <w:p>
            <w:pPr>
              <w:jc w:val="center"/>
              <w:rPr>
                <w:rFonts w:asciiTheme="minorEastAsia" w:hAnsiTheme="minorEastAsia" w:eastAsiaTheme="minorEastAsia" w:cstheme="minorEastAsia"/>
                <w:b/>
                <w:color w:val="000000"/>
                <w:szCs w:val="21"/>
              </w:rPr>
            </w:pPr>
          </w:p>
        </w:tc>
        <w:tc>
          <w:tcPr>
            <w:tcW w:w="709" w:type="dxa"/>
            <w:vAlign w:val="center"/>
          </w:tcPr>
          <w:p>
            <w:pPr>
              <w:spacing w:line="360" w:lineRule="auto"/>
              <w:jc w:val="center"/>
              <w:rPr>
                <w:rFonts w:asciiTheme="minorEastAsia" w:hAnsiTheme="minorEastAsia" w:eastAsiaTheme="minorEastAsia" w:cstheme="minorEastAsia"/>
                <w:color w:val="000000"/>
                <w:szCs w:val="21"/>
              </w:rPr>
            </w:pPr>
          </w:p>
        </w:tc>
        <w:tc>
          <w:tcPr>
            <w:tcW w:w="962" w:type="dxa"/>
            <w:vAlign w:val="center"/>
          </w:tcPr>
          <w:p>
            <w:pPr>
              <w:spacing w:line="360" w:lineRule="auto"/>
              <w:jc w:val="center"/>
              <w:rPr>
                <w:rFonts w:asciiTheme="minorEastAsia" w:hAnsiTheme="minorEastAsia" w:eastAsiaTheme="minorEastAsia" w:cstheme="minorEastAsia"/>
                <w:color w:val="000000"/>
                <w:szCs w:val="21"/>
              </w:rPr>
            </w:pPr>
          </w:p>
        </w:tc>
        <w:tc>
          <w:tcPr>
            <w:tcW w:w="850" w:type="dxa"/>
          </w:tcPr>
          <w:p>
            <w:pPr>
              <w:spacing w:line="360" w:lineRule="auto"/>
              <w:jc w:val="center"/>
              <w:rPr>
                <w:rFonts w:asciiTheme="minorEastAsia" w:hAnsiTheme="minorEastAsia" w:eastAsiaTheme="minorEastAsia" w:cstheme="minorEastAsia"/>
                <w:color w:val="000000"/>
                <w:szCs w:val="21"/>
              </w:rPr>
            </w:pPr>
          </w:p>
        </w:tc>
        <w:tc>
          <w:tcPr>
            <w:tcW w:w="851" w:type="dxa"/>
            <w:vAlign w:val="center"/>
          </w:tcPr>
          <w:p>
            <w:pPr>
              <w:spacing w:line="360" w:lineRule="auto"/>
              <w:jc w:val="center"/>
              <w:rPr>
                <w:rFonts w:asciiTheme="minorEastAsia" w:hAnsiTheme="minorEastAsia" w:eastAsiaTheme="minorEastAsia" w:cstheme="minorEastAsia"/>
                <w:color w:val="000000"/>
                <w:szCs w:val="21"/>
              </w:rPr>
            </w:pPr>
          </w:p>
        </w:tc>
        <w:tc>
          <w:tcPr>
            <w:tcW w:w="768" w:type="dxa"/>
            <w:vAlign w:val="center"/>
          </w:tcPr>
          <w:p>
            <w:pPr>
              <w:spacing w:line="360" w:lineRule="auto"/>
              <w:jc w:val="center"/>
              <w:rPr>
                <w:rFonts w:asciiTheme="minorEastAsia" w:hAnsiTheme="minorEastAsia" w:eastAsiaTheme="minorEastAsia" w:cs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3" w:type="dxa"/>
            <w:vAlign w:val="center"/>
          </w:tcPr>
          <w:p>
            <w:pPr>
              <w:spacing w:line="360" w:lineRule="auto"/>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3</w:t>
            </w:r>
          </w:p>
        </w:tc>
        <w:tc>
          <w:tcPr>
            <w:tcW w:w="2685" w:type="dxa"/>
            <w:gridSpan w:val="3"/>
            <w:vAlign w:val="center"/>
          </w:tcPr>
          <w:p>
            <w:pPr>
              <w:spacing w:line="360" w:lineRule="auto"/>
              <w:jc w:val="center"/>
              <w:rPr>
                <w:rFonts w:asciiTheme="minorEastAsia" w:hAnsiTheme="minorEastAsia" w:eastAsiaTheme="minorEastAsia" w:cstheme="minorEastAsia"/>
                <w:color w:val="000000"/>
                <w:szCs w:val="21"/>
              </w:rPr>
            </w:pPr>
          </w:p>
        </w:tc>
        <w:tc>
          <w:tcPr>
            <w:tcW w:w="1360" w:type="dxa"/>
            <w:vAlign w:val="center"/>
          </w:tcPr>
          <w:p>
            <w:pPr>
              <w:spacing w:line="360" w:lineRule="auto"/>
              <w:jc w:val="center"/>
              <w:rPr>
                <w:rFonts w:asciiTheme="minorEastAsia" w:hAnsiTheme="minorEastAsia" w:eastAsiaTheme="minorEastAsia" w:cstheme="minorEastAsia"/>
                <w:color w:val="000000"/>
                <w:szCs w:val="21"/>
              </w:rPr>
            </w:pPr>
          </w:p>
        </w:tc>
        <w:tc>
          <w:tcPr>
            <w:tcW w:w="679" w:type="dxa"/>
          </w:tcPr>
          <w:p>
            <w:pPr>
              <w:spacing w:line="360" w:lineRule="auto"/>
              <w:jc w:val="center"/>
              <w:rPr>
                <w:rFonts w:asciiTheme="minorEastAsia" w:hAnsiTheme="minorEastAsia" w:eastAsiaTheme="minorEastAsia" w:cstheme="minorEastAsia"/>
                <w:color w:val="000000"/>
                <w:szCs w:val="21"/>
              </w:rPr>
            </w:pPr>
          </w:p>
        </w:tc>
        <w:tc>
          <w:tcPr>
            <w:tcW w:w="709" w:type="dxa"/>
          </w:tcPr>
          <w:p>
            <w:pPr>
              <w:jc w:val="center"/>
              <w:rPr>
                <w:rFonts w:asciiTheme="minorEastAsia" w:hAnsiTheme="minorEastAsia" w:eastAsiaTheme="minorEastAsia" w:cstheme="minorEastAsia"/>
                <w:b/>
                <w:color w:val="000000"/>
                <w:szCs w:val="21"/>
              </w:rPr>
            </w:pPr>
          </w:p>
        </w:tc>
        <w:tc>
          <w:tcPr>
            <w:tcW w:w="709" w:type="dxa"/>
            <w:vAlign w:val="center"/>
          </w:tcPr>
          <w:p>
            <w:pPr>
              <w:spacing w:line="360" w:lineRule="auto"/>
              <w:jc w:val="center"/>
              <w:rPr>
                <w:rFonts w:asciiTheme="minorEastAsia" w:hAnsiTheme="minorEastAsia" w:eastAsiaTheme="minorEastAsia" w:cstheme="minorEastAsia"/>
                <w:color w:val="000000"/>
                <w:szCs w:val="21"/>
              </w:rPr>
            </w:pPr>
          </w:p>
        </w:tc>
        <w:tc>
          <w:tcPr>
            <w:tcW w:w="962" w:type="dxa"/>
            <w:vAlign w:val="center"/>
          </w:tcPr>
          <w:p>
            <w:pPr>
              <w:spacing w:line="360" w:lineRule="auto"/>
              <w:jc w:val="center"/>
              <w:rPr>
                <w:rFonts w:asciiTheme="minorEastAsia" w:hAnsiTheme="minorEastAsia" w:eastAsiaTheme="minorEastAsia" w:cstheme="minorEastAsia"/>
                <w:color w:val="000000"/>
                <w:szCs w:val="21"/>
              </w:rPr>
            </w:pPr>
          </w:p>
        </w:tc>
        <w:tc>
          <w:tcPr>
            <w:tcW w:w="850" w:type="dxa"/>
          </w:tcPr>
          <w:p>
            <w:pPr>
              <w:spacing w:line="360" w:lineRule="auto"/>
              <w:jc w:val="center"/>
              <w:rPr>
                <w:rFonts w:asciiTheme="minorEastAsia" w:hAnsiTheme="minorEastAsia" w:eastAsiaTheme="minorEastAsia" w:cstheme="minorEastAsia"/>
                <w:color w:val="000000"/>
                <w:szCs w:val="21"/>
              </w:rPr>
            </w:pPr>
          </w:p>
        </w:tc>
        <w:tc>
          <w:tcPr>
            <w:tcW w:w="851" w:type="dxa"/>
            <w:vAlign w:val="center"/>
          </w:tcPr>
          <w:p>
            <w:pPr>
              <w:spacing w:line="360" w:lineRule="auto"/>
              <w:jc w:val="center"/>
              <w:rPr>
                <w:rFonts w:asciiTheme="minorEastAsia" w:hAnsiTheme="minorEastAsia" w:eastAsiaTheme="minorEastAsia" w:cstheme="minorEastAsia"/>
                <w:color w:val="000000"/>
                <w:szCs w:val="21"/>
              </w:rPr>
            </w:pPr>
          </w:p>
        </w:tc>
        <w:tc>
          <w:tcPr>
            <w:tcW w:w="768" w:type="dxa"/>
            <w:vAlign w:val="center"/>
          </w:tcPr>
          <w:p>
            <w:pPr>
              <w:spacing w:line="360" w:lineRule="auto"/>
              <w:jc w:val="center"/>
              <w:rPr>
                <w:rFonts w:asciiTheme="minorEastAsia" w:hAnsiTheme="minorEastAsia" w:eastAsiaTheme="minorEastAsia" w:cs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3" w:type="dxa"/>
            <w:vAlign w:val="center"/>
          </w:tcPr>
          <w:p>
            <w:pPr>
              <w:spacing w:line="360" w:lineRule="auto"/>
              <w:jc w:val="center"/>
              <w:rPr>
                <w:rFonts w:asciiTheme="minorEastAsia" w:hAnsiTheme="minorEastAsia" w:eastAsiaTheme="minorEastAsia" w:cstheme="minorEastAsia"/>
                <w:color w:val="000000"/>
                <w:szCs w:val="21"/>
              </w:rPr>
            </w:pPr>
          </w:p>
        </w:tc>
        <w:tc>
          <w:tcPr>
            <w:tcW w:w="2685" w:type="dxa"/>
            <w:gridSpan w:val="3"/>
            <w:vAlign w:val="center"/>
          </w:tcPr>
          <w:p>
            <w:pPr>
              <w:spacing w:line="360" w:lineRule="auto"/>
              <w:jc w:val="center"/>
              <w:rPr>
                <w:rFonts w:asciiTheme="minorEastAsia" w:hAnsiTheme="minorEastAsia" w:eastAsiaTheme="minorEastAsia" w:cstheme="minorEastAsia"/>
                <w:color w:val="000000"/>
                <w:szCs w:val="21"/>
              </w:rPr>
            </w:pPr>
          </w:p>
        </w:tc>
        <w:tc>
          <w:tcPr>
            <w:tcW w:w="1360" w:type="dxa"/>
            <w:vAlign w:val="center"/>
          </w:tcPr>
          <w:p>
            <w:pPr>
              <w:spacing w:line="360" w:lineRule="auto"/>
              <w:jc w:val="center"/>
              <w:rPr>
                <w:rFonts w:asciiTheme="minorEastAsia" w:hAnsiTheme="minorEastAsia" w:eastAsiaTheme="minorEastAsia" w:cstheme="minorEastAsia"/>
                <w:color w:val="000000"/>
                <w:szCs w:val="21"/>
              </w:rPr>
            </w:pPr>
          </w:p>
        </w:tc>
        <w:tc>
          <w:tcPr>
            <w:tcW w:w="679" w:type="dxa"/>
          </w:tcPr>
          <w:p>
            <w:pPr>
              <w:spacing w:line="360" w:lineRule="auto"/>
              <w:jc w:val="center"/>
              <w:rPr>
                <w:rFonts w:asciiTheme="minorEastAsia" w:hAnsiTheme="minorEastAsia" w:eastAsiaTheme="minorEastAsia" w:cstheme="minorEastAsia"/>
                <w:color w:val="000000"/>
                <w:szCs w:val="21"/>
              </w:rPr>
            </w:pPr>
          </w:p>
        </w:tc>
        <w:tc>
          <w:tcPr>
            <w:tcW w:w="709" w:type="dxa"/>
          </w:tcPr>
          <w:p>
            <w:pPr>
              <w:jc w:val="center"/>
              <w:rPr>
                <w:rFonts w:asciiTheme="minorEastAsia" w:hAnsiTheme="minorEastAsia" w:eastAsiaTheme="minorEastAsia" w:cstheme="minorEastAsia"/>
                <w:b/>
                <w:color w:val="000000"/>
                <w:szCs w:val="21"/>
              </w:rPr>
            </w:pPr>
          </w:p>
        </w:tc>
        <w:tc>
          <w:tcPr>
            <w:tcW w:w="709" w:type="dxa"/>
            <w:vAlign w:val="center"/>
          </w:tcPr>
          <w:p>
            <w:pPr>
              <w:spacing w:line="360" w:lineRule="auto"/>
              <w:jc w:val="center"/>
              <w:rPr>
                <w:rFonts w:asciiTheme="minorEastAsia" w:hAnsiTheme="minorEastAsia" w:eastAsiaTheme="minorEastAsia" w:cstheme="minorEastAsia"/>
                <w:color w:val="000000"/>
                <w:szCs w:val="21"/>
              </w:rPr>
            </w:pPr>
          </w:p>
        </w:tc>
        <w:tc>
          <w:tcPr>
            <w:tcW w:w="962" w:type="dxa"/>
            <w:vAlign w:val="center"/>
          </w:tcPr>
          <w:p>
            <w:pPr>
              <w:spacing w:line="360" w:lineRule="auto"/>
              <w:jc w:val="center"/>
              <w:rPr>
                <w:rFonts w:asciiTheme="minorEastAsia" w:hAnsiTheme="minorEastAsia" w:eastAsiaTheme="minorEastAsia" w:cstheme="minorEastAsia"/>
                <w:color w:val="000000"/>
                <w:szCs w:val="21"/>
              </w:rPr>
            </w:pPr>
          </w:p>
        </w:tc>
        <w:tc>
          <w:tcPr>
            <w:tcW w:w="850" w:type="dxa"/>
          </w:tcPr>
          <w:p>
            <w:pPr>
              <w:spacing w:line="360" w:lineRule="auto"/>
              <w:jc w:val="center"/>
              <w:rPr>
                <w:rFonts w:asciiTheme="minorEastAsia" w:hAnsiTheme="minorEastAsia" w:eastAsiaTheme="minorEastAsia" w:cstheme="minorEastAsia"/>
                <w:color w:val="000000"/>
                <w:szCs w:val="21"/>
              </w:rPr>
            </w:pPr>
          </w:p>
        </w:tc>
        <w:tc>
          <w:tcPr>
            <w:tcW w:w="851" w:type="dxa"/>
            <w:vAlign w:val="center"/>
          </w:tcPr>
          <w:p>
            <w:pPr>
              <w:spacing w:line="360" w:lineRule="auto"/>
              <w:jc w:val="center"/>
              <w:rPr>
                <w:rFonts w:asciiTheme="minorEastAsia" w:hAnsiTheme="minorEastAsia" w:eastAsiaTheme="minorEastAsia" w:cstheme="minorEastAsia"/>
                <w:color w:val="000000"/>
                <w:szCs w:val="21"/>
              </w:rPr>
            </w:pPr>
          </w:p>
        </w:tc>
        <w:tc>
          <w:tcPr>
            <w:tcW w:w="768" w:type="dxa"/>
            <w:vAlign w:val="center"/>
          </w:tcPr>
          <w:p>
            <w:pPr>
              <w:spacing w:line="360" w:lineRule="auto"/>
              <w:jc w:val="center"/>
              <w:rPr>
                <w:rFonts w:asciiTheme="minorEastAsia" w:hAnsiTheme="minorEastAsia" w:eastAsiaTheme="minorEastAsia" w:cs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9" w:type="dxa"/>
            <w:gridSpan w:val="2"/>
          </w:tcPr>
          <w:p>
            <w:pPr>
              <w:spacing w:line="360" w:lineRule="auto"/>
              <w:jc w:val="left"/>
              <w:rPr>
                <w:rFonts w:asciiTheme="minorEastAsia" w:hAnsiTheme="minorEastAsia" w:eastAsiaTheme="minorEastAsia" w:cstheme="minorEastAsia"/>
                <w:color w:val="000000"/>
                <w:szCs w:val="21"/>
              </w:rPr>
            </w:pPr>
          </w:p>
        </w:tc>
        <w:tc>
          <w:tcPr>
            <w:tcW w:w="9557" w:type="dxa"/>
            <w:gridSpan w:val="10"/>
          </w:tcPr>
          <w:p>
            <w:pPr>
              <w:spacing w:line="360" w:lineRule="auto"/>
              <w:jc w:val="left"/>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 xml:space="preserve">合计：（大写）                                   小写：￥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60" w:type="dxa"/>
            <w:gridSpan w:val="3"/>
          </w:tcPr>
          <w:p>
            <w:pPr>
              <w:spacing w:line="360" w:lineRule="auto"/>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甲方</w:t>
            </w:r>
          </w:p>
        </w:tc>
        <w:tc>
          <w:tcPr>
            <w:tcW w:w="8806" w:type="dxa"/>
            <w:gridSpan w:val="9"/>
          </w:tcPr>
          <w:p>
            <w:pPr>
              <w:spacing w:line="360" w:lineRule="auto"/>
              <w:jc w:val="left"/>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联系人：  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60" w:type="dxa"/>
            <w:gridSpan w:val="3"/>
          </w:tcPr>
          <w:p>
            <w:pPr>
              <w:spacing w:line="360" w:lineRule="auto"/>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乙方</w:t>
            </w:r>
          </w:p>
        </w:tc>
        <w:tc>
          <w:tcPr>
            <w:tcW w:w="8806" w:type="dxa"/>
            <w:gridSpan w:val="9"/>
          </w:tcPr>
          <w:p>
            <w:pPr>
              <w:spacing w:line="360" w:lineRule="auto"/>
              <w:jc w:val="left"/>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联系人：  联系方式：</w:t>
            </w:r>
          </w:p>
        </w:tc>
      </w:tr>
    </w:tbl>
    <w:p>
      <w:pPr>
        <w:pStyle w:val="53"/>
        <w:wordWrap/>
        <w:spacing w:line="400" w:lineRule="exact"/>
        <w:ind w:firstLine="422"/>
        <w:outlineLvl w:val="9"/>
        <w:rPr>
          <w:rFonts w:asciiTheme="minorEastAsia" w:hAnsiTheme="minorEastAsia" w:eastAsiaTheme="minorEastAsia" w:cstheme="minorEastAsia"/>
          <w:b/>
          <w:color w:val="000000"/>
          <w:sz w:val="21"/>
          <w:szCs w:val="21"/>
        </w:rPr>
      </w:pPr>
      <w:r>
        <w:rPr>
          <w:rFonts w:hint="eastAsia" w:asciiTheme="minorEastAsia" w:hAnsiTheme="minorEastAsia" w:eastAsiaTheme="minorEastAsia" w:cstheme="minorEastAsia"/>
          <w:b/>
          <w:color w:val="000000"/>
          <w:sz w:val="21"/>
          <w:szCs w:val="21"/>
        </w:rPr>
        <w:t>四、合同金额</w:t>
      </w:r>
    </w:p>
    <w:p>
      <w:pPr>
        <w:spacing w:line="400" w:lineRule="exact"/>
        <w:ind w:firstLine="420" w:firstLineChars="200"/>
        <w:jc w:val="left"/>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根据中标通知书中规定，合同总金额为人民币大写:                  ；小写：               ，。此价款已包括乙方提供本合同约定的全部货物及服务、税费等与本合同相关的一切费用，除乙方不能如约履行合同义务做相应扣减外，结算时不予调整。甲方须向乙方支付的全部款项。除此价款外，甲方无须向乙方支付任何款项。</w:t>
      </w:r>
    </w:p>
    <w:p>
      <w:pPr>
        <w:pStyle w:val="53"/>
        <w:wordWrap/>
        <w:spacing w:line="400" w:lineRule="exact"/>
        <w:ind w:firstLine="422"/>
        <w:outlineLvl w:val="9"/>
        <w:rPr>
          <w:rFonts w:asciiTheme="minorEastAsia" w:hAnsiTheme="minorEastAsia" w:eastAsiaTheme="minorEastAsia" w:cstheme="minorEastAsia"/>
          <w:b/>
          <w:color w:val="000000"/>
          <w:sz w:val="21"/>
          <w:szCs w:val="21"/>
        </w:rPr>
      </w:pPr>
      <w:r>
        <w:rPr>
          <w:rFonts w:hint="eastAsia" w:asciiTheme="minorEastAsia" w:hAnsiTheme="minorEastAsia" w:eastAsiaTheme="minorEastAsia" w:cstheme="minorEastAsia"/>
          <w:b/>
          <w:color w:val="000000"/>
          <w:sz w:val="21"/>
          <w:szCs w:val="21"/>
        </w:rPr>
        <w:t>五、交货期和交货地点</w:t>
      </w:r>
    </w:p>
    <w:p>
      <w:pPr>
        <w:pStyle w:val="54"/>
        <w:wordWrap/>
        <w:spacing w:line="400" w:lineRule="exact"/>
        <w:ind w:firstLine="420"/>
        <w:outlineLvl w:val="9"/>
        <w:rPr>
          <w:rFonts w:asciiTheme="minorEastAsia" w:hAnsiTheme="minorEastAsia" w:eastAsiaTheme="minorEastAsia" w:cstheme="minorEastAsia"/>
          <w:b w:val="0"/>
          <w:snapToGrid w:val="0"/>
          <w:color w:val="000000"/>
          <w:sz w:val="21"/>
          <w:szCs w:val="21"/>
        </w:rPr>
      </w:pPr>
      <w:r>
        <w:rPr>
          <w:rFonts w:hint="eastAsia" w:asciiTheme="minorEastAsia" w:hAnsiTheme="minorEastAsia" w:eastAsiaTheme="minorEastAsia" w:cstheme="minorEastAsia"/>
          <w:b w:val="0"/>
          <w:color w:val="000000"/>
          <w:sz w:val="21"/>
          <w:szCs w:val="21"/>
        </w:rPr>
        <w:t>1、交货期：</w:t>
      </w:r>
      <w:r>
        <w:rPr>
          <w:rFonts w:hint="eastAsia" w:asciiTheme="minorEastAsia" w:hAnsiTheme="minorEastAsia" w:eastAsiaTheme="minorEastAsia" w:cstheme="minorEastAsia"/>
          <w:b w:val="0"/>
          <w:snapToGrid w:val="0"/>
          <w:color w:val="000000"/>
          <w:sz w:val="21"/>
          <w:szCs w:val="21"/>
          <w:u w:val="single"/>
        </w:rPr>
        <w:t xml:space="preserve">             </w:t>
      </w:r>
      <w:r>
        <w:rPr>
          <w:rFonts w:hint="eastAsia" w:asciiTheme="minorEastAsia" w:hAnsiTheme="minorEastAsia" w:eastAsiaTheme="minorEastAsia" w:cstheme="minorEastAsia"/>
          <w:b w:val="0"/>
          <w:snapToGrid w:val="0"/>
          <w:color w:val="000000"/>
          <w:sz w:val="21"/>
          <w:szCs w:val="21"/>
        </w:rPr>
        <w:t>。乙方于交货的同时应向甲方提供货物清单、合格证书等资料。双方在确认交货时间时，已充分考虑了节假日以及新冠疫情影响等各种因素，除出现人力不可抗拒因素或重大变更且经甲方书面同意的，否则交货时间不予调整。</w:t>
      </w:r>
    </w:p>
    <w:p>
      <w:pPr>
        <w:pStyle w:val="54"/>
        <w:wordWrap/>
        <w:spacing w:line="400" w:lineRule="exact"/>
        <w:ind w:firstLine="420"/>
        <w:outlineLvl w:val="9"/>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b w:val="0"/>
          <w:color w:val="000000"/>
          <w:sz w:val="21"/>
          <w:szCs w:val="21"/>
        </w:rPr>
        <w:t>2、交货地点：江苏医药职业学院指定地点</w:t>
      </w:r>
    </w:p>
    <w:p>
      <w:pPr>
        <w:pStyle w:val="53"/>
        <w:wordWrap/>
        <w:spacing w:line="400" w:lineRule="exact"/>
        <w:ind w:firstLine="420"/>
        <w:outlineLvl w:val="9"/>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snapToGrid w:val="0"/>
          <w:color w:val="000000"/>
          <w:kern w:val="0"/>
          <w:sz w:val="21"/>
          <w:szCs w:val="21"/>
        </w:rPr>
        <w:t>3、甲方有权对交货地点和时间进行调整，因甲方要求变更交货时间和地点时，乙方不承担违约责任；当甲方的通知到达乙方时，交货地点或时间即相应调整，乙方应予执行并负担因此增加的相关合同价款和费用，即甲方并不因调整交货时间而额外向乙方支付任何费用或进行赔偿，乙方亦放弃因此而向甲方主张任何费用或赔偿的权利。</w:t>
      </w:r>
    </w:p>
    <w:p>
      <w:pPr>
        <w:pStyle w:val="53"/>
        <w:wordWrap/>
        <w:spacing w:line="400" w:lineRule="exact"/>
        <w:ind w:firstLine="420"/>
        <w:outlineLvl w:val="9"/>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4、货物所有权自乙方负责将货物运送至交货地点、交付甲方时起转移，交付给甲方之前的相关的运输、保险、保管等费用及货物灭失、损毁的一切风险由乙方承担，并负责补足、更换、修理及承担相应费用。</w:t>
      </w:r>
    </w:p>
    <w:p>
      <w:pPr>
        <w:pStyle w:val="53"/>
        <w:wordWrap/>
        <w:spacing w:line="400" w:lineRule="exact"/>
        <w:ind w:firstLine="420"/>
        <w:outlineLvl w:val="9"/>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5、乙方应承担由于包装或其防护措施不妥而引起的货物损坏或丢失等的全部责任。</w:t>
      </w:r>
    </w:p>
    <w:p>
      <w:pPr>
        <w:pStyle w:val="53"/>
        <w:wordWrap/>
        <w:spacing w:line="400" w:lineRule="exact"/>
        <w:ind w:firstLine="420"/>
        <w:outlineLvl w:val="9"/>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6、安全责任：货物在运输、装卸、正常使用过程中，因质量问题等造成甲方或第三方人身伤害及财产损失的，由乙方承担全部责任。</w:t>
      </w:r>
    </w:p>
    <w:p>
      <w:pPr>
        <w:pStyle w:val="53"/>
        <w:wordWrap/>
        <w:spacing w:line="400" w:lineRule="exact"/>
        <w:ind w:firstLine="422"/>
        <w:outlineLvl w:val="9"/>
        <w:rPr>
          <w:rFonts w:asciiTheme="minorEastAsia" w:hAnsiTheme="minorEastAsia" w:eastAsiaTheme="minorEastAsia" w:cstheme="minorEastAsia"/>
          <w:b/>
          <w:color w:val="000000"/>
          <w:sz w:val="21"/>
          <w:szCs w:val="21"/>
        </w:rPr>
      </w:pPr>
      <w:r>
        <w:rPr>
          <w:rFonts w:hint="eastAsia" w:asciiTheme="minorEastAsia" w:hAnsiTheme="minorEastAsia" w:eastAsiaTheme="minorEastAsia" w:cstheme="minorEastAsia"/>
          <w:b/>
          <w:color w:val="000000"/>
          <w:sz w:val="21"/>
          <w:szCs w:val="21"/>
        </w:rPr>
        <w:t>六、售后服务承诺</w:t>
      </w:r>
    </w:p>
    <w:p>
      <w:pPr>
        <w:spacing w:line="400" w:lineRule="exact"/>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供应商对所提供货物的售后服务作如下承诺：</w:t>
      </w:r>
    </w:p>
    <w:p>
      <w:pPr>
        <w:spacing w:line="400" w:lineRule="exact"/>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1、保证所提供货物必须符合国家有关标准；保证货物是全新、未使用过的原装合格正品，且是近期生产的。</w:t>
      </w:r>
    </w:p>
    <w:p>
      <w:pPr>
        <w:spacing w:line="400" w:lineRule="exact"/>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2、保证货物在经正确安装、正常使用和保养条件下，在其使用寿命周期内具有等于或优于合同技术参数指标条款规定的性能，对由于设计、工艺或材料的缺陷而发生的任何不足或故障负责，并承担弥补这些货物本身不足和缺陷的相关费用。</w:t>
      </w:r>
    </w:p>
    <w:p>
      <w:pPr>
        <w:spacing w:line="400" w:lineRule="exact"/>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3、质保期、保修期及保修服务的内容严格遵守国家法律及合同文件规定。</w:t>
      </w:r>
    </w:p>
    <w:p>
      <w:pPr>
        <w:spacing w:line="400" w:lineRule="exact"/>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质保期限为</w:t>
      </w:r>
      <w:r>
        <w:rPr>
          <w:rFonts w:hint="eastAsia" w:asciiTheme="minorEastAsia" w:hAnsiTheme="minorEastAsia" w:eastAsiaTheme="minorEastAsia" w:cstheme="minorEastAsia"/>
          <w:color w:val="000000"/>
          <w:szCs w:val="21"/>
          <w:u w:val="single"/>
        </w:rPr>
        <w:t xml:space="preserve">    </w:t>
      </w:r>
      <w:r>
        <w:rPr>
          <w:rFonts w:hint="eastAsia" w:asciiTheme="minorEastAsia" w:hAnsiTheme="minorEastAsia" w:eastAsiaTheme="minorEastAsia" w:cstheme="minorEastAsia"/>
          <w:color w:val="000000"/>
          <w:szCs w:val="21"/>
        </w:rPr>
        <w:t>年，质保期限从验收合格之日起计算，质保期内“三包”责任所产生的费用由供应商承担。</w:t>
      </w:r>
    </w:p>
    <w:p>
      <w:pPr>
        <w:spacing w:line="400" w:lineRule="exact"/>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保修期限为</w:t>
      </w:r>
      <w:r>
        <w:rPr>
          <w:rFonts w:hint="eastAsia" w:asciiTheme="minorEastAsia" w:hAnsiTheme="minorEastAsia" w:eastAsiaTheme="minorEastAsia" w:cstheme="minorEastAsia"/>
          <w:color w:val="000000"/>
          <w:szCs w:val="21"/>
          <w:u w:val="single"/>
        </w:rPr>
        <w:t xml:space="preserve">     </w:t>
      </w:r>
      <w:r>
        <w:rPr>
          <w:rFonts w:hint="eastAsia" w:asciiTheme="minorEastAsia" w:hAnsiTheme="minorEastAsia" w:eastAsiaTheme="minorEastAsia" w:cstheme="minorEastAsia"/>
          <w:color w:val="000000"/>
          <w:szCs w:val="21"/>
        </w:rPr>
        <w:t>，保修期内供应商提供的维修服务、技术支持、软件升级及零配件更换仅收取成本费用。按原价维修（按投标货物价格数量表所列价格，更换零部件的按合同签订时的零部件价格），乙方应提供长期优质维护、维修服务。</w:t>
      </w:r>
    </w:p>
    <w:p>
      <w:pPr>
        <w:pStyle w:val="55"/>
        <w:wordWrap/>
        <w:spacing w:line="400" w:lineRule="exact"/>
        <w:ind w:firstLine="420"/>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4、对制造商提供的货物的硬件或软件的升级改进服务，有及时告知用户的义务，在用户同意接受这些服务的情况下提供便利条件。</w:t>
      </w:r>
    </w:p>
    <w:p>
      <w:pPr>
        <w:pStyle w:val="55"/>
        <w:wordWrap/>
        <w:spacing w:line="400" w:lineRule="exact"/>
        <w:ind w:firstLine="420"/>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5、如果货物在使用中出现质量问题，而乙方在收到通知后没有维修或3日内没有弥补缺陷，甲方有权用其他渠道和方式对乙方货物进行维护、维修或更换，由此产生的费用无需经过乙方的认可即可直接自乙方未付货款或乙方缴纳的履约保证金中扣除，不足部分由乙方另行支付甲方；对此，乙方予以无条件承认并执行；且该等费用扣除后，并不等于免除乙方应负的任何责任。</w:t>
      </w:r>
    </w:p>
    <w:p>
      <w:pPr>
        <w:pStyle w:val="55"/>
        <w:wordWrap/>
        <w:spacing w:line="400" w:lineRule="exact"/>
        <w:ind w:firstLine="420"/>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6、</w:t>
      </w:r>
      <w:r>
        <w:rPr>
          <w:rFonts w:hint="eastAsia" w:asciiTheme="minorEastAsia" w:hAnsiTheme="minorEastAsia" w:eastAsiaTheme="minorEastAsia" w:cstheme="minorEastAsia"/>
          <w:color w:val="000000"/>
          <w:sz w:val="21"/>
          <w:szCs w:val="21"/>
          <w:u w:val="single"/>
        </w:rPr>
        <w:t>乙方质保负责人：          ，联系电话（手机）：            。</w:t>
      </w:r>
    </w:p>
    <w:p>
      <w:pPr>
        <w:pStyle w:val="53"/>
        <w:wordWrap/>
        <w:spacing w:line="400" w:lineRule="exact"/>
        <w:ind w:firstLine="422"/>
        <w:outlineLvl w:val="9"/>
        <w:rPr>
          <w:rFonts w:asciiTheme="minorEastAsia" w:hAnsiTheme="minorEastAsia" w:eastAsiaTheme="minorEastAsia" w:cstheme="minorEastAsia"/>
          <w:b/>
          <w:color w:val="000000"/>
          <w:sz w:val="21"/>
          <w:szCs w:val="21"/>
        </w:rPr>
      </w:pPr>
      <w:r>
        <w:rPr>
          <w:rFonts w:hint="eastAsia" w:asciiTheme="minorEastAsia" w:hAnsiTheme="minorEastAsia" w:eastAsiaTheme="minorEastAsia" w:cstheme="minorEastAsia"/>
          <w:b/>
          <w:color w:val="000000"/>
          <w:sz w:val="21"/>
          <w:szCs w:val="21"/>
        </w:rPr>
        <w:t>七、验收办法</w:t>
      </w:r>
    </w:p>
    <w:p>
      <w:pPr>
        <w:pStyle w:val="53"/>
        <w:wordWrap/>
        <w:spacing w:line="400" w:lineRule="exact"/>
        <w:ind w:firstLine="420"/>
        <w:outlineLvl w:val="9"/>
        <w:rPr>
          <w:rFonts w:asciiTheme="minorEastAsia" w:hAnsiTheme="minorEastAsia" w:eastAsiaTheme="minorEastAsia" w:cstheme="minorEastAsia"/>
          <w:bCs w:val="0"/>
          <w:color w:val="000000"/>
          <w:sz w:val="21"/>
          <w:szCs w:val="21"/>
        </w:rPr>
      </w:pPr>
      <w:r>
        <w:rPr>
          <w:rFonts w:hint="eastAsia" w:asciiTheme="minorEastAsia" w:hAnsiTheme="minorEastAsia" w:eastAsiaTheme="minorEastAsia" w:cstheme="minorEastAsia"/>
          <w:bCs w:val="0"/>
          <w:color w:val="000000"/>
          <w:sz w:val="21"/>
          <w:szCs w:val="21"/>
        </w:rPr>
        <w:t>如货物有国家规定的货物合格证书，乙方需在交货时向甲方提供，在乙方向甲方提供上述技术资料等书面文件之前，该部分货物视为乙方未按时交货，乙方按合同约定承担逾期交货的违约责任。货物到达甲方指定地点后，由甲方依据其验收制度及相关规定组织履约验收。货物类项目，验收内容包括实物和技术两部分。</w:t>
      </w:r>
    </w:p>
    <w:p>
      <w:pPr>
        <w:pStyle w:val="53"/>
        <w:wordWrap/>
        <w:spacing w:line="400" w:lineRule="exact"/>
        <w:ind w:firstLine="420"/>
        <w:outlineLvl w:val="9"/>
        <w:rPr>
          <w:rFonts w:asciiTheme="minorEastAsia" w:hAnsiTheme="minorEastAsia" w:eastAsiaTheme="minorEastAsia" w:cstheme="minorEastAsia"/>
          <w:bCs w:val="0"/>
          <w:color w:val="000000"/>
          <w:sz w:val="21"/>
          <w:szCs w:val="21"/>
        </w:rPr>
      </w:pPr>
      <w:r>
        <w:rPr>
          <w:rFonts w:hint="eastAsia" w:asciiTheme="minorEastAsia" w:hAnsiTheme="minorEastAsia" w:eastAsiaTheme="minorEastAsia" w:cstheme="minorEastAsia"/>
          <w:bCs w:val="0"/>
          <w:color w:val="000000"/>
          <w:sz w:val="21"/>
          <w:szCs w:val="21"/>
        </w:rPr>
        <w:t>1、实物验收：通过对比合同、到货清单和到货实物，完成外观、数量、型号、材质、配置、资料（如货物说明书、操作规程、检修手册、出厂检验合格证、保修卡、软件、图表）等实物内容的核对及检查工作。</w:t>
      </w:r>
      <w:r>
        <w:rPr>
          <w:rFonts w:hint="eastAsia" w:asciiTheme="minorEastAsia" w:hAnsiTheme="minorEastAsia" w:eastAsiaTheme="minorEastAsia" w:cstheme="minorEastAsia"/>
          <w:color w:val="000000"/>
          <w:sz w:val="21"/>
          <w:szCs w:val="21"/>
        </w:rPr>
        <w:t>对包装破损、型号规格、外观或质量不符合约定的货物，甲方将予以拒收，该部分视为乙方未按时供货。如甲方对全部货物验收合格，双方签字确认。</w:t>
      </w:r>
    </w:p>
    <w:p>
      <w:pPr>
        <w:pStyle w:val="53"/>
        <w:wordWrap/>
        <w:spacing w:line="400" w:lineRule="exact"/>
        <w:ind w:firstLine="420"/>
        <w:outlineLvl w:val="9"/>
        <w:rPr>
          <w:rFonts w:asciiTheme="minorEastAsia" w:hAnsiTheme="minorEastAsia" w:eastAsiaTheme="minorEastAsia" w:cstheme="minorEastAsia"/>
          <w:bCs w:val="0"/>
          <w:color w:val="000000"/>
          <w:sz w:val="21"/>
          <w:szCs w:val="21"/>
        </w:rPr>
      </w:pPr>
      <w:r>
        <w:rPr>
          <w:rFonts w:hint="eastAsia" w:asciiTheme="minorEastAsia" w:hAnsiTheme="minorEastAsia" w:eastAsiaTheme="minorEastAsia" w:cstheme="minorEastAsia"/>
          <w:bCs w:val="0"/>
          <w:color w:val="000000"/>
          <w:sz w:val="21"/>
          <w:szCs w:val="21"/>
        </w:rPr>
        <w:t>2、技术验收：检查货物是否按规范进行安装；通过运行调试（包括功能调试、技术指标调试、整机统调等）对性能指标、技术质量等进行检测；供应商是否按照合同要求提供人员培训、完成履约任务。</w:t>
      </w:r>
    </w:p>
    <w:p>
      <w:pPr>
        <w:pStyle w:val="53"/>
        <w:wordWrap/>
        <w:spacing w:line="400" w:lineRule="exact"/>
        <w:ind w:firstLine="420"/>
        <w:outlineLvl w:val="9"/>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3、甲方对货物的清点、检验、确认、初步验收等不能解除或减轻乙方提供合格货物的责任，在使用期内发现货物缺陷、质量问题的，乙方仍应承担责任。</w:t>
      </w:r>
    </w:p>
    <w:p>
      <w:pPr>
        <w:pStyle w:val="53"/>
        <w:wordWrap/>
        <w:spacing w:line="400" w:lineRule="exact"/>
        <w:ind w:firstLine="420"/>
        <w:outlineLvl w:val="9"/>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4、如果甲方发现货物存在缺陷（如货物的数量、外观、规格型号、尺码、质量、做工等与合同约定不符等）时，则甲方有权采取下列一种或几种方式解决，并通知乙方：</w:t>
      </w:r>
    </w:p>
    <w:p>
      <w:pPr>
        <w:pStyle w:val="53"/>
        <w:wordWrap/>
        <w:spacing w:line="400" w:lineRule="exact"/>
        <w:ind w:firstLine="420"/>
        <w:outlineLvl w:val="9"/>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4.1如甲方决定退货，则乙方应将其向甲方收取的全部价款退还甲方，并承担甲方由此发生的一切损失和费用，包括利息、银行手续费、运费、保险费、仓储费、装卸费以及为看管和保护退回货物所需的其它必要费用。</w:t>
      </w:r>
    </w:p>
    <w:p>
      <w:pPr>
        <w:pStyle w:val="53"/>
        <w:wordWrap/>
        <w:spacing w:line="400" w:lineRule="exact"/>
        <w:ind w:firstLine="420"/>
        <w:outlineLvl w:val="9"/>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4.2如甲方决定换货，则乙方应在 7 日内负责更换，乙方应承担全部费用和风险，并按照逾期交货承担违约责任。</w:t>
      </w:r>
    </w:p>
    <w:p>
      <w:pPr>
        <w:pStyle w:val="53"/>
        <w:wordWrap/>
        <w:spacing w:line="400" w:lineRule="exact"/>
        <w:ind w:firstLine="420"/>
        <w:outlineLvl w:val="9"/>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5、如果在甲方发出通知后2日内，乙方未作答复，上述通知内容视为已被乙方接受。</w:t>
      </w:r>
    </w:p>
    <w:p>
      <w:pPr>
        <w:pStyle w:val="53"/>
        <w:wordWrap/>
        <w:spacing w:line="400" w:lineRule="exact"/>
        <w:ind w:firstLine="422"/>
        <w:outlineLvl w:val="9"/>
        <w:rPr>
          <w:rFonts w:asciiTheme="minorEastAsia" w:hAnsiTheme="minorEastAsia" w:eastAsiaTheme="minorEastAsia" w:cstheme="minorEastAsia"/>
          <w:b/>
          <w:color w:val="000000"/>
          <w:sz w:val="21"/>
          <w:szCs w:val="21"/>
        </w:rPr>
      </w:pPr>
      <w:r>
        <w:rPr>
          <w:rFonts w:hint="eastAsia" w:asciiTheme="minorEastAsia" w:hAnsiTheme="minorEastAsia" w:eastAsiaTheme="minorEastAsia" w:cstheme="minorEastAsia"/>
          <w:b/>
          <w:color w:val="000000"/>
          <w:sz w:val="21"/>
          <w:szCs w:val="21"/>
        </w:rPr>
        <w:t>八、双方的权利和义务</w:t>
      </w:r>
    </w:p>
    <w:p>
      <w:pPr>
        <w:pStyle w:val="54"/>
        <w:wordWrap/>
        <w:spacing w:line="400" w:lineRule="exact"/>
        <w:ind w:firstLine="422"/>
        <w:outlineLvl w:val="9"/>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1、甲方的权利和义务</w:t>
      </w:r>
    </w:p>
    <w:p>
      <w:pPr>
        <w:pStyle w:val="56"/>
        <w:wordWrap/>
        <w:spacing w:line="400" w:lineRule="exact"/>
        <w:ind w:firstLine="420"/>
        <w:outlineLvl w:val="9"/>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1.1甲方有权向乙方询问工作进展情况；</w:t>
      </w:r>
    </w:p>
    <w:p>
      <w:pPr>
        <w:pStyle w:val="56"/>
        <w:wordWrap/>
        <w:spacing w:line="400" w:lineRule="exact"/>
        <w:ind w:firstLine="420"/>
        <w:outlineLvl w:val="9"/>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1.2甲方有权对具体本项目全部工作内容提出科学性、合理性建议和意见；</w:t>
      </w:r>
    </w:p>
    <w:p>
      <w:pPr>
        <w:pStyle w:val="56"/>
        <w:wordWrap/>
        <w:spacing w:line="400" w:lineRule="exact"/>
        <w:ind w:firstLine="420"/>
        <w:outlineLvl w:val="9"/>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1.3甲方有权向乙方索取与委托采购内容有关的成果文件；</w:t>
      </w:r>
    </w:p>
    <w:p>
      <w:pPr>
        <w:pStyle w:val="56"/>
        <w:wordWrap/>
        <w:spacing w:line="400" w:lineRule="exact"/>
        <w:ind w:firstLine="420"/>
        <w:outlineLvl w:val="9"/>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1.4甲方有权对乙方提供货物及服务过程进行监督、检查、考核；</w:t>
      </w:r>
    </w:p>
    <w:p>
      <w:pPr>
        <w:pStyle w:val="56"/>
        <w:wordWrap/>
        <w:spacing w:line="400" w:lineRule="exact"/>
        <w:ind w:firstLine="420"/>
        <w:outlineLvl w:val="9"/>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1.5协调乙方在提供货物及服务过程相关的政府部门和单位；</w:t>
      </w:r>
    </w:p>
    <w:p>
      <w:pPr>
        <w:pStyle w:val="56"/>
        <w:wordWrap/>
        <w:spacing w:line="400" w:lineRule="exact"/>
        <w:ind w:firstLine="420"/>
        <w:outlineLvl w:val="9"/>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1.6甲方须按合同要求支付乙方费用。甲方支付给乙方的合同价款，包含乙方货物及服务本项目所有人员的所有费用、培训学习以及乙方为履行本合同义务所需的全部费用，除此之外，甲方无需再向乙方另行支付任何费用。</w:t>
      </w:r>
    </w:p>
    <w:p>
      <w:pPr>
        <w:pStyle w:val="54"/>
        <w:wordWrap/>
        <w:spacing w:line="400" w:lineRule="exact"/>
        <w:ind w:firstLine="422"/>
        <w:outlineLvl w:val="9"/>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2、乙方的权利和义务</w:t>
      </w:r>
    </w:p>
    <w:p>
      <w:pPr>
        <w:pStyle w:val="56"/>
        <w:wordWrap/>
        <w:spacing w:line="400" w:lineRule="exact"/>
        <w:ind w:firstLine="420"/>
        <w:outlineLvl w:val="9"/>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2.1.乙方可要求甲方按本合同的约定按时足额支付</w:t>
      </w:r>
      <w:bookmarkStart w:id="178" w:name="_Hlk40975009"/>
      <w:r>
        <w:rPr>
          <w:rFonts w:hint="eastAsia" w:asciiTheme="minorEastAsia" w:hAnsiTheme="minorEastAsia" w:eastAsiaTheme="minorEastAsia" w:cstheme="minorEastAsia"/>
          <w:color w:val="000000"/>
          <w:sz w:val="21"/>
          <w:szCs w:val="21"/>
        </w:rPr>
        <w:t>相应费用</w:t>
      </w:r>
      <w:bookmarkEnd w:id="178"/>
      <w:r>
        <w:rPr>
          <w:rFonts w:hint="eastAsia" w:asciiTheme="minorEastAsia" w:hAnsiTheme="minorEastAsia" w:eastAsiaTheme="minorEastAsia" w:cstheme="minorEastAsia"/>
          <w:color w:val="000000"/>
          <w:sz w:val="21"/>
          <w:szCs w:val="21"/>
        </w:rPr>
        <w:t>；</w:t>
      </w:r>
    </w:p>
    <w:p>
      <w:pPr>
        <w:pStyle w:val="56"/>
        <w:wordWrap/>
        <w:spacing w:line="400" w:lineRule="exact"/>
        <w:ind w:firstLine="420"/>
        <w:outlineLvl w:val="9"/>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2.2.乙方在履行合同过程中，不得将本项目委托给第三人，如有违反，甲方有权解除合同，乙方应退还甲方已付全部合同价款，并按照本合同向甲方支付违约金。</w:t>
      </w:r>
    </w:p>
    <w:p>
      <w:pPr>
        <w:pStyle w:val="56"/>
        <w:wordWrap/>
        <w:spacing w:line="400" w:lineRule="exact"/>
        <w:ind w:firstLine="420"/>
        <w:outlineLvl w:val="9"/>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2.3.若乙方认为甲方未能及时或按本合同的约定履行合同义务，或甲方存在其他任何影响乙方履行本合同的情形时，均需在情形发生之日起3日内以书面形式向甲方提出履行要求；逾期，乙方未提出该等要求，则视为甲方已经完全按照本合同的约定履行前述该等义务；此后，乙方不得再以此为由向甲方主张任何责任或作为乙方未能如约履行本合同的任何抗辩理由。</w:t>
      </w:r>
    </w:p>
    <w:p>
      <w:pPr>
        <w:spacing w:line="400" w:lineRule="exact"/>
        <w:rPr>
          <w:rFonts w:asciiTheme="minorEastAsia" w:hAnsiTheme="minorEastAsia" w:eastAsiaTheme="minorEastAsia" w:cstheme="minorEastAsia"/>
          <w:b/>
          <w:color w:val="000000"/>
          <w:szCs w:val="21"/>
        </w:rPr>
      </w:pPr>
      <w:r>
        <w:rPr>
          <w:rFonts w:hint="eastAsia" w:asciiTheme="minorEastAsia" w:hAnsiTheme="minorEastAsia" w:eastAsiaTheme="minorEastAsia" w:cstheme="minorEastAsia"/>
          <w:b/>
          <w:color w:val="000000"/>
          <w:szCs w:val="21"/>
        </w:rPr>
        <w:t xml:space="preserve">    九、付款方式与结算</w:t>
      </w:r>
    </w:p>
    <w:p>
      <w:pPr>
        <w:widowControl/>
        <w:spacing w:line="400" w:lineRule="exact"/>
        <w:ind w:firstLine="422" w:firstLineChars="200"/>
        <w:jc w:val="left"/>
        <w:rPr>
          <w:rFonts w:asciiTheme="minorEastAsia" w:hAnsiTheme="minorEastAsia" w:eastAsiaTheme="minorEastAsia" w:cstheme="minorEastAsia"/>
          <w:b/>
          <w:color w:val="000000"/>
          <w:szCs w:val="21"/>
        </w:rPr>
      </w:pPr>
      <w:r>
        <w:rPr>
          <w:rFonts w:hint="eastAsia" w:asciiTheme="minorEastAsia" w:hAnsiTheme="minorEastAsia" w:eastAsiaTheme="minorEastAsia" w:cstheme="minorEastAsia"/>
          <w:b/>
          <w:color w:val="000000"/>
          <w:szCs w:val="21"/>
        </w:rPr>
        <w:t>1、履约保证金支付</w:t>
      </w:r>
    </w:p>
    <w:p>
      <w:pPr>
        <w:pStyle w:val="25"/>
        <w:spacing w:line="400" w:lineRule="exact"/>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在签订合同前，乙方需向招标人交纳人民币_______元作为本合同的履约保证金（具体金额为中标价的5%）。履约保证金以转帐、电汇或网汇形式汇转至招标人指定帐户并存于甲方处，待项目验收结束后无质量问题一次性无息退还。</w:t>
      </w:r>
    </w:p>
    <w:p>
      <w:pPr>
        <w:pStyle w:val="25"/>
        <w:spacing w:line="400" w:lineRule="exact"/>
        <w:ind w:firstLine="422"/>
        <w:rPr>
          <w:rFonts w:asciiTheme="minorEastAsia" w:hAnsiTheme="minorEastAsia" w:eastAsiaTheme="minorEastAsia" w:cstheme="minorEastAsia"/>
          <w:b/>
          <w:bCs/>
          <w:color w:val="000000"/>
          <w:sz w:val="21"/>
          <w:szCs w:val="21"/>
          <w:lang w:val="zh-CN"/>
        </w:rPr>
      </w:pPr>
      <w:r>
        <w:rPr>
          <w:rFonts w:hint="eastAsia" w:asciiTheme="minorEastAsia" w:hAnsiTheme="minorEastAsia" w:eastAsiaTheme="minorEastAsia" w:cstheme="minorEastAsia"/>
          <w:b/>
          <w:bCs/>
          <w:color w:val="000000"/>
          <w:sz w:val="21"/>
          <w:szCs w:val="21"/>
        </w:rPr>
        <w:t>乙方如提供AA级以上信用报告的（需经信用管理部门备案），只需缴纳合同金额的2.5%的履约保证金。如果乙方不履行合同约定的义务，未能完全履行合同规定的义务或其履行不符合合同的约定，甲方有权扣除履约保证金取得补偿。</w:t>
      </w:r>
    </w:p>
    <w:p>
      <w:pPr>
        <w:widowControl/>
        <w:spacing w:line="400" w:lineRule="exact"/>
        <w:ind w:firstLine="422" w:firstLineChars="200"/>
        <w:jc w:val="left"/>
        <w:rPr>
          <w:rFonts w:asciiTheme="minorEastAsia" w:hAnsiTheme="minorEastAsia" w:eastAsiaTheme="minorEastAsia" w:cstheme="minorEastAsia"/>
          <w:b/>
          <w:color w:val="000000"/>
          <w:szCs w:val="21"/>
        </w:rPr>
      </w:pPr>
      <w:r>
        <w:rPr>
          <w:rFonts w:hint="eastAsia" w:asciiTheme="minorEastAsia" w:hAnsiTheme="minorEastAsia" w:eastAsiaTheme="minorEastAsia" w:cstheme="minorEastAsia"/>
          <w:b/>
          <w:color w:val="000000"/>
          <w:szCs w:val="21"/>
        </w:rPr>
        <w:t>2、合同金额结算及支付方式：</w:t>
      </w:r>
    </w:p>
    <w:p>
      <w:pPr>
        <w:spacing w:line="440" w:lineRule="exact"/>
        <w:ind w:firstLine="420" w:firstLineChars="200"/>
        <w:rPr>
          <w:rFonts w:asciiTheme="minorEastAsia" w:hAnsiTheme="minorEastAsia" w:eastAsiaTheme="minorEastAsia" w:cstheme="minorEastAsia"/>
          <w:color w:val="000000"/>
          <w:kern w:val="0"/>
          <w:szCs w:val="21"/>
          <w:lang w:eastAsia="zh-Hans"/>
        </w:rPr>
      </w:pPr>
      <w:r>
        <w:rPr>
          <w:rFonts w:hint="eastAsia" w:asciiTheme="minorEastAsia" w:hAnsiTheme="minorEastAsia" w:eastAsiaTheme="minorEastAsia" w:cstheme="minorEastAsia"/>
          <w:color w:val="000000"/>
          <w:kern w:val="0"/>
          <w:szCs w:val="21"/>
        </w:rPr>
        <w:t>项目验收合格后无质量问题支付合同价的70%款项；审计合格后付至审计价的90%，余款待验收合格质保结束后无质量问题一次性无息付清。</w:t>
      </w:r>
    </w:p>
    <w:p>
      <w:pPr>
        <w:pStyle w:val="25"/>
        <w:spacing w:line="400" w:lineRule="exact"/>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以上付款均以人民币通过银行支付, 付款前需提供我校财务处认可的增值税发票（仪器设备须开增值税专用发票）。</w:t>
      </w:r>
    </w:p>
    <w:p>
      <w:pPr>
        <w:snapToGrid w:val="0"/>
        <w:spacing w:line="400" w:lineRule="exact"/>
        <w:ind w:firstLine="422" w:firstLineChars="200"/>
        <w:rPr>
          <w:rFonts w:asciiTheme="minorEastAsia" w:hAnsiTheme="minorEastAsia" w:eastAsiaTheme="minorEastAsia" w:cstheme="minorEastAsia"/>
          <w:b/>
          <w:bCs/>
          <w:i/>
          <w:iCs/>
          <w:color w:val="000000"/>
          <w:szCs w:val="21"/>
        </w:rPr>
      </w:pPr>
      <w:r>
        <w:rPr>
          <w:rFonts w:hint="eastAsia" w:asciiTheme="minorEastAsia" w:hAnsiTheme="minorEastAsia" w:eastAsiaTheme="minorEastAsia" w:cstheme="minorEastAsia"/>
          <w:b/>
          <w:bCs/>
          <w:i/>
          <w:iCs/>
          <w:color w:val="000000"/>
          <w:szCs w:val="21"/>
        </w:rPr>
        <w:t>提醒：合同中的付款方式、质保期限必须与中标文件中的付款方式、质保期（最终承诺）相一致。（正式合同中须删除此处填写说明）</w:t>
      </w:r>
    </w:p>
    <w:p>
      <w:pPr>
        <w:pStyle w:val="5"/>
        <w:spacing w:line="400" w:lineRule="exact"/>
        <w:ind w:firstLine="482"/>
        <w:rPr>
          <w:rFonts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十、违约责任</w:t>
      </w:r>
    </w:p>
    <w:p>
      <w:pPr>
        <w:pStyle w:val="54"/>
        <w:wordWrap/>
        <w:spacing w:line="400" w:lineRule="exact"/>
        <w:ind w:firstLine="420"/>
        <w:outlineLvl w:val="9"/>
        <w:rPr>
          <w:rFonts w:asciiTheme="minorEastAsia" w:hAnsiTheme="minorEastAsia" w:eastAsiaTheme="minorEastAsia" w:cstheme="minorEastAsia"/>
          <w:b w:val="0"/>
          <w:color w:val="000000"/>
          <w:sz w:val="21"/>
          <w:szCs w:val="21"/>
        </w:rPr>
      </w:pPr>
      <w:r>
        <w:rPr>
          <w:rFonts w:hint="eastAsia" w:asciiTheme="minorEastAsia" w:hAnsiTheme="minorEastAsia" w:eastAsiaTheme="minorEastAsia" w:cstheme="minorEastAsia"/>
          <w:b w:val="0"/>
          <w:color w:val="000000"/>
          <w:sz w:val="21"/>
          <w:szCs w:val="21"/>
        </w:rPr>
        <w:t>1、任何一方由于不可抗力原因不能履行合同时，在不可抗力事件结束后1日内向对方通报，以尽量减轻可能给对方造成的损失，在取得有关机构的不可抗力证明或双方谅解确认后，根据情况可部分或全部免于承担违约责任。</w:t>
      </w:r>
    </w:p>
    <w:p>
      <w:pPr>
        <w:pStyle w:val="54"/>
        <w:wordWrap/>
        <w:spacing w:line="400" w:lineRule="exact"/>
        <w:ind w:firstLine="420"/>
        <w:outlineLvl w:val="9"/>
        <w:rPr>
          <w:rFonts w:asciiTheme="minorEastAsia" w:hAnsiTheme="minorEastAsia" w:eastAsiaTheme="minorEastAsia" w:cstheme="minorEastAsia"/>
          <w:b w:val="0"/>
          <w:color w:val="000000"/>
          <w:sz w:val="21"/>
          <w:szCs w:val="21"/>
        </w:rPr>
      </w:pPr>
      <w:r>
        <w:rPr>
          <w:rFonts w:hint="eastAsia" w:asciiTheme="minorEastAsia" w:hAnsiTheme="minorEastAsia" w:eastAsiaTheme="minorEastAsia" w:cstheme="minorEastAsia"/>
          <w:b w:val="0"/>
          <w:color w:val="000000"/>
          <w:sz w:val="21"/>
          <w:szCs w:val="21"/>
        </w:rPr>
        <w:t>2、甲方应配合乙方的工作，若因甲方原因造成乙方未完成规定采购内容，甲方不得扣除乙方相应费用。</w:t>
      </w:r>
    </w:p>
    <w:p>
      <w:pPr>
        <w:pStyle w:val="54"/>
        <w:wordWrap/>
        <w:spacing w:line="400" w:lineRule="exact"/>
        <w:ind w:firstLine="420"/>
        <w:outlineLvl w:val="9"/>
        <w:rPr>
          <w:rFonts w:asciiTheme="minorEastAsia" w:hAnsiTheme="minorEastAsia" w:eastAsiaTheme="minorEastAsia" w:cstheme="minorEastAsia"/>
          <w:b w:val="0"/>
          <w:color w:val="000000"/>
          <w:sz w:val="21"/>
          <w:szCs w:val="21"/>
        </w:rPr>
      </w:pPr>
      <w:r>
        <w:rPr>
          <w:rFonts w:hint="eastAsia" w:asciiTheme="minorEastAsia" w:hAnsiTheme="minorEastAsia" w:eastAsiaTheme="minorEastAsia" w:cstheme="minorEastAsia"/>
          <w:b w:val="0"/>
          <w:color w:val="000000"/>
          <w:sz w:val="21"/>
          <w:szCs w:val="21"/>
        </w:rPr>
        <w:t>3、如因乙方自身原因，不履行合同义务或者履行合同义务不符合约定的，应当承担继续履行、采取补救措施或者由甲方扣除相应合同价款作为对甲方造成损失的赔偿。</w:t>
      </w:r>
    </w:p>
    <w:p>
      <w:pPr>
        <w:pStyle w:val="54"/>
        <w:wordWrap/>
        <w:spacing w:line="400" w:lineRule="exact"/>
        <w:ind w:firstLine="420"/>
        <w:outlineLvl w:val="9"/>
        <w:rPr>
          <w:rFonts w:asciiTheme="minorEastAsia" w:hAnsiTheme="minorEastAsia" w:eastAsiaTheme="minorEastAsia" w:cstheme="minorEastAsia"/>
          <w:b w:val="0"/>
          <w:color w:val="000000"/>
          <w:sz w:val="21"/>
          <w:szCs w:val="21"/>
        </w:rPr>
      </w:pPr>
      <w:r>
        <w:rPr>
          <w:rFonts w:hint="eastAsia" w:asciiTheme="minorEastAsia" w:hAnsiTheme="minorEastAsia" w:eastAsiaTheme="minorEastAsia" w:cstheme="minorEastAsia"/>
          <w:b w:val="0"/>
          <w:color w:val="000000"/>
          <w:sz w:val="21"/>
          <w:szCs w:val="21"/>
        </w:rPr>
        <w:t>4、如乙方未按照本合同的约定期限交货的，则每迟延1日，应向甲方支付合同总价款1％的违约金；迟延超过10日的，甲方有权单方解除本合同。</w:t>
      </w:r>
    </w:p>
    <w:p>
      <w:pPr>
        <w:pStyle w:val="54"/>
        <w:wordWrap/>
        <w:spacing w:line="400" w:lineRule="exact"/>
        <w:ind w:firstLine="420"/>
        <w:outlineLvl w:val="9"/>
        <w:rPr>
          <w:rFonts w:asciiTheme="minorEastAsia" w:hAnsiTheme="minorEastAsia" w:eastAsiaTheme="minorEastAsia" w:cstheme="minorEastAsia"/>
          <w:b w:val="0"/>
          <w:color w:val="000000"/>
          <w:sz w:val="21"/>
          <w:szCs w:val="21"/>
        </w:rPr>
      </w:pPr>
      <w:r>
        <w:rPr>
          <w:rFonts w:hint="eastAsia" w:asciiTheme="minorEastAsia" w:hAnsiTheme="minorEastAsia" w:eastAsiaTheme="minorEastAsia" w:cstheme="minorEastAsia"/>
          <w:b w:val="0"/>
          <w:color w:val="000000"/>
          <w:sz w:val="21"/>
          <w:szCs w:val="21"/>
        </w:rPr>
        <w:t>5、乙方提供的货物与甲方要求的款式、数量、规格、尺寸不一致或无法通过甲方验收或无法正常使用的，乙方应按合同约定采取退货、换货等方式进行弥补直至通过甲方验收，乙方拒绝弥补或经弥补后仍不能通过甲方验收的，甲方有权解除合同。</w:t>
      </w:r>
    </w:p>
    <w:p>
      <w:pPr>
        <w:pStyle w:val="54"/>
        <w:wordWrap/>
        <w:spacing w:line="400" w:lineRule="exact"/>
        <w:ind w:firstLine="420"/>
        <w:outlineLvl w:val="9"/>
        <w:rPr>
          <w:rFonts w:asciiTheme="minorEastAsia" w:hAnsiTheme="minorEastAsia" w:eastAsiaTheme="minorEastAsia" w:cstheme="minorEastAsia"/>
          <w:b w:val="0"/>
          <w:color w:val="000000"/>
          <w:sz w:val="21"/>
          <w:szCs w:val="21"/>
        </w:rPr>
      </w:pPr>
      <w:r>
        <w:rPr>
          <w:rFonts w:hint="eastAsia" w:asciiTheme="minorEastAsia" w:hAnsiTheme="minorEastAsia" w:eastAsiaTheme="minorEastAsia" w:cstheme="minorEastAsia"/>
          <w:b w:val="0"/>
          <w:color w:val="000000"/>
          <w:sz w:val="21"/>
          <w:szCs w:val="21"/>
        </w:rPr>
        <w:t>6、乙方未经甲方书面同意将本合同的全部或部分义务转让给第三方，或者将合同权利、对甲方享有的债权转让给第三方的，该等转让对甲方无效，且甲方有权单方解除本合同。</w:t>
      </w:r>
    </w:p>
    <w:p>
      <w:pPr>
        <w:pStyle w:val="54"/>
        <w:wordWrap/>
        <w:spacing w:line="400" w:lineRule="exact"/>
        <w:ind w:firstLine="420"/>
        <w:outlineLvl w:val="9"/>
        <w:rPr>
          <w:rFonts w:asciiTheme="minorEastAsia" w:hAnsiTheme="minorEastAsia" w:eastAsiaTheme="minorEastAsia" w:cstheme="minorEastAsia"/>
          <w:b w:val="0"/>
          <w:color w:val="000000"/>
          <w:sz w:val="21"/>
          <w:szCs w:val="21"/>
        </w:rPr>
      </w:pPr>
      <w:r>
        <w:rPr>
          <w:rFonts w:hint="eastAsia" w:asciiTheme="minorEastAsia" w:hAnsiTheme="minorEastAsia" w:eastAsiaTheme="minorEastAsia" w:cstheme="minorEastAsia"/>
          <w:b w:val="0"/>
          <w:color w:val="000000"/>
          <w:sz w:val="21"/>
          <w:szCs w:val="21"/>
        </w:rPr>
        <w:t>7、乙方提供的货物不属于生产厂家的原装正品的，甲方有权单方解除合同。</w:t>
      </w:r>
    </w:p>
    <w:p>
      <w:pPr>
        <w:pStyle w:val="54"/>
        <w:wordWrap/>
        <w:spacing w:line="400" w:lineRule="exact"/>
        <w:ind w:firstLine="420"/>
        <w:outlineLvl w:val="9"/>
        <w:rPr>
          <w:rFonts w:asciiTheme="minorEastAsia" w:hAnsiTheme="minorEastAsia" w:eastAsiaTheme="minorEastAsia" w:cstheme="minorEastAsia"/>
          <w:b w:val="0"/>
          <w:color w:val="000000"/>
          <w:sz w:val="21"/>
          <w:szCs w:val="21"/>
        </w:rPr>
      </w:pPr>
      <w:r>
        <w:rPr>
          <w:rFonts w:hint="eastAsia" w:asciiTheme="minorEastAsia" w:hAnsiTheme="minorEastAsia" w:eastAsiaTheme="minorEastAsia" w:cstheme="minorEastAsia"/>
          <w:b w:val="0"/>
          <w:color w:val="000000"/>
          <w:sz w:val="21"/>
          <w:szCs w:val="21"/>
        </w:rPr>
        <w:t>8、乙方承诺其交付的货物是其有权销售、无任何权利争议或潜在权利争议的货物，乙方承诺其货物无任何他项权利设定，也无著作权、商标权、专利权及其他知识产权方面的权利瑕疵或限制，否则由此产生的纠纷乙方负责处理并承担全部责任，若因此给甲方造成损失的，乙方应赔偿甲方的全部损失。</w:t>
      </w:r>
    </w:p>
    <w:p>
      <w:pPr>
        <w:pStyle w:val="54"/>
        <w:wordWrap/>
        <w:spacing w:line="400" w:lineRule="exact"/>
        <w:ind w:firstLine="420"/>
        <w:outlineLvl w:val="9"/>
        <w:rPr>
          <w:rFonts w:asciiTheme="minorEastAsia" w:hAnsiTheme="minorEastAsia" w:eastAsiaTheme="minorEastAsia" w:cstheme="minorEastAsia"/>
          <w:b w:val="0"/>
          <w:color w:val="000000"/>
          <w:sz w:val="21"/>
          <w:szCs w:val="21"/>
        </w:rPr>
      </w:pPr>
      <w:r>
        <w:rPr>
          <w:rFonts w:hint="eastAsia" w:asciiTheme="minorEastAsia" w:hAnsiTheme="minorEastAsia" w:eastAsiaTheme="minorEastAsia" w:cstheme="minorEastAsia"/>
          <w:b w:val="0"/>
          <w:color w:val="000000"/>
          <w:sz w:val="21"/>
          <w:szCs w:val="21"/>
        </w:rPr>
        <w:t>9、因乙方存在其他违约行为或因乙方原因导致合同目的无法实现或合同无法继续履行的，甲方有权解除合同。</w:t>
      </w:r>
    </w:p>
    <w:p>
      <w:pPr>
        <w:pStyle w:val="54"/>
        <w:wordWrap/>
        <w:spacing w:line="400" w:lineRule="exact"/>
        <w:ind w:firstLine="420"/>
        <w:outlineLvl w:val="9"/>
        <w:rPr>
          <w:rFonts w:asciiTheme="minorEastAsia" w:hAnsiTheme="minorEastAsia" w:eastAsiaTheme="minorEastAsia" w:cstheme="minorEastAsia"/>
          <w:b w:val="0"/>
          <w:color w:val="000000"/>
          <w:sz w:val="21"/>
          <w:szCs w:val="21"/>
        </w:rPr>
      </w:pPr>
      <w:r>
        <w:rPr>
          <w:rFonts w:hint="eastAsia" w:asciiTheme="minorEastAsia" w:hAnsiTheme="minorEastAsia" w:eastAsiaTheme="minorEastAsia" w:cstheme="minorEastAsia"/>
          <w:b w:val="0"/>
          <w:color w:val="000000"/>
          <w:sz w:val="21"/>
          <w:szCs w:val="21"/>
        </w:rPr>
        <w:t>10、乙方违反本合同的约定，除按本合同的约定承担违约责任外，还应赔偿甲方包括但不限于直接损失、甲方向第三方的违约或赔偿损失、误工费、鉴定费、损失的评估费、律师费、诉讼费或仲裁费、保全费、保险费、公告费、执行费等全部损失。</w:t>
      </w:r>
    </w:p>
    <w:p>
      <w:pPr>
        <w:pStyle w:val="54"/>
        <w:wordWrap/>
        <w:spacing w:line="400" w:lineRule="exact"/>
        <w:ind w:firstLine="420"/>
        <w:outlineLvl w:val="9"/>
        <w:rPr>
          <w:rFonts w:asciiTheme="minorEastAsia" w:hAnsiTheme="minorEastAsia" w:eastAsiaTheme="minorEastAsia" w:cstheme="minorEastAsia"/>
          <w:b w:val="0"/>
          <w:color w:val="000000"/>
          <w:sz w:val="21"/>
          <w:szCs w:val="21"/>
        </w:rPr>
      </w:pPr>
      <w:r>
        <w:rPr>
          <w:rFonts w:hint="eastAsia" w:asciiTheme="minorEastAsia" w:hAnsiTheme="minorEastAsia" w:eastAsiaTheme="minorEastAsia" w:cstheme="minorEastAsia"/>
          <w:b w:val="0"/>
          <w:color w:val="000000"/>
          <w:sz w:val="21"/>
          <w:szCs w:val="21"/>
        </w:rPr>
        <w:t>11、本合同所涉及全部违约金，甲方均有权从未付合同价款中扣除，乙方对此无异议。</w:t>
      </w:r>
    </w:p>
    <w:p>
      <w:pPr>
        <w:pStyle w:val="53"/>
        <w:wordWrap/>
        <w:spacing w:line="400" w:lineRule="exact"/>
        <w:ind w:firstLine="422"/>
        <w:outlineLvl w:val="9"/>
        <w:rPr>
          <w:rFonts w:asciiTheme="minorEastAsia" w:hAnsiTheme="minorEastAsia" w:eastAsiaTheme="minorEastAsia" w:cstheme="minorEastAsia"/>
          <w:b/>
          <w:color w:val="000000"/>
          <w:sz w:val="21"/>
          <w:szCs w:val="21"/>
        </w:rPr>
      </w:pPr>
      <w:r>
        <w:rPr>
          <w:rFonts w:hint="eastAsia" w:asciiTheme="minorEastAsia" w:hAnsiTheme="minorEastAsia" w:eastAsiaTheme="minorEastAsia" w:cstheme="minorEastAsia"/>
          <w:b/>
          <w:color w:val="000000"/>
          <w:sz w:val="21"/>
          <w:szCs w:val="21"/>
        </w:rPr>
        <w:t>十一、合同解除</w:t>
      </w:r>
    </w:p>
    <w:p>
      <w:pPr>
        <w:pStyle w:val="53"/>
        <w:wordWrap/>
        <w:spacing w:line="400" w:lineRule="exact"/>
        <w:ind w:firstLine="420"/>
        <w:outlineLvl w:val="9"/>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甲方依据本合同约定或法律规定单方解除合同的，自解除合同的通知到达乙方时，合同自行终止。乙方应于合同解除之日起15日内退还甲方全部已支付款项并按一年期贷款市场报价利率四倍计取的资金占用期间的利息，赔偿甲方因此造成的损失，并支付甲方合同总价款30%的违约金。</w:t>
      </w:r>
    </w:p>
    <w:p>
      <w:pPr>
        <w:pStyle w:val="53"/>
        <w:wordWrap/>
        <w:spacing w:line="400" w:lineRule="exact"/>
        <w:ind w:firstLine="420"/>
        <w:outlineLvl w:val="9"/>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2、按合同约定或法律规定，解除合同的事由发生时，解除权人可以解除合同。享有解除权的一方应当自解除事由发生之日起三年内行使解除权，期限届满不行使的，解除权消灭。</w:t>
      </w:r>
    </w:p>
    <w:p>
      <w:pPr>
        <w:pStyle w:val="53"/>
        <w:wordWrap/>
        <w:spacing w:line="400" w:lineRule="exact"/>
        <w:ind w:firstLine="422"/>
        <w:outlineLvl w:val="9"/>
        <w:rPr>
          <w:rFonts w:asciiTheme="minorEastAsia" w:hAnsiTheme="minorEastAsia" w:eastAsiaTheme="minorEastAsia" w:cstheme="minorEastAsia"/>
          <w:b/>
          <w:color w:val="000000"/>
          <w:sz w:val="21"/>
          <w:szCs w:val="21"/>
        </w:rPr>
      </w:pPr>
      <w:r>
        <w:rPr>
          <w:rFonts w:hint="eastAsia" w:asciiTheme="minorEastAsia" w:hAnsiTheme="minorEastAsia" w:eastAsiaTheme="minorEastAsia" w:cstheme="minorEastAsia"/>
          <w:b/>
          <w:color w:val="000000"/>
          <w:sz w:val="21"/>
          <w:szCs w:val="21"/>
        </w:rPr>
        <w:t>十二、不可抗力</w:t>
      </w:r>
    </w:p>
    <w:p>
      <w:pPr>
        <w:pStyle w:val="53"/>
        <w:wordWrap/>
        <w:spacing w:line="400" w:lineRule="exact"/>
        <w:ind w:firstLine="420"/>
        <w:outlineLvl w:val="9"/>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在本合同执行过程中，由于发生战争、洪水、台风、地震、新冠疫情等不可抗力事件，致使本合同的任何一方无法履行本合同规定的义务，遭受不可抗力的一方不承担违约责任。遭受不可抗力的一方应在不可抗力事件发生的48小时内将该不可抗力及其对履约之影响书面通知另一方当事人，并向本合同对方出具有关权威部门的证明。遭受不可抗力之一方或双方当事人须采取一切可能的措施减少或消除前述不可抗力对合同履行的影响，并在该不可抗力事件消除后10天向对方当事人提供该不可抗力及其对履约产生实质性影响的证明。</w:t>
      </w:r>
    </w:p>
    <w:p>
      <w:pPr>
        <w:pStyle w:val="53"/>
        <w:wordWrap/>
        <w:spacing w:line="400" w:lineRule="exact"/>
        <w:ind w:firstLine="420"/>
        <w:outlineLvl w:val="9"/>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2、双方确定，因发生不可抗力，致使本合同的履行成为不必要或不可能的，一方应当及时通知另一方解除合同。如果一方未及时通知对方或未采取必要措施，责任方须对扩大的损失承担赔偿责任。</w:t>
      </w:r>
    </w:p>
    <w:p>
      <w:pPr>
        <w:pStyle w:val="53"/>
        <w:wordWrap/>
        <w:spacing w:line="400" w:lineRule="exact"/>
        <w:ind w:firstLine="422"/>
        <w:outlineLvl w:val="9"/>
        <w:rPr>
          <w:rFonts w:asciiTheme="minorEastAsia" w:hAnsiTheme="minorEastAsia" w:eastAsiaTheme="minorEastAsia" w:cstheme="minorEastAsia"/>
          <w:b/>
          <w:color w:val="000000"/>
          <w:sz w:val="21"/>
          <w:szCs w:val="21"/>
        </w:rPr>
      </w:pPr>
      <w:r>
        <w:rPr>
          <w:rFonts w:hint="eastAsia" w:asciiTheme="minorEastAsia" w:hAnsiTheme="minorEastAsia" w:eastAsiaTheme="minorEastAsia" w:cstheme="minorEastAsia"/>
          <w:b/>
          <w:color w:val="000000"/>
          <w:sz w:val="21"/>
          <w:szCs w:val="21"/>
        </w:rPr>
        <w:t>十三、通知与送达</w:t>
      </w:r>
    </w:p>
    <w:p>
      <w:pPr>
        <w:pStyle w:val="53"/>
        <w:wordWrap/>
        <w:spacing w:line="400" w:lineRule="exact"/>
        <w:ind w:firstLine="420"/>
        <w:outlineLvl w:val="9"/>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1、乙方的通知与送达方式为：</w:t>
      </w:r>
    </w:p>
    <w:p>
      <w:pPr>
        <w:pStyle w:val="53"/>
        <w:wordWrap/>
        <w:spacing w:line="400" w:lineRule="exact"/>
        <w:ind w:firstLine="420"/>
        <w:outlineLvl w:val="9"/>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乙方：</w:t>
      </w:r>
    </w:p>
    <w:p>
      <w:pPr>
        <w:pStyle w:val="53"/>
        <w:wordWrap/>
        <w:spacing w:line="400" w:lineRule="exact"/>
        <w:ind w:firstLine="420"/>
        <w:outlineLvl w:val="9"/>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通讯地址：                      ；</w:t>
      </w:r>
    </w:p>
    <w:p>
      <w:pPr>
        <w:pStyle w:val="53"/>
        <w:wordWrap/>
        <w:spacing w:line="400" w:lineRule="exact"/>
        <w:ind w:firstLine="420"/>
        <w:outlineLvl w:val="9"/>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联系人：                        ；联系电话（手机）：</w:t>
      </w:r>
    </w:p>
    <w:p>
      <w:pPr>
        <w:pStyle w:val="53"/>
        <w:wordWrap/>
        <w:spacing w:line="400" w:lineRule="exact"/>
        <w:ind w:firstLine="420"/>
        <w:outlineLvl w:val="9"/>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本合同涉及有关通知事项可按照本合同中约定的通知与送达方式，采用邮寄、直接送达、致电或发送短信、E-mail、微信等任一方式进行，邮寄到达（拒收、退回）当日、直接送达或致电以及短信息、E-mail、微信发送当时，即视为乙方接到该通知。</w:t>
      </w:r>
    </w:p>
    <w:p>
      <w:pPr>
        <w:pStyle w:val="53"/>
        <w:wordWrap/>
        <w:spacing w:line="400" w:lineRule="exact"/>
        <w:ind w:firstLine="420"/>
        <w:outlineLvl w:val="9"/>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乙方必须保证本合同约定的联络方式真实有效，乙方前述联系方式不真实、不准确或未留联系方式，一切责任均由乙方承担。联系方式如有变更，必须5于变更后3日内书面通知甲方。否则，甲方按照本合同约定的通知与送达方式向其发出的任何通知均视为合法有效。乙方拒收、不在指定地址或联系不上导致通知被退回，均视为通知已经合法有效送达。</w:t>
      </w:r>
    </w:p>
    <w:p>
      <w:pPr>
        <w:pStyle w:val="53"/>
        <w:wordWrap/>
        <w:spacing w:line="400" w:lineRule="exact"/>
        <w:ind w:firstLine="420"/>
        <w:outlineLvl w:val="9"/>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4、乙方同意，乙方在本通知与送达条款中预留的地址及电话、传真、电子邮箱等，均可作为送达诉讼（或仲裁）文书（包括但不限于起诉状、上诉状、申请书、传票、举证通知书、出庭通知书、各类裁定、判决等）的确认地址。即，只要人民法院（或仲裁委员会）将诉讼（或仲裁）文书发送至乙方预留的地址、传真、电子邮箱，即视为送达。因乙方自己提供或者确认的送达地址不准确、送达地址变更未及时告知甲方，乙方或者乙方指定的联系人拒绝签收，导致诉讼（或仲裁）文书未能被乙方实际接收的，文书退回之日视为送达之日。</w:t>
      </w:r>
    </w:p>
    <w:p>
      <w:pPr>
        <w:pStyle w:val="53"/>
        <w:wordWrap/>
        <w:spacing w:line="400" w:lineRule="exact"/>
        <w:ind w:firstLine="422"/>
        <w:outlineLvl w:val="9"/>
        <w:rPr>
          <w:rFonts w:asciiTheme="minorEastAsia" w:hAnsiTheme="minorEastAsia" w:eastAsiaTheme="minorEastAsia" w:cstheme="minorEastAsia"/>
          <w:b/>
          <w:color w:val="000000"/>
          <w:sz w:val="21"/>
          <w:szCs w:val="21"/>
        </w:rPr>
      </w:pPr>
      <w:r>
        <w:rPr>
          <w:rFonts w:hint="eastAsia" w:asciiTheme="minorEastAsia" w:hAnsiTheme="minorEastAsia" w:eastAsiaTheme="minorEastAsia" w:cstheme="minorEastAsia"/>
          <w:b/>
          <w:color w:val="000000"/>
          <w:sz w:val="21"/>
          <w:szCs w:val="21"/>
        </w:rPr>
        <w:t>十四、争议解决方式</w:t>
      </w:r>
    </w:p>
    <w:p>
      <w:pPr>
        <w:pStyle w:val="55"/>
        <w:wordWrap/>
        <w:spacing w:line="400" w:lineRule="exact"/>
        <w:ind w:firstLine="420"/>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双方因本合同发生争议，由甲、乙方协商解决，协商不成的，应向甲方住所地有管辖权的人民法院诉讼解决。</w:t>
      </w:r>
    </w:p>
    <w:p>
      <w:pPr>
        <w:pStyle w:val="53"/>
        <w:wordWrap/>
        <w:spacing w:line="400" w:lineRule="exact"/>
        <w:ind w:firstLine="422"/>
        <w:outlineLvl w:val="9"/>
        <w:rPr>
          <w:rFonts w:asciiTheme="minorEastAsia" w:hAnsiTheme="minorEastAsia" w:eastAsiaTheme="minorEastAsia" w:cstheme="minorEastAsia"/>
          <w:b/>
          <w:color w:val="000000"/>
          <w:sz w:val="21"/>
          <w:szCs w:val="21"/>
        </w:rPr>
      </w:pPr>
      <w:r>
        <w:rPr>
          <w:rFonts w:hint="eastAsia" w:asciiTheme="minorEastAsia" w:hAnsiTheme="minorEastAsia" w:eastAsiaTheme="minorEastAsia" w:cstheme="minorEastAsia"/>
          <w:b/>
          <w:color w:val="000000"/>
          <w:sz w:val="21"/>
          <w:szCs w:val="21"/>
        </w:rPr>
        <w:t>十五、</w:t>
      </w:r>
      <w:r>
        <w:rPr>
          <w:rFonts w:hint="eastAsia" w:asciiTheme="minorEastAsia" w:hAnsiTheme="minorEastAsia" w:eastAsiaTheme="minorEastAsia" w:cstheme="minorEastAsia"/>
          <w:b/>
          <w:bCs w:val="0"/>
          <w:color w:val="000000"/>
          <w:sz w:val="21"/>
          <w:szCs w:val="21"/>
        </w:rPr>
        <w:t>合同生效及其它</w:t>
      </w:r>
    </w:p>
    <w:p>
      <w:pPr>
        <w:autoSpaceDE w:val="0"/>
        <w:autoSpaceDN w:val="0"/>
        <w:adjustRightInd w:val="0"/>
        <w:spacing w:line="400" w:lineRule="exact"/>
        <w:ind w:firstLine="482"/>
        <w:rPr>
          <w:rFonts w:asciiTheme="minorEastAsia" w:hAnsiTheme="minorEastAsia" w:eastAsiaTheme="minorEastAsia" w:cstheme="minorEastAsia"/>
          <w:color w:val="000000"/>
          <w:szCs w:val="21"/>
          <w:lang w:val="zh-CN"/>
        </w:rPr>
      </w:pPr>
      <w:r>
        <w:rPr>
          <w:rFonts w:hint="eastAsia" w:asciiTheme="minorEastAsia" w:hAnsiTheme="minorEastAsia" w:eastAsiaTheme="minorEastAsia" w:cstheme="minorEastAsia"/>
          <w:color w:val="000000"/>
          <w:szCs w:val="21"/>
          <w:lang w:val="zh-CN"/>
        </w:rPr>
        <w:t>1、 本合同一式肆份，甲方执叁份、乙方执壹份，经甲乙双方代表签字、加盖公章后生效，合同履行完成后自行终止。招标（采购）和投标（响应性）文件为本合同组成部分。</w:t>
      </w:r>
    </w:p>
    <w:p>
      <w:pPr>
        <w:autoSpaceDE w:val="0"/>
        <w:autoSpaceDN w:val="0"/>
        <w:adjustRightInd w:val="0"/>
        <w:spacing w:line="400" w:lineRule="exact"/>
        <w:ind w:firstLine="482"/>
        <w:rPr>
          <w:rFonts w:asciiTheme="minorEastAsia" w:hAnsiTheme="minorEastAsia" w:eastAsiaTheme="minorEastAsia" w:cstheme="minorEastAsia"/>
          <w:color w:val="000000"/>
          <w:szCs w:val="21"/>
          <w:lang w:val="zh-CN"/>
        </w:rPr>
      </w:pPr>
      <w:r>
        <w:rPr>
          <w:rFonts w:hint="eastAsia" w:asciiTheme="minorEastAsia" w:hAnsiTheme="minorEastAsia" w:eastAsiaTheme="minorEastAsia" w:cstheme="minorEastAsia"/>
          <w:color w:val="000000"/>
          <w:szCs w:val="21"/>
          <w:lang w:val="zh-CN"/>
        </w:rPr>
        <w:t>2、组成本合同的文件及解释顺序为：本合同及补充条款、中标通知书、投标（响应性）文件及其附件；招标（采购）文件及补充通知。如果乙方的投标（响应性）文件及其附件高于国家行业标准的，以投标文件及其附件为准。</w:t>
      </w:r>
    </w:p>
    <w:p>
      <w:pPr>
        <w:autoSpaceDE w:val="0"/>
        <w:autoSpaceDN w:val="0"/>
        <w:adjustRightInd w:val="0"/>
        <w:spacing w:line="400" w:lineRule="exact"/>
        <w:ind w:firstLine="482"/>
        <w:rPr>
          <w:rFonts w:asciiTheme="minorEastAsia" w:hAnsiTheme="minorEastAsia" w:eastAsiaTheme="minorEastAsia" w:cstheme="minorEastAsia"/>
          <w:color w:val="000000"/>
          <w:szCs w:val="21"/>
          <w:lang w:val="zh-CN"/>
        </w:rPr>
      </w:pPr>
      <w:r>
        <w:rPr>
          <w:rFonts w:hint="eastAsia" w:asciiTheme="minorEastAsia" w:hAnsiTheme="minorEastAsia" w:eastAsiaTheme="minorEastAsia" w:cstheme="minorEastAsia"/>
          <w:color w:val="000000"/>
          <w:szCs w:val="21"/>
          <w:lang w:val="zh-CN"/>
        </w:rPr>
        <w:t>3、本合同生效之后，任何一方违反本合同规定，除了承担违约金外，还要承担守约方向违约方追究违约责任所支付的一切费用，包括但不限于律师费、诉讼费、保全费、公告费、鉴定费、交通食宿费等。</w:t>
      </w:r>
    </w:p>
    <w:p>
      <w:pPr>
        <w:autoSpaceDE w:val="0"/>
        <w:autoSpaceDN w:val="0"/>
        <w:adjustRightInd w:val="0"/>
        <w:spacing w:line="400" w:lineRule="exact"/>
        <w:ind w:firstLine="482"/>
        <w:rPr>
          <w:rFonts w:asciiTheme="minorEastAsia" w:hAnsiTheme="minorEastAsia" w:eastAsiaTheme="minorEastAsia" w:cstheme="minorEastAsia"/>
          <w:color w:val="000000"/>
          <w:szCs w:val="21"/>
          <w:lang w:val="zh-CN"/>
        </w:rPr>
      </w:pPr>
      <w:r>
        <w:rPr>
          <w:rFonts w:hint="eastAsia" w:asciiTheme="minorEastAsia" w:hAnsiTheme="minorEastAsia" w:eastAsiaTheme="minorEastAsia" w:cstheme="minorEastAsia"/>
          <w:color w:val="000000"/>
          <w:szCs w:val="21"/>
          <w:lang w:val="zh-CN"/>
        </w:rPr>
        <w:t>4、本合同未尽事宜，供需双方可签订补充协议，与本合同具有同等法律效力。</w:t>
      </w:r>
    </w:p>
    <w:p>
      <w:pPr>
        <w:autoSpaceDE w:val="0"/>
        <w:autoSpaceDN w:val="0"/>
        <w:adjustRightInd w:val="0"/>
        <w:spacing w:line="400" w:lineRule="exact"/>
        <w:ind w:firstLine="482"/>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lang w:val="zh-CN"/>
        </w:rPr>
        <w:t>5、本合同相关的招投标资料/谈判纪要以及与本合同相关的其他文件均为本合同附件，与本合同具有同等法律效力。若本合同附件与本合同内容存在不一致之处，以本合同约定为准。</w:t>
      </w:r>
    </w:p>
    <w:p>
      <w:pPr>
        <w:spacing w:line="276" w:lineRule="auto"/>
        <w:ind w:firstLine="420" w:firstLineChars="200"/>
        <w:rPr>
          <w:rFonts w:asciiTheme="minorEastAsia" w:hAnsiTheme="minorEastAsia" w:eastAsiaTheme="minorEastAsia" w:cstheme="minorEastAsia"/>
          <w:color w:val="000000"/>
          <w:szCs w:val="21"/>
        </w:rPr>
      </w:pPr>
    </w:p>
    <w:p>
      <w:pPr>
        <w:spacing w:line="276" w:lineRule="auto"/>
        <w:ind w:firstLine="422" w:firstLineChars="200"/>
        <w:rPr>
          <w:rFonts w:asciiTheme="minorEastAsia" w:hAnsiTheme="minorEastAsia" w:eastAsiaTheme="minorEastAsia" w:cstheme="minorEastAsia"/>
          <w:b/>
          <w:color w:val="000000"/>
          <w:szCs w:val="21"/>
        </w:rPr>
      </w:pPr>
      <w:r>
        <w:rPr>
          <w:rFonts w:hint="eastAsia" w:asciiTheme="minorEastAsia" w:hAnsiTheme="minorEastAsia" w:eastAsiaTheme="minorEastAsia" w:cstheme="minorEastAsia"/>
          <w:b/>
          <w:color w:val="000000"/>
          <w:szCs w:val="21"/>
        </w:rPr>
        <w:t>附件：货物清单明细</w:t>
      </w:r>
    </w:p>
    <w:p>
      <w:pPr>
        <w:pStyle w:val="2"/>
        <w:rPr>
          <w:rFonts w:asciiTheme="minorEastAsia" w:hAnsiTheme="minorEastAsia" w:eastAsiaTheme="minorEastAsia" w:cstheme="minorEastAsia"/>
          <w:color w:val="000000"/>
          <w:sz w:val="21"/>
          <w:szCs w:val="21"/>
        </w:rPr>
      </w:pPr>
    </w:p>
    <w:p>
      <w:pPr>
        <w:spacing w:line="276" w:lineRule="auto"/>
        <w:ind w:firstLine="42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bCs/>
          <w:color w:val="000000"/>
          <w:szCs w:val="21"/>
        </w:rPr>
        <w:t>（以下无正文）</w:t>
      </w:r>
    </w:p>
    <w:p>
      <w:pPr>
        <w:pStyle w:val="25"/>
        <w:rPr>
          <w:rFonts w:asciiTheme="minorEastAsia" w:hAnsiTheme="minorEastAsia" w:eastAsiaTheme="minorEastAsia" w:cstheme="minorEastAsia"/>
          <w:color w:val="000000"/>
          <w:sz w:val="21"/>
          <w:szCs w:val="21"/>
        </w:rPr>
      </w:pPr>
    </w:p>
    <w:p>
      <w:pPr>
        <w:snapToGrid w:val="0"/>
        <w:spacing w:line="360" w:lineRule="auto"/>
        <w:ind w:firstLine="411" w:firstLineChars="196"/>
        <w:jc w:val="left"/>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 xml:space="preserve">甲方(印章): 江苏医药职业学院                   乙方(印章):                  </w:t>
      </w:r>
    </w:p>
    <w:p>
      <w:pPr>
        <w:snapToGrid w:val="0"/>
        <w:spacing w:line="360" w:lineRule="auto"/>
        <w:ind w:firstLine="420" w:firstLineChars="200"/>
        <w:jc w:val="left"/>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法定代表人或其委托代理人：                     法定代表人或其委托代理人：</w:t>
      </w:r>
    </w:p>
    <w:p>
      <w:pPr>
        <w:snapToGrid w:val="0"/>
        <w:spacing w:line="360" w:lineRule="auto"/>
        <w:ind w:firstLine="1260" w:firstLineChars="600"/>
        <w:jc w:val="left"/>
        <w:rPr>
          <w:rFonts w:asciiTheme="minorEastAsia" w:hAnsiTheme="minorEastAsia" w:eastAsiaTheme="minorEastAsia" w:cstheme="minorEastAsia"/>
          <w:color w:val="000000"/>
          <w:szCs w:val="21"/>
          <w:u w:val="single"/>
        </w:rPr>
      </w:pPr>
      <w:r>
        <w:rPr>
          <w:rFonts w:hint="eastAsia" w:asciiTheme="minorEastAsia" w:hAnsiTheme="minorEastAsia" w:eastAsiaTheme="minorEastAsia" w:cstheme="minorEastAsia"/>
          <w:color w:val="000000"/>
          <w:szCs w:val="21"/>
        </w:rPr>
        <w:t>（签字）:                                       (签字):</w:t>
      </w:r>
    </w:p>
    <w:p>
      <w:pPr>
        <w:snapToGrid w:val="0"/>
        <w:spacing w:line="360" w:lineRule="auto"/>
        <w:ind w:left="5670" w:leftChars="200" w:hanging="5250" w:hangingChars="25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 xml:space="preserve">地址: 盐城市解放南路283号                     地址:                       </w:t>
      </w:r>
    </w:p>
    <w:p>
      <w:pPr>
        <w:snapToGrid w:val="0"/>
        <w:spacing w:line="360" w:lineRule="auto"/>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电话:051588550311                              电话:</w:t>
      </w:r>
    </w:p>
    <w:p>
      <w:pPr>
        <w:snapToGrid w:val="0"/>
        <w:spacing w:line="360" w:lineRule="auto"/>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　　                                                              日期:    年   月   日</w:t>
      </w:r>
    </w:p>
    <w:p>
      <w:pPr>
        <w:spacing w:line="480" w:lineRule="auto"/>
        <w:jc w:val="center"/>
        <w:rPr>
          <w:rFonts w:ascii="宋体" w:hAnsi="宋体" w:cs="宋体"/>
          <w:b/>
          <w:color w:val="000000"/>
          <w:sz w:val="32"/>
          <w:szCs w:val="21"/>
        </w:rPr>
      </w:pPr>
      <w:bookmarkStart w:id="179" w:name="_Toc122338098"/>
    </w:p>
    <w:p>
      <w:pPr>
        <w:spacing w:line="360" w:lineRule="auto"/>
        <w:jc w:val="center"/>
        <w:outlineLvl w:val="0"/>
        <w:rPr>
          <w:rFonts w:ascii="宋体" w:hAnsi="宋体" w:cs="宋体"/>
          <w:b/>
          <w:bCs/>
          <w:color w:val="000000"/>
          <w:sz w:val="28"/>
          <w:szCs w:val="28"/>
        </w:rPr>
      </w:pPr>
      <w:r>
        <w:rPr>
          <w:rFonts w:hint="eastAsia" w:ascii="宋体" w:hAnsi="宋体" w:cs="宋体"/>
          <w:b/>
          <w:color w:val="000000"/>
          <w:sz w:val="28"/>
          <w:szCs w:val="28"/>
        </w:rPr>
        <w:t>第四章  评标方法和标准</w:t>
      </w:r>
      <w:r>
        <w:rPr>
          <w:rFonts w:hint="eastAsia" w:ascii="宋体" w:hAnsi="宋体"/>
          <w:b/>
          <w:color w:val="000000"/>
          <w:sz w:val="28"/>
          <w:szCs w:val="28"/>
        </w:rPr>
        <w:t>（主要部分）</w:t>
      </w:r>
      <w:bookmarkEnd w:id="179"/>
    </w:p>
    <w:p>
      <w:pPr>
        <w:snapToGrid w:val="0"/>
        <w:spacing w:line="360" w:lineRule="auto"/>
        <w:jc w:val="center"/>
        <w:rPr>
          <w:rFonts w:ascii="宋体" w:hAnsi="宋体" w:cs="宋体"/>
          <w:b/>
          <w:color w:val="000000"/>
          <w:kern w:val="0"/>
          <w:sz w:val="24"/>
        </w:rPr>
      </w:pPr>
    </w:p>
    <w:p>
      <w:pPr>
        <w:pStyle w:val="40"/>
        <w:snapToGrid w:val="0"/>
        <w:spacing w:line="360" w:lineRule="auto"/>
        <w:ind w:firstLine="0" w:firstLineChars="0"/>
        <w:jc w:val="center"/>
        <w:outlineLvl w:val="1"/>
        <w:rPr>
          <w:rFonts w:asciiTheme="minorEastAsia" w:hAnsiTheme="minorEastAsia" w:eastAsiaTheme="minorEastAsia" w:cstheme="minorEastAsia"/>
          <w:b/>
          <w:color w:val="000000"/>
          <w:sz w:val="21"/>
          <w:szCs w:val="21"/>
        </w:rPr>
      </w:pPr>
      <w:bookmarkStart w:id="180" w:name="_Toc122338099"/>
      <w:r>
        <w:rPr>
          <w:rFonts w:hint="eastAsia" w:asciiTheme="minorEastAsia" w:hAnsiTheme="minorEastAsia" w:eastAsiaTheme="minorEastAsia" w:cstheme="minorEastAsia"/>
          <w:b/>
          <w:color w:val="000000"/>
          <w:sz w:val="21"/>
          <w:szCs w:val="21"/>
        </w:rPr>
        <w:t>一、评标方法</w:t>
      </w:r>
      <w:bookmarkEnd w:id="180"/>
    </w:p>
    <w:p>
      <w:pPr>
        <w:snapToGrid w:val="0"/>
        <w:spacing w:line="360" w:lineRule="auto"/>
        <w:ind w:firstLine="525" w:firstLineChars="250"/>
        <w:rPr>
          <w:rFonts w:asciiTheme="minorEastAsia" w:hAnsiTheme="minorEastAsia" w:eastAsiaTheme="minorEastAsia" w:cstheme="minorEastAsia"/>
          <w:szCs w:val="21"/>
        </w:rPr>
      </w:pPr>
    </w:p>
    <w:p>
      <w:pPr>
        <w:snapToGrid w:val="0"/>
        <w:spacing w:line="360" w:lineRule="auto"/>
        <w:ind w:firstLine="525" w:firstLineChars="2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r>
        <w:rPr>
          <w:rFonts w:hint="eastAsia" w:ascii="宋体" w:hAnsi="宋体" w:cs="宋体"/>
          <w:szCs w:val="21"/>
        </w:rPr>
        <w:t>.根据《政府采购促进中小企业发展管理办法》等有关规定，对满足价格扣除条件的</w:t>
      </w:r>
      <w:r>
        <w:rPr>
          <w:rFonts w:ascii="宋体" w:hAnsi="宋体" w:cs="宋体"/>
          <w:szCs w:val="21"/>
        </w:rPr>
        <w:t>小微企业报价</w:t>
      </w:r>
      <w:r>
        <w:rPr>
          <w:rFonts w:hint="eastAsia" w:ascii="宋体" w:hAnsi="宋体" w:cs="宋体"/>
          <w:szCs w:val="21"/>
        </w:rPr>
        <w:t>给予20%的扣除（符合联合体扣除的，给予联合体6%的价格扣除），用扣除后的价格参与评审。</w:t>
      </w:r>
      <w:r>
        <w:rPr>
          <w:rFonts w:ascii="宋体" w:hAnsi="宋体" w:cs="宋体"/>
          <w:szCs w:val="21"/>
        </w:rPr>
        <w:t>中小企业参加政府</w:t>
      </w:r>
      <w:bookmarkStart w:id="192" w:name="_GoBack"/>
      <w:bookmarkEnd w:id="192"/>
      <w:r>
        <w:rPr>
          <w:rFonts w:ascii="宋体" w:hAnsi="宋体" w:cs="宋体"/>
          <w:szCs w:val="21"/>
        </w:rPr>
        <w:t>采购活动，应当出具</w:t>
      </w:r>
      <w:r>
        <w:rPr>
          <w:rFonts w:hint="eastAsia" w:ascii="宋体" w:hAnsi="宋体" w:cs="宋体"/>
          <w:szCs w:val="21"/>
        </w:rPr>
        <w:t>《</w:t>
      </w:r>
      <w:r>
        <w:rPr>
          <w:rFonts w:ascii="宋体" w:hAnsi="宋体" w:cs="宋体"/>
          <w:szCs w:val="21"/>
        </w:rPr>
        <w:t>政府采购促进中小企业发展管理办法</w:t>
      </w:r>
      <w:r>
        <w:rPr>
          <w:rFonts w:hint="eastAsia" w:ascii="宋体" w:hAnsi="宋体" w:cs="宋体"/>
          <w:szCs w:val="21"/>
        </w:rPr>
        <w:t>》</w:t>
      </w:r>
      <w:r>
        <w:rPr>
          <w:rFonts w:ascii="宋体" w:hAnsi="宋体" w:cs="宋体"/>
          <w:szCs w:val="21"/>
        </w:rPr>
        <w:t>规定的《中小企业声明函》</w:t>
      </w:r>
      <w:r>
        <w:rPr>
          <w:rFonts w:hint="eastAsia" w:ascii="宋体" w:hAnsi="宋体" w:cs="宋体"/>
          <w:szCs w:val="21"/>
        </w:rPr>
        <w:t>（请从财政部官方网站下载。以财政部官方网站公布的为准）</w:t>
      </w:r>
      <w:r>
        <w:rPr>
          <w:rFonts w:ascii="宋体" w:hAnsi="宋体" w:cs="宋体"/>
          <w:szCs w:val="21"/>
        </w:rPr>
        <w:t>，否则不得享受相关中小企业扶持政策。</w:t>
      </w:r>
      <w:r>
        <w:rPr>
          <w:rFonts w:hint="eastAsia" w:ascii="宋体" w:hAnsi="宋体" w:cs="宋体"/>
          <w:szCs w:val="21"/>
        </w:rPr>
        <w:t>专门面向中小企业采购的项目，投标人未出具</w:t>
      </w:r>
      <w:r>
        <w:rPr>
          <w:rFonts w:ascii="宋体" w:hAnsi="宋体" w:cs="宋体"/>
          <w:szCs w:val="21"/>
        </w:rPr>
        <w:t>《中小企业声明函》</w:t>
      </w:r>
      <w:r>
        <w:rPr>
          <w:rFonts w:hint="eastAsia" w:ascii="宋体" w:hAnsi="宋体" w:cs="宋体"/>
          <w:szCs w:val="21"/>
        </w:rPr>
        <w:t>的，按无效处理。</w:t>
      </w:r>
    </w:p>
    <w:p>
      <w:pPr>
        <w:snapToGrid w:val="0"/>
        <w:spacing w:line="360" w:lineRule="auto"/>
        <w:ind w:firstLine="525" w:firstLineChars="2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投标人应当以合理的报价参加竞争。评标委员会认为投标人的报价明显低于其他通过符合性检查投标人的报价，有可能影响产品质量或者不能诚信履约的，且投标人未按照规定证明其报价合理性的，按无效投标处理。</w:t>
      </w:r>
    </w:p>
    <w:p>
      <w:pPr>
        <w:snapToGrid w:val="0"/>
        <w:spacing w:line="360" w:lineRule="auto"/>
        <w:ind w:firstLine="525" w:firstLineChars="2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3.本项目采用“综合评分法”。本项目将按照法律法规及招标文件规定（投标人须知等）及本章的规定评标。各项评分均保证到小数点后2位；评分统计（含报价分计算）按4舍5入精确到小数点后 2 位。</w:t>
      </w:r>
    </w:p>
    <w:p>
      <w:pPr>
        <w:snapToGrid w:val="0"/>
        <w:spacing w:line="360" w:lineRule="auto"/>
        <w:jc w:val="center"/>
        <w:rPr>
          <w:rFonts w:asciiTheme="minorEastAsia" w:hAnsiTheme="minorEastAsia" w:eastAsiaTheme="minorEastAsia" w:cstheme="minorEastAsia"/>
          <w:b/>
          <w:color w:val="000000"/>
          <w:kern w:val="0"/>
          <w:szCs w:val="21"/>
        </w:rPr>
      </w:pPr>
      <w:bookmarkStart w:id="181" w:name="_Toc122338100"/>
    </w:p>
    <w:p>
      <w:pPr>
        <w:snapToGrid w:val="0"/>
        <w:spacing w:line="360" w:lineRule="auto"/>
        <w:jc w:val="center"/>
        <w:rPr>
          <w:rFonts w:asciiTheme="minorEastAsia" w:hAnsiTheme="minorEastAsia" w:eastAsiaTheme="minorEastAsia" w:cstheme="minorEastAsia"/>
          <w:b/>
          <w:color w:val="000000"/>
          <w:kern w:val="0"/>
          <w:szCs w:val="21"/>
        </w:rPr>
      </w:pPr>
    </w:p>
    <w:p>
      <w:pPr>
        <w:snapToGrid w:val="0"/>
        <w:spacing w:line="360" w:lineRule="auto"/>
        <w:jc w:val="center"/>
        <w:rPr>
          <w:rFonts w:asciiTheme="minorEastAsia" w:hAnsiTheme="minorEastAsia" w:eastAsiaTheme="minorEastAsia" w:cstheme="minorEastAsia"/>
          <w:b/>
          <w:color w:val="000000"/>
          <w:kern w:val="0"/>
          <w:szCs w:val="21"/>
        </w:rPr>
      </w:pPr>
    </w:p>
    <w:p>
      <w:pPr>
        <w:snapToGrid w:val="0"/>
        <w:spacing w:line="360" w:lineRule="auto"/>
        <w:jc w:val="center"/>
        <w:rPr>
          <w:rFonts w:asciiTheme="minorEastAsia" w:hAnsiTheme="minorEastAsia" w:eastAsiaTheme="minorEastAsia" w:cstheme="minorEastAsia"/>
          <w:b/>
          <w:color w:val="000000"/>
          <w:kern w:val="0"/>
          <w:szCs w:val="21"/>
        </w:rPr>
      </w:pPr>
    </w:p>
    <w:p>
      <w:pPr>
        <w:snapToGrid w:val="0"/>
        <w:spacing w:line="360" w:lineRule="auto"/>
        <w:jc w:val="center"/>
        <w:rPr>
          <w:rFonts w:asciiTheme="minorEastAsia" w:hAnsiTheme="minorEastAsia" w:eastAsiaTheme="minorEastAsia" w:cstheme="minorEastAsia"/>
          <w:b/>
          <w:color w:val="000000"/>
          <w:kern w:val="0"/>
          <w:szCs w:val="21"/>
        </w:rPr>
      </w:pPr>
    </w:p>
    <w:p>
      <w:pPr>
        <w:snapToGrid w:val="0"/>
        <w:spacing w:line="360" w:lineRule="auto"/>
        <w:jc w:val="center"/>
        <w:rPr>
          <w:rFonts w:asciiTheme="minorEastAsia" w:hAnsiTheme="minorEastAsia" w:eastAsiaTheme="minorEastAsia" w:cstheme="minorEastAsia"/>
          <w:b/>
          <w:color w:val="000000"/>
          <w:kern w:val="0"/>
          <w:szCs w:val="21"/>
        </w:rPr>
      </w:pPr>
    </w:p>
    <w:p>
      <w:pPr>
        <w:snapToGrid w:val="0"/>
        <w:spacing w:line="360" w:lineRule="auto"/>
        <w:jc w:val="center"/>
        <w:rPr>
          <w:rFonts w:asciiTheme="minorEastAsia" w:hAnsiTheme="minorEastAsia" w:eastAsiaTheme="minorEastAsia" w:cstheme="minorEastAsia"/>
          <w:b/>
          <w:color w:val="000000"/>
          <w:kern w:val="0"/>
          <w:szCs w:val="21"/>
        </w:rPr>
      </w:pPr>
    </w:p>
    <w:p>
      <w:pPr>
        <w:snapToGrid w:val="0"/>
        <w:spacing w:line="360" w:lineRule="auto"/>
        <w:jc w:val="center"/>
        <w:rPr>
          <w:rFonts w:asciiTheme="minorEastAsia" w:hAnsiTheme="minorEastAsia" w:eastAsiaTheme="minorEastAsia" w:cstheme="minorEastAsia"/>
          <w:b/>
          <w:color w:val="000000"/>
          <w:kern w:val="0"/>
          <w:szCs w:val="21"/>
        </w:rPr>
      </w:pPr>
    </w:p>
    <w:p>
      <w:pPr>
        <w:snapToGrid w:val="0"/>
        <w:spacing w:line="360" w:lineRule="auto"/>
        <w:jc w:val="center"/>
        <w:rPr>
          <w:rFonts w:asciiTheme="minorEastAsia" w:hAnsiTheme="minorEastAsia" w:eastAsiaTheme="minorEastAsia" w:cstheme="minorEastAsia"/>
          <w:b/>
          <w:color w:val="000000"/>
          <w:kern w:val="0"/>
          <w:szCs w:val="21"/>
        </w:rPr>
      </w:pPr>
    </w:p>
    <w:p>
      <w:pPr>
        <w:snapToGrid w:val="0"/>
        <w:spacing w:line="360" w:lineRule="auto"/>
        <w:jc w:val="center"/>
        <w:rPr>
          <w:rFonts w:asciiTheme="minorEastAsia" w:hAnsiTheme="minorEastAsia" w:eastAsiaTheme="minorEastAsia" w:cstheme="minorEastAsia"/>
          <w:b/>
          <w:color w:val="000000"/>
          <w:kern w:val="0"/>
          <w:szCs w:val="21"/>
        </w:rPr>
      </w:pPr>
    </w:p>
    <w:p>
      <w:pPr>
        <w:snapToGrid w:val="0"/>
        <w:spacing w:line="360" w:lineRule="auto"/>
        <w:jc w:val="center"/>
        <w:rPr>
          <w:rFonts w:asciiTheme="minorEastAsia" w:hAnsiTheme="minorEastAsia" w:eastAsiaTheme="minorEastAsia" w:cstheme="minorEastAsia"/>
          <w:b/>
          <w:color w:val="000000"/>
          <w:kern w:val="0"/>
          <w:szCs w:val="21"/>
        </w:rPr>
      </w:pPr>
    </w:p>
    <w:p>
      <w:pPr>
        <w:snapToGrid w:val="0"/>
        <w:spacing w:line="360" w:lineRule="auto"/>
        <w:jc w:val="center"/>
        <w:rPr>
          <w:rFonts w:asciiTheme="minorEastAsia" w:hAnsiTheme="minorEastAsia" w:eastAsiaTheme="minorEastAsia" w:cstheme="minorEastAsia"/>
          <w:b/>
          <w:color w:val="000000"/>
          <w:kern w:val="0"/>
          <w:szCs w:val="21"/>
        </w:rPr>
      </w:pPr>
    </w:p>
    <w:p>
      <w:pPr>
        <w:snapToGrid w:val="0"/>
        <w:spacing w:line="360" w:lineRule="auto"/>
        <w:jc w:val="center"/>
        <w:rPr>
          <w:rFonts w:asciiTheme="minorEastAsia" w:hAnsiTheme="minorEastAsia" w:eastAsiaTheme="minorEastAsia" w:cstheme="minorEastAsia"/>
          <w:b/>
          <w:color w:val="000000"/>
          <w:kern w:val="0"/>
          <w:szCs w:val="21"/>
        </w:rPr>
      </w:pPr>
    </w:p>
    <w:p>
      <w:pPr>
        <w:pStyle w:val="25"/>
        <w:ind w:firstLine="640"/>
      </w:pPr>
    </w:p>
    <w:p/>
    <w:p>
      <w:pPr>
        <w:snapToGrid w:val="0"/>
        <w:spacing w:line="360" w:lineRule="auto"/>
        <w:jc w:val="center"/>
        <w:rPr>
          <w:rFonts w:asciiTheme="minorEastAsia" w:hAnsiTheme="minorEastAsia" w:eastAsiaTheme="minorEastAsia" w:cstheme="minorEastAsia"/>
          <w:b/>
          <w:color w:val="000000"/>
          <w:kern w:val="0"/>
          <w:szCs w:val="21"/>
        </w:rPr>
      </w:pPr>
    </w:p>
    <w:p>
      <w:pPr>
        <w:snapToGrid w:val="0"/>
        <w:spacing w:line="360" w:lineRule="auto"/>
        <w:jc w:val="center"/>
        <w:rPr>
          <w:rFonts w:asciiTheme="minorEastAsia" w:hAnsiTheme="minorEastAsia" w:eastAsiaTheme="minorEastAsia" w:cstheme="minorEastAsia"/>
          <w:b/>
          <w:color w:val="000000"/>
          <w:kern w:val="0"/>
          <w:szCs w:val="21"/>
        </w:rPr>
      </w:pPr>
    </w:p>
    <w:p>
      <w:pPr>
        <w:snapToGrid w:val="0"/>
        <w:spacing w:line="360" w:lineRule="auto"/>
        <w:jc w:val="center"/>
        <w:rPr>
          <w:rFonts w:asciiTheme="minorEastAsia" w:hAnsiTheme="minorEastAsia" w:eastAsiaTheme="minorEastAsia" w:cstheme="minorEastAsia"/>
          <w:b/>
          <w:color w:val="000000"/>
          <w:kern w:val="0"/>
          <w:szCs w:val="21"/>
        </w:rPr>
      </w:pPr>
    </w:p>
    <w:p>
      <w:pPr>
        <w:snapToGrid w:val="0"/>
        <w:spacing w:line="360" w:lineRule="auto"/>
        <w:jc w:val="center"/>
        <w:rPr>
          <w:rFonts w:asciiTheme="minorEastAsia" w:hAnsiTheme="minorEastAsia" w:eastAsiaTheme="minorEastAsia" w:cstheme="minorEastAsia"/>
          <w:b/>
          <w:color w:val="000000"/>
          <w:kern w:val="0"/>
          <w:szCs w:val="21"/>
        </w:rPr>
      </w:pPr>
    </w:p>
    <w:p>
      <w:pPr>
        <w:pStyle w:val="40"/>
        <w:snapToGrid w:val="0"/>
        <w:spacing w:line="360" w:lineRule="auto"/>
        <w:ind w:firstLine="0" w:firstLineChars="0"/>
        <w:jc w:val="center"/>
        <w:rPr>
          <w:rFonts w:asciiTheme="minorEastAsia" w:hAnsiTheme="minorEastAsia" w:eastAsiaTheme="minorEastAsia" w:cstheme="minorEastAsia"/>
          <w:b/>
          <w:color w:val="000000"/>
          <w:sz w:val="21"/>
          <w:szCs w:val="21"/>
        </w:rPr>
      </w:pPr>
    </w:p>
    <w:p>
      <w:pPr>
        <w:pStyle w:val="40"/>
        <w:snapToGrid w:val="0"/>
        <w:spacing w:line="360" w:lineRule="auto"/>
        <w:ind w:firstLine="0" w:firstLineChars="0"/>
        <w:jc w:val="center"/>
        <w:outlineLvl w:val="1"/>
        <w:rPr>
          <w:rFonts w:asciiTheme="minorEastAsia" w:hAnsiTheme="minorEastAsia" w:eastAsiaTheme="minorEastAsia" w:cstheme="minorEastAsia"/>
          <w:b/>
          <w:color w:val="000000"/>
          <w:sz w:val="21"/>
          <w:szCs w:val="21"/>
        </w:rPr>
      </w:pPr>
      <w:r>
        <w:rPr>
          <w:rFonts w:hint="eastAsia" w:asciiTheme="minorEastAsia" w:hAnsiTheme="minorEastAsia" w:eastAsiaTheme="minorEastAsia" w:cstheme="minorEastAsia"/>
          <w:b/>
          <w:color w:val="000000"/>
          <w:sz w:val="21"/>
          <w:szCs w:val="21"/>
        </w:rPr>
        <w:t>二、评分标准</w:t>
      </w:r>
      <w:bookmarkEnd w:id="181"/>
    </w:p>
    <w:tbl>
      <w:tblPr>
        <w:tblStyle w:val="26"/>
        <w:tblW w:w="9781"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76"/>
        <w:gridCol w:w="7088"/>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70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序号</w:t>
            </w:r>
          </w:p>
        </w:tc>
        <w:tc>
          <w:tcPr>
            <w:tcW w:w="127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评审项目</w:t>
            </w:r>
          </w:p>
        </w:tc>
        <w:tc>
          <w:tcPr>
            <w:tcW w:w="708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评分内容</w:t>
            </w:r>
          </w:p>
        </w:tc>
        <w:tc>
          <w:tcPr>
            <w:tcW w:w="70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70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w:t>
            </w:r>
          </w:p>
        </w:tc>
        <w:tc>
          <w:tcPr>
            <w:tcW w:w="1276" w:type="dxa"/>
            <w:tcBorders>
              <w:top w:val="single" w:color="auto" w:sz="4" w:space="0"/>
              <w:left w:val="single" w:color="auto" w:sz="4" w:space="0"/>
              <w:bottom w:val="single" w:color="auto" w:sz="4" w:space="0"/>
              <w:right w:val="single" w:color="auto" w:sz="4" w:space="0"/>
            </w:tcBorders>
            <w:vAlign w:val="center"/>
          </w:tcPr>
          <w:p>
            <w:pPr>
              <w:tabs>
                <w:tab w:val="left" w:pos="-540"/>
                <w:tab w:val="left" w:pos="2880"/>
                <w:tab w:val="left" w:pos="3600"/>
                <w:tab w:val="left" w:pos="4320"/>
                <w:tab w:val="center" w:pos="4433"/>
              </w:tabs>
              <w:autoSpaceDE w:val="0"/>
              <w:autoSpaceDN w:val="0"/>
              <w:adjustRightInd w:val="0"/>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投标报价</w:t>
            </w:r>
          </w:p>
        </w:tc>
        <w:tc>
          <w:tcPr>
            <w:tcW w:w="7088" w:type="dxa"/>
            <w:tcBorders>
              <w:top w:val="single" w:color="auto" w:sz="4" w:space="0"/>
              <w:left w:val="single" w:color="auto" w:sz="4" w:space="0"/>
              <w:bottom w:val="single" w:color="auto" w:sz="4" w:space="0"/>
              <w:right w:val="single" w:color="auto" w:sz="4" w:space="0"/>
            </w:tcBorders>
          </w:tcPr>
          <w:p>
            <w:pPr>
              <w:tabs>
                <w:tab w:val="left" w:pos="-540"/>
                <w:tab w:val="left" w:pos="2880"/>
                <w:tab w:val="left" w:pos="3600"/>
                <w:tab w:val="left" w:pos="4320"/>
                <w:tab w:val="center" w:pos="4433"/>
              </w:tabs>
              <w:autoSpaceDE w:val="0"/>
              <w:autoSpaceDN w:val="0"/>
              <w:adjustRightInd w:val="0"/>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以满足招标文件要求且投标价格最低的投标报价为评标基准价，其价格分为满分30分，其他投标人的价格分按照下列公式计算：投标报价得分=（评标基准价/投标报价）×30（小数点后保留两位，四舍五入）</w:t>
            </w:r>
          </w:p>
        </w:tc>
        <w:tc>
          <w:tcPr>
            <w:tcW w:w="708" w:type="dxa"/>
            <w:tcBorders>
              <w:top w:val="single" w:color="auto" w:sz="4" w:space="0"/>
              <w:left w:val="single" w:color="auto" w:sz="4" w:space="0"/>
              <w:bottom w:val="single" w:color="auto" w:sz="4" w:space="0"/>
              <w:right w:val="single" w:color="auto" w:sz="4" w:space="0"/>
            </w:tcBorders>
            <w:vAlign w:val="center"/>
          </w:tcPr>
          <w:p>
            <w:pPr>
              <w:tabs>
                <w:tab w:val="left" w:pos="-540"/>
                <w:tab w:val="left" w:pos="2880"/>
                <w:tab w:val="left" w:pos="3600"/>
                <w:tab w:val="left" w:pos="4320"/>
                <w:tab w:val="center" w:pos="4433"/>
              </w:tabs>
              <w:autoSpaceDE w:val="0"/>
              <w:autoSpaceDN w:val="0"/>
              <w:adjustRightInd w:val="0"/>
              <w:spacing w:line="400" w:lineRule="exact"/>
              <w:jc w:val="center"/>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70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w:t>
            </w:r>
          </w:p>
        </w:tc>
        <w:tc>
          <w:tcPr>
            <w:tcW w:w="1276" w:type="dxa"/>
            <w:tcBorders>
              <w:top w:val="single" w:color="auto" w:sz="4" w:space="0"/>
              <w:left w:val="single" w:color="auto" w:sz="4" w:space="0"/>
              <w:bottom w:val="single" w:color="auto" w:sz="4" w:space="0"/>
              <w:right w:val="single" w:color="auto" w:sz="4" w:space="0"/>
            </w:tcBorders>
            <w:vAlign w:val="center"/>
          </w:tcPr>
          <w:p>
            <w:pPr>
              <w:tabs>
                <w:tab w:val="left" w:pos="-540"/>
                <w:tab w:val="left" w:pos="2880"/>
                <w:tab w:val="left" w:pos="3600"/>
                <w:tab w:val="left" w:pos="4320"/>
                <w:tab w:val="center" w:pos="4433"/>
              </w:tabs>
              <w:autoSpaceDE w:val="0"/>
              <w:autoSpaceDN w:val="0"/>
              <w:adjustRightInd w:val="0"/>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技术响应</w:t>
            </w:r>
          </w:p>
        </w:tc>
        <w:tc>
          <w:tcPr>
            <w:tcW w:w="7088" w:type="dxa"/>
            <w:tcBorders>
              <w:top w:val="single" w:color="auto" w:sz="4" w:space="0"/>
              <w:left w:val="single" w:color="auto" w:sz="4" w:space="0"/>
              <w:bottom w:val="single" w:color="auto" w:sz="4" w:space="0"/>
              <w:right w:val="single" w:color="auto" w:sz="4" w:space="0"/>
            </w:tcBorders>
            <w:vAlign w:val="center"/>
          </w:tcPr>
          <w:p>
            <w:pPr>
              <w:tabs>
                <w:tab w:val="left" w:pos="-540"/>
                <w:tab w:val="left" w:pos="2880"/>
                <w:tab w:val="left" w:pos="3600"/>
                <w:tab w:val="left" w:pos="4320"/>
                <w:tab w:val="center" w:pos="4433"/>
              </w:tabs>
              <w:autoSpaceDE w:val="0"/>
              <w:autoSpaceDN w:val="0"/>
              <w:adjustRightInd w:val="0"/>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投标产品对招标文件具体需求的响应程度能够满足招标文件技术要求的得30分。如带“★”条款存在负偏离的，每一条负偏离扣3分，负偏离≥3条的本项不得分；未带“★”条款负偏离1项扣1分，负偏离≥5条的本项不得分。</w:t>
            </w:r>
          </w:p>
          <w:p>
            <w:pPr>
              <w:tabs>
                <w:tab w:val="left" w:pos="-540"/>
                <w:tab w:val="left" w:pos="2880"/>
                <w:tab w:val="left" w:pos="3600"/>
                <w:tab w:val="left" w:pos="4320"/>
                <w:tab w:val="center" w:pos="4433"/>
              </w:tabs>
              <w:autoSpaceDE w:val="0"/>
              <w:autoSpaceDN w:val="0"/>
              <w:adjustRightInd w:val="0"/>
              <w:ind w:firstLine="420" w:firstLineChars="200"/>
              <w:jc w:val="left"/>
              <w:rPr>
                <w:color w:val="000000" w:themeColor="text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投标人需在“技术条款偏离表”中如实详细填列所投产品的技术指标，并按采购文件要求提供相应证明材料并在偏离表中标明所在页码。</w:t>
            </w:r>
          </w:p>
        </w:tc>
        <w:tc>
          <w:tcPr>
            <w:tcW w:w="708" w:type="dxa"/>
            <w:tcBorders>
              <w:top w:val="single" w:color="auto" w:sz="4" w:space="0"/>
              <w:left w:val="single" w:color="auto" w:sz="4" w:space="0"/>
              <w:bottom w:val="single" w:color="auto" w:sz="4" w:space="0"/>
              <w:right w:val="single" w:color="auto" w:sz="4" w:space="0"/>
            </w:tcBorders>
            <w:vAlign w:val="center"/>
          </w:tcPr>
          <w:p>
            <w:pPr>
              <w:tabs>
                <w:tab w:val="left" w:pos="-540"/>
                <w:tab w:val="left" w:pos="2880"/>
                <w:tab w:val="left" w:pos="3600"/>
                <w:tab w:val="left" w:pos="4320"/>
                <w:tab w:val="center" w:pos="4433"/>
              </w:tabs>
              <w:autoSpaceDE w:val="0"/>
              <w:autoSpaceDN w:val="0"/>
              <w:adjustRightInd w:val="0"/>
              <w:spacing w:line="4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709" w:type="dxa"/>
            <w:tcBorders>
              <w:top w:val="single" w:color="auto" w:sz="4" w:space="0"/>
              <w:left w:val="single" w:color="auto" w:sz="4" w:space="0"/>
              <w:right w:val="single" w:color="auto" w:sz="4" w:space="0"/>
            </w:tcBorders>
            <w:vAlign w:val="center"/>
          </w:tcPr>
          <w:p>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w:t>
            </w:r>
          </w:p>
        </w:tc>
        <w:tc>
          <w:tcPr>
            <w:tcW w:w="1276" w:type="dxa"/>
            <w:tcBorders>
              <w:top w:val="single" w:color="auto" w:sz="4" w:space="0"/>
              <w:left w:val="single" w:color="auto" w:sz="4" w:space="0"/>
              <w:bottom w:val="single" w:color="auto" w:sz="4" w:space="0"/>
              <w:right w:val="single" w:color="auto" w:sz="4" w:space="0"/>
            </w:tcBorders>
            <w:vAlign w:val="center"/>
          </w:tcPr>
          <w:p>
            <w:pPr>
              <w:tabs>
                <w:tab w:val="left" w:pos="-540"/>
                <w:tab w:val="left" w:pos="2880"/>
                <w:tab w:val="left" w:pos="3600"/>
                <w:tab w:val="left" w:pos="4320"/>
                <w:tab w:val="center" w:pos="4433"/>
              </w:tabs>
              <w:autoSpaceDE w:val="0"/>
              <w:autoSpaceDN w:val="0"/>
              <w:adjustRightInd w:val="0"/>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项目业绩</w:t>
            </w:r>
          </w:p>
        </w:tc>
        <w:tc>
          <w:tcPr>
            <w:tcW w:w="7088" w:type="dxa"/>
            <w:tcBorders>
              <w:top w:val="single" w:color="auto" w:sz="4" w:space="0"/>
              <w:left w:val="single" w:color="auto" w:sz="4" w:space="0"/>
              <w:right w:val="single" w:color="auto" w:sz="4" w:space="0"/>
            </w:tcBorders>
            <w:vAlign w:val="center"/>
          </w:tcPr>
          <w:p>
            <w:pPr>
              <w:tabs>
                <w:tab w:val="left" w:pos="-540"/>
                <w:tab w:val="left" w:pos="2880"/>
                <w:tab w:val="left" w:pos="3600"/>
                <w:tab w:val="left" w:pos="4320"/>
                <w:tab w:val="center" w:pos="4433"/>
              </w:tabs>
              <w:autoSpaceDE w:val="0"/>
              <w:autoSpaceDN w:val="0"/>
              <w:adjustRightInd w:val="0"/>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投标人自2020年1月1日起（以签订合同时间为准）签订过同类设备</w:t>
            </w:r>
            <w:r>
              <w:rPr>
                <w:rFonts w:hint="eastAsia" w:ascii="宋体" w:hAnsi="宋体" w:cs="宋体"/>
                <w:b/>
                <w:bCs/>
                <w:color w:val="000000" w:themeColor="text1"/>
                <w:kern w:val="0"/>
                <w:szCs w:val="21"/>
                <w14:textFill>
                  <w14:solidFill>
                    <w14:schemeClr w14:val="tx1"/>
                  </w14:solidFill>
                </w14:textFill>
              </w:rPr>
              <w:t>（须包含本项目核心产品高速冷冻离心机）</w:t>
            </w:r>
            <w:r>
              <w:rPr>
                <w:rFonts w:hint="eastAsia" w:ascii="宋体" w:hAnsi="宋体" w:cs="宋体"/>
                <w:color w:val="000000" w:themeColor="text1"/>
                <w:kern w:val="0"/>
                <w:szCs w:val="21"/>
                <w14:textFill>
                  <w14:solidFill>
                    <w14:schemeClr w14:val="tx1"/>
                  </w14:solidFill>
                </w14:textFill>
              </w:rPr>
              <w:t>销售合同业绩（供应商所销售的同类设备需在产品价值、技术指标参数、设备功能用途等方面与响应设备相近，由磋商小组认定业绩是否有效），每提供1个得2分，本项最高得4分。提供合同、中标（成交）公告网站截图为准，且加盖投标人公章的完整复印件须装订于投标文件中，否则不得分。</w:t>
            </w:r>
          </w:p>
        </w:tc>
        <w:tc>
          <w:tcPr>
            <w:tcW w:w="708" w:type="dxa"/>
            <w:tcBorders>
              <w:top w:val="single" w:color="auto" w:sz="4" w:space="0"/>
              <w:left w:val="single" w:color="auto" w:sz="4" w:space="0"/>
              <w:right w:val="single" w:color="auto" w:sz="4" w:space="0"/>
            </w:tcBorders>
            <w:vAlign w:val="center"/>
          </w:tcPr>
          <w:p>
            <w:pPr>
              <w:tabs>
                <w:tab w:val="left" w:pos="-540"/>
                <w:tab w:val="left" w:pos="2880"/>
                <w:tab w:val="left" w:pos="3600"/>
                <w:tab w:val="left" w:pos="4320"/>
                <w:tab w:val="center" w:pos="4433"/>
              </w:tabs>
              <w:autoSpaceDE w:val="0"/>
              <w:autoSpaceDN w:val="0"/>
              <w:adjustRightInd w:val="0"/>
              <w:spacing w:line="4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vAlign w:val="center"/>
          </w:tcPr>
          <w:p>
            <w:pPr>
              <w:spacing w:line="4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w:t>
            </w:r>
          </w:p>
        </w:tc>
        <w:tc>
          <w:tcPr>
            <w:tcW w:w="1276" w:type="dxa"/>
            <w:vAlign w:val="center"/>
          </w:tcPr>
          <w:p>
            <w:pPr>
              <w:tabs>
                <w:tab w:val="left" w:pos="-540"/>
                <w:tab w:val="left" w:pos="2880"/>
                <w:tab w:val="left" w:pos="3600"/>
                <w:tab w:val="left" w:pos="4320"/>
                <w:tab w:val="center" w:pos="4433"/>
              </w:tabs>
              <w:autoSpaceDE w:val="0"/>
              <w:autoSpaceDN w:val="0"/>
              <w:adjustRightInd w:val="0"/>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实施方案</w:t>
            </w:r>
          </w:p>
        </w:tc>
        <w:tc>
          <w:tcPr>
            <w:tcW w:w="7088" w:type="dxa"/>
            <w:vAlign w:val="center"/>
          </w:tcPr>
          <w:p>
            <w:pPr>
              <w:widowControl/>
              <w:ind w:firstLine="422" w:firstLineChars="200"/>
              <w:jc w:val="left"/>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根据投标人针对本项目的供货方案进行评价：</w:t>
            </w:r>
          </w:p>
          <w:p>
            <w:pPr>
              <w:widowControl/>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针对本项目的产品供货方案描述合理、可行、有可靠的保证措施，且能够提供更快的供货期，得13.1-15分；</w:t>
            </w:r>
          </w:p>
          <w:p>
            <w:pPr>
              <w:widowControl/>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针对本项目的产品供货方案描述简略，仅能满足项目基础使用要求的，得11.1-13分；</w:t>
            </w:r>
          </w:p>
          <w:p>
            <w:pPr>
              <w:widowControl/>
              <w:ind w:left="-53" w:leftChars="-202" w:hanging="371" w:hangingChars="177"/>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针     对本项目的产品供货方案描述差，不能满足项目基础使用要求的，得9.1-11分；</w:t>
            </w:r>
          </w:p>
          <w:p>
            <w:pPr>
              <w:widowControl/>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未提供方案的不得分。</w:t>
            </w:r>
          </w:p>
        </w:tc>
        <w:tc>
          <w:tcPr>
            <w:tcW w:w="708" w:type="dxa"/>
            <w:vAlign w:val="center"/>
          </w:tcPr>
          <w:p>
            <w:pPr>
              <w:tabs>
                <w:tab w:val="left" w:pos="-540"/>
                <w:tab w:val="left" w:pos="2880"/>
                <w:tab w:val="left" w:pos="3600"/>
                <w:tab w:val="left" w:pos="4320"/>
                <w:tab w:val="center" w:pos="4433"/>
              </w:tabs>
              <w:autoSpaceDE w:val="0"/>
              <w:autoSpaceDN w:val="0"/>
              <w:adjustRightInd w:val="0"/>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709" w:type="dxa"/>
            <w:vAlign w:val="center"/>
          </w:tcPr>
          <w:p>
            <w:pPr>
              <w:spacing w:line="4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w:t>
            </w:r>
          </w:p>
        </w:tc>
        <w:tc>
          <w:tcPr>
            <w:tcW w:w="1276" w:type="dxa"/>
            <w:vAlign w:val="center"/>
          </w:tcPr>
          <w:p>
            <w:pPr>
              <w:widowControl/>
              <w:spacing w:line="4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培训方案</w:t>
            </w:r>
          </w:p>
        </w:tc>
        <w:tc>
          <w:tcPr>
            <w:tcW w:w="7088" w:type="dxa"/>
            <w:vAlign w:val="center"/>
          </w:tcPr>
          <w:p>
            <w:pPr>
              <w:widowControl/>
              <w:ind w:firstLine="422" w:firstLineChars="200"/>
              <w:jc w:val="left"/>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根据投标人提供的培训组织方案、人员安排进行评分：</w:t>
            </w:r>
          </w:p>
          <w:p>
            <w:pPr>
              <w:widowControl/>
              <w:autoSpaceDE w:val="0"/>
              <w:autoSpaceDN w:val="0"/>
              <w:adjustRightInd w:val="0"/>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培训方案科学合理，可行性强得5.1-7分；</w:t>
            </w:r>
          </w:p>
          <w:p>
            <w:pPr>
              <w:widowControl/>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培训方案较合理，可行性一般得 3.1-5分；</w:t>
            </w:r>
          </w:p>
          <w:p>
            <w:pPr>
              <w:widowControl/>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培训方案一般，可行性差得1.1-3分；</w:t>
            </w:r>
          </w:p>
          <w:p>
            <w:pPr>
              <w:widowControl/>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未提供不得分。</w:t>
            </w:r>
          </w:p>
        </w:tc>
        <w:tc>
          <w:tcPr>
            <w:tcW w:w="708" w:type="dxa"/>
            <w:vAlign w:val="center"/>
          </w:tcPr>
          <w:p>
            <w:pPr>
              <w:tabs>
                <w:tab w:val="left" w:pos="-540"/>
                <w:tab w:val="left" w:pos="2880"/>
                <w:tab w:val="left" w:pos="3600"/>
                <w:tab w:val="left" w:pos="4320"/>
                <w:tab w:val="center" w:pos="4433"/>
              </w:tabs>
              <w:autoSpaceDE w:val="0"/>
              <w:autoSpaceDN w:val="0"/>
              <w:adjustRightInd w:val="0"/>
              <w:spacing w:line="4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709" w:type="dxa"/>
            <w:vAlign w:val="center"/>
          </w:tcPr>
          <w:p>
            <w:pPr>
              <w:spacing w:line="4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w:t>
            </w:r>
          </w:p>
        </w:tc>
        <w:tc>
          <w:tcPr>
            <w:tcW w:w="1276" w:type="dxa"/>
            <w:vAlign w:val="center"/>
          </w:tcPr>
          <w:p>
            <w:pPr>
              <w:tabs>
                <w:tab w:val="left" w:pos="-540"/>
                <w:tab w:val="left" w:pos="2880"/>
                <w:tab w:val="left" w:pos="3600"/>
                <w:tab w:val="left" w:pos="4320"/>
                <w:tab w:val="center" w:pos="4433"/>
              </w:tabs>
              <w:autoSpaceDE w:val="0"/>
              <w:autoSpaceDN w:val="0"/>
              <w:adjustRightInd w:val="0"/>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售后服务</w:t>
            </w:r>
          </w:p>
        </w:tc>
        <w:tc>
          <w:tcPr>
            <w:tcW w:w="7088" w:type="dxa"/>
            <w:vAlign w:val="center"/>
          </w:tcPr>
          <w:p>
            <w:pPr>
              <w:widowControl/>
              <w:ind w:firstLine="422" w:firstLineChars="200"/>
              <w:jc w:val="left"/>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根据投标人提供的售后服务方案进行评分：</w:t>
            </w:r>
          </w:p>
          <w:p>
            <w:pPr>
              <w:widowControl/>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提供了设备生产厂家或设备生产厂家授权的国内公司（或国内独家代理公司）售后服务承诺函，售后服务体系、服务方案、设备耗材、售后服务分支机构及人员水平详细周全、可行，并承诺更优惠的质保期能够完全满足或高于项目需求的，得6.1-8分；</w:t>
            </w:r>
          </w:p>
          <w:p>
            <w:pPr>
              <w:widowControl/>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提供了设备生产厂家售后服务承诺函，设备厂家售后服务体系、服务方案、设备耗材、售后服务分支机构及人员水平描述简略、不详实的，得4.1-6分；</w:t>
            </w:r>
          </w:p>
          <w:p>
            <w:pPr>
              <w:widowControl/>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未提供设备生产厂家售后服务承诺函，售后服务体系、服务方案、设备耗材、售后服务分支机构及人员水平有欠缺的，得2.1-4分；</w:t>
            </w:r>
          </w:p>
          <w:p>
            <w:pPr>
              <w:widowControl/>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未提供方案的不得分。</w:t>
            </w:r>
          </w:p>
        </w:tc>
        <w:tc>
          <w:tcPr>
            <w:tcW w:w="708" w:type="dxa"/>
            <w:vAlign w:val="center"/>
          </w:tcPr>
          <w:p>
            <w:pPr>
              <w:tabs>
                <w:tab w:val="left" w:pos="-540"/>
                <w:tab w:val="left" w:pos="2880"/>
                <w:tab w:val="left" w:pos="3600"/>
                <w:tab w:val="left" w:pos="4320"/>
                <w:tab w:val="center" w:pos="4433"/>
              </w:tabs>
              <w:autoSpaceDE w:val="0"/>
              <w:autoSpaceDN w:val="0"/>
              <w:adjustRightInd w:val="0"/>
              <w:spacing w:line="4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709" w:type="dxa"/>
            <w:vAlign w:val="center"/>
          </w:tcPr>
          <w:p>
            <w:pPr>
              <w:spacing w:line="400" w:lineRule="exact"/>
              <w:jc w:val="center"/>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8</w:t>
            </w:r>
          </w:p>
        </w:tc>
        <w:tc>
          <w:tcPr>
            <w:tcW w:w="1276" w:type="dxa"/>
            <w:vAlign w:val="center"/>
          </w:tcPr>
          <w:p>
            <w:pPr>
              <w:spacing w:line="30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免费质保期</w:t>
            </w:r>
          </w:p>
        </w:tc>
        <w:tc>
          <w:tcPr>
            <w:tcW w:w="7088" w:type="dxa"/>
            <w:vAlign w:val="center"/>
          </w:tcPr>
          <w:p>
            <w:pPr>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w:t>
            </w:r>
            <w:r>
              <w:rPr>
                <w:rFonts w:ascii="宋体" w:hAnsi="宋体" w:cs="宋体"/>
                <w:color w:val="000000" w:themeColor="text1"/>
                <w:szCs w:val="21"/>
                <w14:textFill>
                  <w14:solidFill>
                    <w14:schemeClr w14:val="tx1"/>
                  </w14:solidFill>
                </w14:textFill>
              </w:rPr>
              <w:t>人</w:t>
            </w:r>
            <w:r>
              <w:rPr>
                <w:rFonts w:hint="eastAsia" w:ascii="宋体" w:hAnsi="宋体" w:cs="宋体"/>
                <w:color w:val="000000" w:themeColor="text1"/>
                <w:szCs w:val="21"/>
                <w14:textFill>
                  <w14:solidFill>
                    <w14:schemeClr w14:val="tx1"/>
                  </w14:solidFill>
                </w14:textFill>
              </w:rPr>
              <w:t>满足本项目质保最低要求不得分，每承诺增加一年免费质保得3分，最高6分。（提供承诺书原件加盖投标人公章，格式自拟）</w:t>
            </w:r>
          </w:p>
        </w:tc>
        <w:tc>
          <w:tcPr>
            <w:tcW w:w="708" w:type="dxa"/>
            <w:vAlign w:val="center"/>
          </w:tcPr>
          <w:p>
            <w:pPr>
              <w:jc w:val="center"/>
              <w:rPr>
                <w:rFonts w:ascii="宋体" w:hAnsi="宋体" w:cs="宋体"/>
                <w:color w:val="000000" w:themeColor="text1"/>
                <w:szCs w:val="21"/>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6</w:t>
            </w:r>
          </w:p>
        </w:tc>
      </w:tr>
    </w:tbl>
    <w:p>
      <w:pPr>
        <w:pStyle w:val="13"/>
      </w:pPr>
    </w:p>
    <w:p>
      <w:pPr>
        <w:spacing w:line="480" w:lineRule="auto"/>
        <w:jc w:val="center"/>
        <w:rPr>
          <w:rFonts w:ascii="宋体" w:hAnsi="宋体" w:cs="宋体"/>
          <w:b/>
          <w:color w:val="000000"/>
          <w:sz w:val="28"/>
          <w:szCs w:val="28"/>
        </w:rPr>
      </w:pPr>
      <w:bookmarkStart w:id="182" w:name="_Toc122338101"/>
    </w:p>
    <w:p>
      <w:pPr>
        <w:spacing w:line="360" w:lineRule="auto"/>
        <w:jc w:val="center"/>
        <w:outlineLvl w:val="0"/>
        <w:rPr>
          <w:rFonts w:ascii="宋体" w:hAnsi="宋体" w:cs="宋体"/>
          <w:b/>
          <w:color w:val="000000"/>
          <w:sz w:val="28"/>
          <w:szCs w:val="28"/>
        </w:rPr>
      </w:pPr>
      <w:r>
        <w:rPr>
          <w:rFonts w:hint="eastAsia" w:ascii="宋体" w:hAnsi="宋体" w:cs="宋体"/>
          <w:b/>
          <w:color w:val="000000"/>
          <w:sz w:val="28"/>
          <w:szCs w:val="28"/>
        </w:rPr>
        <w:t>第五章  投标（响应）文件格式</w:t>
      </w:r>
      <w:bookmarkEnd w:id="182"/>
    </w:p>
    <w:p>
      <w:pPr>
        <w:pStyle w:val="2"/>
        <w:spacing w:line="480" w:lineRule="auto"/>
        <w:rPr>
          <w:rFonts w:ascii="宋体" w:hAnsi="宋体" w:eastAsia="宋体"/>
          <w:color w:val="000000"/>
        </w:rPr>
      </w:pPr>
    </w:p>
    <w:p>
      <w:pPr>
        <w:pStyle w:val="32"/>
        <w:spacing w:line="480" w:lineRule="auto"/>
        <w:outlineLvl w:val="9"/>
        <w:rPr>
          <w:rFonts w:ascii="宋体" w:eastAsia="宋体"/>
          <w:color w:val="000000"/>
        </w:rPr>
      </w:pPr>
    </w:p>
    <w:p>
      <w:pPr>
        <w:spacing w:line="1200" w:lineRule="exact"/>
        <w:jc w:val="center"/>
        <w:rPr>
          <w:rFonts w:ascii="宋体" w:hAnsi="宋体" w:cs="宋体"/>
          <w:b/>
          <w:color w:val="000000"/>
          <w:sz w:val="72"/>
          <w:szCs w:val="72"/>
        </w:rPr>
      </w:pPr>
      <w:r>
        <w:rPr>
          <w:rFonts w:hint="eastAsia" w:ascii="宋体" w:hAnsi="宋体" w:cs="宋体"/>
          <w:b/>
          <w:color w:val="000000"/>
          <w:sz w:val="72"/>
          <w:szCs w:val="72"/>
        </w:rPr>
        <w:t>响 应 文 件</w:t>
      </w:r>
    </w:p>
    <w:p>
      <w:pPr>
        <w:spacing w:line="1200" w:lineRule="exact"/>
        <w:jc w:val="center"/>
        <w:rPr>
          <w:rFonts w:ascii="宋体" w:hAnsi="宋体" w:cs="宋体"/>
          <w:b/>
          <w:color w:val="000000"/>
          <w:sz w:val="44"/>
          <w:szCs w:val="44"/>
        </w:rPr>
      </w:pPr>
      <w:r>
        <w:rPr>
          <w:rFonts w:hint="eastAsia" w:ascii="宋体" w:hAnsi="宋体" w:cs="宋体"/>
          <w:b/>
          <w:color w:val="000000"/>
          <w:sz w:val="44"/>
          <w:szCs w:val="44"/>
        </w:rPr>
        <w:t>（竞争性磋商）</w:t>
      </w:r>
    </w:p>
    <w:p>
      <w:pPr>
        <w:pStyle w:val="32"/>
        <w:spacing w:line="480" w:lineRule="auto"/>
        <w:outlineLvl w:val="9"/>
        <w:rPr>
          <w:rFonts w:ascii="宋体" w:eastAsia="宋体"/>
          <w:color w:val="000000"/>
        </w:rPr>
      </w:pPr>
    </w:p>
    <w:p>
      <w:pPr>
        <w:spacing w:line="480" w:lineRule="auto"/>
        <w:jc w:val="center"/>
        <w:rPr>
          <w:rFonts w:ascii="宋体" w:hAnsi="宋体" w:cs="宋体"/>
          <w:color w:val="000000"/>
          <w:sz w:val="36"/>
          <w:szCs w:val="36"/>
        </w:rPr>
      </w:pPr>
      <w:r>
        <w:rPr>
          <w:rFonts w:hint="eastAsia" w:ascii="宋体" w:hAnsi="宋体" w:cs="宋体"/>
          <w:color w:val="000000"/>
          <w:sz w:val="36"/>
          <w:szCs w:val="36"/>
        </w:rPr>
        <w:t>（正本/副本）</w:t>
      </w:r>
    </w:p>
    <w:p>
      <w:pPr>
        <w:spacing w:line="480" w:lineRule="auto"/>
        <w:jc w:val="center"/>
        <w:rPr>
          <w:rFonts w:ascii="宋体" w:hAnsi="宋体" w:cs="宋体"/>
          <w:color w:val="000000"/>
          <w:sz w:val="44"/>
          <w:szCs w:val="44"/>
        </w:rPr>
      </w:pPr>
    </w:p>
    <w:p>
      <w:pPr>
        <w:pStyle w:val="34"/>
        <w:spacing w:line="480" w:lineRule="auto"/>
      </w:pPr>
    </w:p>
    <w:p>
      <w:pPr>
        <w:pStyle w:val="2"/>
        <w:spacing w:line="480" w:lineRule="auto"/>
        <w:rPr>
          <w:rFonts w:ascii="宋体" w:hAnsi="宋体" w:eastAsia="宋体"/>
          <w:color w:val="000000"/>
        </w:rPr>
      </w:pPr>
    </w:p>
    <w:p>
      <w:pPr>
        <w:spacing w:line="480" w:lineRule="auto"/>
        <w:rPr>
          <w:rFonts w:ascii="宋体" w:hAnsi="宋体"/>
          <w:color w:val="000000"/>
        </w:rPr>
      </w:pPr>
    </w:p>
    <w:p>
      <w:pPr>
        <w:spacing w:line="480" w:lineRule="auto"/>
        <w:ind w:firstLine="904" w:firstLineChars="300"/>
        <w:rPr>
          <w:rFonts w:ascii="宋体" w:hAnsi="宋体" w:cs="宋体"/>
          <w:b/>
          <w:color w:val="000000"/>
          <w:sz w:val="30"/>
          <w:szCs w:val="30"/>
        </w:rPr>
      </w:pPr>
      <w:r>
        <w:rPr>
          <w:rFonts w:hint="eastAsia" w:ascii="宋体" w:hAnsi="宋体" w:cs="宋体"/>
          <w:b/>
          <w:color w:val="000000"/>
          <w:sz w:val="30"/>
          <w:szCs w:val="30"/>
        </w:rPr>
        <w:t>项目名称：</w:t>
      </w:r>
    </w:p>
    <w:p>
      <w:pPr>
        <w:spacing w:line="480" w:lineRule="auto"/>
        <w:ind w:firstLine="904" w:firstLineChars="300"/>
        <w:rPr>
          <w:rFonts w:ascii="宋体" w:hAnsi="宋体" w:cs="宋体"/>
          <w:b/>
          <w:color w:val="000000"/>
          <w:sz w:val="30"/>
          <w:szCs w:val="30"/>
          <w:u w:val="single"/>
        </w:rPr>
      </w:pPr>
      <w:r>
        <w:rPr>
          <w:rFonts w:hint="eastAsia" w:ascii="宋体" w:hAnsi="宋体" w:cs="宋体"/>
          <w:b/>
          <w:color w:val="000000"/>
          <w:sz w:val="30"/>
          <w:szCs w:val="30"/>
        </w:rPr>
        <w:t>项目编号：</w:t>
      </w:r>
    </w:p>
    <w:p>
      <w:pPr>
        <w:spacing w:line="480" w:lineRule="auto"/>
        <w:ind w:firstLine="904" w:firstLineChars="300"/>
        <w:rPr>
          <w:rFonts w:ascii="宋体" w:hAnsi="宋体" w:cs="宋体"/>
          <w:b/>
          <w:color w:val="000000"/>
          <w:sz w:val="30"/>
          <w:szCs w:val="30"/>
        </w:rPr>
      </w:pPr>
      <w:r>
        <w:rPr>
          <w:rFonts w:hint="eastAsia" w:ascii="宋体" w:hAnsi="宋体" w:cs="宋体"/>
          <w:b/>
          <w:color w:val="000000"/>
          <w:sz w:val="30"/>
          <w:szCs w:val="30"/>
        </w:rPr>
        <w:t>供应商名称 ：</w:t>
      </w:r>
    </w:p>
    <w:p>
      <w:pPr>
        <w:spacing w:line="480" w:lineRule="auto"/>
        <w:ind w:firstLine="904" w:firstLineChars="300"/>
        <w:rPr>
          <w:rFonts w:ascii="宋体" w:hAnsi="宋体" w:cs="宋体"/>
          <w:b/>
          <w:color w:val="000000"/>
          <w:sz w:val="30"/>
          <w:szCs w:val="30"/>
        </w:rPr>
      </w:pPr>
      <w:r>
        <w:rPr>
          <w:rFonts w:hint="eastAsia" w:ascii="宋体" w:hAnsi="宋体" w:cs="宋体"/>
          <w:b/>
          <w:color w:val="000000"/>
          <w:sz w:val="30"/>
          <w:szCs w:val="30"/>
        </w:rPr>
        <w:t>日      期 ：</w:t>
      </w:r>
    </w:p>
    <w:p>
      <w:pPr>
        <w:spacing w:line="480" w:lineRule="auto"/>
        <w:jc w:val="center"/>
        <w:rPr>
          <w:rFonts w:ascii="宋体" w:hAnsi="宋体" w:cs="宋体"/>
          <w:b/>
          <w:color w:val="000000"/>
          <w:sz w:val="28"/>
          <w:szCs w:val="28"/>
        </w:rPr>
      </w:pPr>
    </w:p>
    <w:p>
      <w:pPr>
        <w:pStyle w:val="32"/>
        <w:outlineLvl w:val="9"/>
        <w:rPr>
          <w:rFonts w:ascii="宋体" w:eastAsia="宋体"/>
          <w:color w:val="000000"/>
        </w:rPr>
      </w:pPr>
    </w:p>
    <w:p>
      <w:pPr>
        <w:pStyle w:val="34"/>
      </w:pPr>
    </w:p>
    <w:p>
      <w:pPr>
        <w:pStyle w:val="2"/>
        <w:spacing w:line="240" w:lineRule="exact"/>
        <w:rPr>
          <w:rFonts w:ascii="宋体" w:hAnsi="宋体" w:cs="宋体"/>
          <w:b/>
          <w:color w:val="000000"/>
          <w:szCs w:val="28"/>
        </w:rPr>
      </w:pPr>
    </w:p>
    <w:p>
      <w:pPr>
        <w:spacing w:line="480" w:lineRule="auto"/>
        <w:jc w:val="center"/>
        <w:rPr>
          <w:rFonts w:ascii="宋体" w:hAnsi="宋体" w:cs="宋体"/>
          <w:b/>
          <w:color w:val="000000"/>
          <w:sz w:val="36"/>
          <w:szCs w:val="21"/>
        </w:rPr>
      </w:pPr>
    </w:p>
    <w:p>
      <w:pPr>
        <w:spacing w:line="480" w:lineRule="auto"/>
        <w:rPr>
          <w:rFonts w:ascii="宋体" w:hAnsi="宋体" w:cs="宋体"/>
          <w:b/>
          <w:color w:val="000000"/>
          <w:sz w:val="36"/>
          <w:szCs w:val="21"/>
        </w:rPr>
      </w:pPr>
      <w:bookmarkStart w:id="183" w:name="_Toc122338102"/>
    </w:p>
    <w:p>
      <w:pPr>
        <w:spacing w:line="480" w:lineRule="auto"/>
        <w:jc w:val="center"/>
        <w:rPr>
          <w:rFonts w:ascii="宋体" w:hAnsi="宋体" w:cs="宋体"/>
          <w:b/>
          <w:color w:val="000000"/>
          <w:sz w:val="36"/>
          <w:szCs w:val="21"/>
        </w:rPr>
      </w:pPr>
    </w:p>
    <w:p>
      <w:pPr>
        <w:spacing w:line="480" w:lineRule="auto"/>
        <w:jc w:val="center"/>
        <w:outlineLvl w:val="1"/>
        <w:rPr>
          <w:rFonts w:ascii="宋体" w:hAnsi="宋体" w:cs="宋体"/>
          <w:b/>
          <w:color w:val="000000"/>
          <w:sz w:val="36"/>
          <w:szCs w:val="21"/>
        </w:rPr>
      </w:pPr>
      <w:r>
        <w:rPr>
          <w:rFonts w:hint="eastAsia" w:ascii="宋体" w:hAnsi="宋体" w:cs="宋体"/>
          <w:b/>
          <w:color w:val="000000"/>
          <w:sz w:val="36"/>
          <w:szCs w:val="21"/>
        </w:rPr>
        <w:t>投标（响应）文件目录</w:t>
      </w:r>
      <w:bookmarkEnd w:id="183"/>
    </w:p>
    <w:p>
      <w:pPr>
        <w:pStyle w:val="2"/>
        <w:spacing w:line="240" w:lineRule="exact"/>
        <w:rPr>
          <w:rFonts w:ascii="宋体" w:hAnsi="宋体" w:cs="宋体"/>
          <w:b/>
          <w:bCs/>
          <w:color w:val="000000"/>
          <w:szCs w:val="28"/>
        </w:rPr>
      </w:pP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3"/>
        <w:gridCol w:w="1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963" w:type="dxa"/>
            <w:noWrap/>
            <w:vAlign w:val="center"/>
          </w:tcPr>
          <w:p>
            <w:pPr>
              <w:spacing w:line="480" w:lineRule="auto"/>
              <w:jc w:val="center"/>
              <w:rPr>
                <w:rFonts w:ascii="宋体" w:hAnsi="宋体" w:cs="宋体"/>
                <w:b/>
                <w:color w:val="000000"/>
                <w:sz w:val="24"/>
              </w:rPr>
            </w:pPr>
            <w:r>
              <w:rPr>
                <w:rFonts w:hint="eastAsia" w:ascii="宋体" w:hAnsi="宋体" w:cs="宋体"/>
                <w:b/>
                <w:color w:val="000000"/>
                <w:sz w:val="24"/>
              </w:rPr>
              <w:t>目录名称</w:t>
            </w:r>
          </w:p>
        </w:tc>
        <w:tc>
          <w:tcPr>
            <w:tcW w:w="1574" w:type="dxa"/>
            <w:noWrap/>
            <w:vAlign w:val="center"/>
          </w:tcPr>
          <w:p>
            <w:pPr>
              <w:spacing w:line="480" w:lineRule="auto"/>
              <w:jc w:val="center"/>
              <w:rPr>
                <w:rFonts w:ascii="宋体" w:hAnsi="宋体" w:cs="宋体"/>
                <w:b/>
                <w:color w:val="000000"/>
                <w:sz w:val="24"/>
              </w:rPr>
            </w:pPr>
            <w:r>
              <w:rPr>
                <w:rFonts w:hint="eastAsia" w:ascii="宋体" w:hAnsi="宋体" w:cs="宋体"/>
                <w:b/>
                <w:color w:val="000000"/>
                <w:sz w:val="24"/>
              </w:rPr>
              <w:t>所在页码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6963" w:type="dxa"/>
            <w:noWrap/>
            <w:vAlign w:val="center"/>
          </w:tcPr>
          <w:p>
            <w:pPr>
              <w:spacing w:line="480" w:lineRule="auto"/>
              <w:rPr>
                <w:rFonts w:ascii="宋体" w:hAnsi="宋体"/>
                <w:color w:val="000000"/>
                <w:sz w:val="24"/>
              </w:rPr>
            </w:pPr>
            <w:r>
              <w:rPr>
                <w:rFonts w:hint="eastAsia" w:ascii="宋体" w:hAnsi="宋体"/>
                <w:color w:val="000000"/>
                <w:sz w:val="24"/>
              </w:rPr>
              <w:t>一、报价一览表(报价表) （格式）</w:t>
            </w:r>
          </w:p>
        </w:tc>
        <w:tc>
          <w:tcPr>
            <w:tcW w:w="1574" w:type="dxa"/>
            <w:noWrap/>
            <w:vAlign w:val="center"/>
          </w:tcPr>
          <w:p>
            <w:pPr>
              <w:spacing w:line="480" w:lineRule="auto"/>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6963" w:type="dxa"/>
            <w:noWrap/>
            <w:vAlign w:val="center"/>
          </w:tcPr>
          <w:p>
            <w:pPr>
              <w:spacing w:line="480" w:lineRule="auto"/>
              <w:rPr>
                <w:rFonts w:ascii="宋体" w:hAnsi="宋体"/>
                <w:color w:val="000000"/>
                <w:sz w:val="24"/>
              </w:rPr>
            </w:pPr>
            <w:r>
              <w:rPr>
                <w:rFonts w:hint="eastAsia" w:ascii="宋体" w:hAnsi="宋体"/>
                <w:color w:val="000000"/>
                <w:sz w:val="24"/>
              </w:rPr>
              <w:t>二、供应商的资格证明文件</w:t>
            </w:r>
          </w:p>
        </w:tc>
        <w:tc>
          <w:tcPr>
            <w:tcW w:w="1574" w:type="dxa"/>
            <w:noWrap/>
            <w:vAlign w:val="center"/>
          </w:tcPr>
          <w:p>
            <w:pPr>
              <w:spacing w:line="480" w:lineRule="auto"/>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6963" w:type="dxa"/>
            <w:noWrap/>
            <w:vAlign w:val="center"/>
          </w:tcPr>
          <w:p>
            <w:pPr>
              <w:spacing w:line="480" w:lineRule="auto"/>
              <w:rPr>
                <w:rFonts w:ascii="宋体" w:hAnsi="宋体"/>
                <w:color w:val="000000"/>
                <w:sz w:val="24"/>
              </w:rPr>
            </w:pPr>
            <w:r>
              <w:rPr>
                <w:rFonts w:hint="eastAsia" w:ascii="宋体" w:hAnsi="宋体"/>
                <w:color w:val="000000"/>
                <w:sz w:val="24"/>
              </w:rPr>
              <w:t>三、法定代表人授权委托书（格式）</w:t>
            </w:r>
          </w:p>
        </w:tc>
        <w:tc>
          <w:tcPr>
            <w:tcW w:w="1574" w:type="dxa"/>
            <w:noWrap/>
            <w:vAlign w:val="center"/>
          </w:tcPr>
          <w:p>
            <w:pPr>
              <w:spacing w:line="480" w:lineRule="auto"/>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6963" w:type="dxa"/>
            <w:noWrap/>
            <w:vAlign w:val="center"/>
          </w:tcPr>
          <w:p>
            <w:pPr>
              <w:spacing w:line="480" w:lineRule="auto"/>
              <w:rPr>
                <w:rFonts w:ascii="宋体" w:hAnsi="宋体"/>
                <w:color w:val="000000"/>
                <w:sz w:val="24"/>
              </w:rPr>
            </w:pPr>
            <w:r>
              <w:rPr>
                <w:rFonts w:hint="eastAsia" w:ascii="宋体" w:hAnsi="宋体"/>
                <w:color w:val="000000"/>
                <w:sz w:val="24"/>
              </w:rPr>
              <w:t>四、投标（响应）书（格式）</w:t>
            </w:r>
          </w:p>
        </w:tc>
        <w:tc>
          <w:tcPr>
            <w:tcW w:w="1574" w:type="dxa"/>
            <w:noWrap/>
            <w:vAlign w:val="center"/>
          </w:tcPr>
          <w:p>
            <w:pPr>
              <w:spacing w:line="480" w:lineRule="auto"/>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6963" w:type="dxa"/>
            <w:noWrap/>
            <w:vAlign w:val="center"/>
          </w:tcPr>
          <w:p>
            <w:pPr>
              <w:spacing w:line="480" w:lineRule="auto"/>
              <w:rPr>
                <w:rFonts w:ascii="宋体" w:hAnsi="宋体"/>
                <w:color w:val="000000"/>
                <w:sz w:val="24"/>
              </w:rPr>
            </w:pPr>
            <w:r>
              <w:rPr>
                <w:rFonts w:hint="eastAsia" w:ascii="宋体" w:hAnsi="宋体"/>
                <w:color w:val="000000"/>
                <w:sz w:val="24"/>
              </w:rPr>
              <w:t>五、盐城市政府采购事前信用承诺书（格式）</w:t>
            </w:r>
          </w:p>
        </w:tc>
        <w:tc>
          <w:tcPr>
            <w:tcW w:w="1574" w:type="dxa"/>
            <w:noWrap/>
            <w:vAlign w:val="center"/>
          </w:tcPr>
          <w:p>
            <w:pPr>
              <w:spacing w:line="480" w:lineRule="auto"/>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6963" w:type="dxa"/>
            <w:noWrap/>
            <w:vAlign w:val="center"/>
          </w:tcPr>
          <w:p>
            <w:pPr>
              <w:spacing w:line="480" w:lineRule="auto"/>
              <w:rPr>
                <w:rFonts w:ascii="宋体" w:hAnsi="宋体"/>
                <w:color w:val="000000"/>
                <w:sz w:val="24"/>
              </w:rPr>
            </w:pPr>
            <w:r>
              <w:rPr>
                <w:rFonts w:hint="eastAsia" w:ascii="宋体" w:hAnsi="宋体"/>
                <w:color w:val="000000"/>
                <w:sz w:val="24"/>
              </w:rPr>
              <w:t>六、商务条款偏离表（格式）</w:t>
            </w:r>
          </w:p>
        </w:tc>
        <w:tc>
          <w:tcPr>
            <w:tcW w:w="1574" w:type="dxa"/>
            <w:noWrap/>
            <w:vAlign w:val="center"/>
          </w:tcPr>
          <w:p>
            <w:pPr>
              <w:spacing w:line="480" w:lineRule="auto"/>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6963" w:type="dxa"/>
            <w:noWrap/>
            <w:vAlign w:val="center"/>
          </w:tcPr>
          <w:p>
            <w:pPr>
              <w:spacing w:line="480" w:lineRule="auto"/>
              <w:rPr>
                <w:rFonts w:ascii="宋体" w:hAnsi="宋体"/>
                <w:color w:val="000000"/>
                <w:sz w:val="24"/>
              </w:rPr>
            </w:pPr>
            <w:r>
              <w:rPr>
                <w:rFonts w:hint="eastAsia" w:ascii="宋体" w:hAnsi="宋体"/>
                <w:color w:val="000000"/>
                <w:sz w:val="24"/>
              </w:rPr>
              <w:t>七、投标（响应）分项报价表（格式）</w:t>
            </w:r>
          </w:p>
        </w:tc>
        <w:tc>
          <w:tcPr>
            <w:tcW w:w="1574" w:type="dxa"/>
            <w:noWrap/>
            <w:vAlign w:val="center"/>
          </w:tcPr>
          <w:p>
            <w:pPr>
              <w:spacing w:line="480" w:lineRule="auto"/>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6963" w:type="dxa"/>
            <w:noWrap/>
            <w:vAlign w:val="center"/>
          </w:tcPr>
          <w:p>
            <w:pPr>
              <w:spacing w:line="480" w:lineRule="auto"/>
              <w:rPr>
                <w:rFonts w:ascii="宋体" w:hAnsi="宋体"/>
                <w:color w:val="000000"/>
                <w:sz w:val="24"/>
              </w:rPr>
            </w:pPr>
            <w:r>
              <w:rPr>
                <w:rFonts w:hint="eastAsia" w:ascii="宋体" w:hAnsi="宋体"/>
                <w:color w:val="000000"/>
                <w:sz w:val="24"/>
              </w:rPr>
              <w:t>八、技术规格（采购需求）偏离表（格式）</w:t>
            </w:r>
          </w:p>
        </w:tc>
        <w:tc>
          <w:tcPr>
            <w:tcW w:w="1574" w:type="dxa"/>
            <w:noWrap/>
            <w:vAlign w:val="center"/>
          </w:tcPr>
          <w:p>
            <w:pPr>
              <w:spacing w:line="480" w:lineRule="auto"/>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6963" w:type="dxa"/>
            <w:noWrap/>
            <w:vAlign w:val="center"/>
          </w:tcPr>
          <w:p>
            <w:pPr>
              <w:spacing w:line="480" w:lineRule="auto"/>
              <w:rPr>
                <w:rFonts w:ascii="宋体" w:hAnsi="宋体"/>
                <w:color w:val="000000"/>
                <w:sz w:val="24"/>
              </w:rPr>
            </w:pPr>
            <w:r>
              <w:rPr>
                <w:rFonts w:hint="eastAsia" w:ascii="宋体" w:hAnsi="宋体"/>
                <w:color w:val="000000"/>
                <w:sz w:val="24"/>
              </w:rPr>
              <w:t>九、投标（响应）文件的其它内容</w:t>
            </w:r>
          </w:p>
        </w:tc>
        <w:tc>
          <w:tcPr>
            <w:tcW w:w="1574" w:type="dxa"/>
            <w:noWrap/>
            <w:vAlign w:val="center"/>
          </w:tcPr>
          <w:p>
            <w:pPr>
              <w:spacing w:line="480" w:lineRule="auto"/>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6963" w:type="dxa"/>
            <w:noWrap/>
            <w:vAlign w:val="center"/>
          </w:tcPr>
          <w:p>
            <w:pPr>
              <w:spacing w:line="480" w:lineRule="auto"/>
              <w:jc w:val="center"/>
              <w:rPr>
                <w:b/>
                <w:i/>
                <w:color w:val="000000"/>
                <w:u w:val="single"/>
              </w:rPr>
            </w:pPr>
            <w:r>
              <w:rPr>
                <w:rFonts w:hint="eastAsia" w:ascii="宋体" w:hAnsi="宋体"/>
                <w:b/>
                <w:i/>
                <w:color w:val="000000"/>
                <w:u w:val="single"/>
              </w:rPr>
              <w:t>供应商可以编辑详细的目录（建议提供</w:t>
            </w:r>
            <w:r>
              <w:rPr>
                <w:rFonts w:hint="eastAsia"/>
                <w:b/>
                <w:i/>
                <w:color w:val="000000"/>
                <w:u w:val="single"/>
              </w:rPr>
              <w:t>《评分索引表》）</w:t>
            </w:r>
          </w:p>
        </w:tc>
        <w:tc>
          <w:tcPr>
            <w:tcW w:w="1574" w:type="dxa"/>
            <w:noWrap/>
            <w:vAlign w:val="center"/>
          </w:tcPr>
          <w:p>
            <w:pPr>
              <w:spacing w:line="480" w:lineRule="auto"/>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6963" w:type="dxa"/>
            <w:noWrap/>
            <w:vAlign w:val="center"/>
          </w:tcPr>
          <w:p>
            <w:pPr>
              <w:spacing w:line="480" w:lineRule="auto"/>
              <w:jc w:val="center"/>
              <w:rPr>
                <w:rFonts w:ascii="宋体" w:hAnsi="宋体" w:cs="宋体"/>
                <w:color w:val="000000"/>
                <w:sz w:val="24"/>
              </w:rPr>
            </w:pPr>
            <w:r>
              <w:rPr>
                <w:rFonts w:hint="eastAsia" w:ascii="宋体" w:hAnsi="宋体"/>
                <w:i/>
                <w:color w:val="000000"/>
                <w:szCs w:val="21"/>
                <w:u w:val="single"/>
              </w:rPr>
              <w:t>行数不够，可按本表格式自行添加</w:t>
            </w:r>
          </w:p>
        </w:tc>
        <w:tc>
          <w:tcPr>
            <w:tcW w:w="1574" w:type="dxa"/>
            <w:noWrap/>
            <w:vAlign w:val="center"/>
          </w:tcPr>
          <w:p>
            <w:pPr>
              <w:spacing w:line="480" w:lineRule="auto"/>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8537" w:type="dxa"/>
            <w:gridSpan w:val="2"/>
            <w:noWrap/>
            <w:vAlign w:val="center"/>
          </w:tcPr>
          <w:p>
            <w:pPr>
              <w:spacing w:line="480" w:lineRule="auto"/>
              <w:jc w:val="center"/>
              <w:rPr>
                <w:b/>
                <w:color w:val="000000"/>
                <w:szCs w:val="21"/>
              </w:rPr>
            </w:pPr>
            <w:r>
              <w:rPr>
                <w:rFonts w:hint="eastAsia"/>
                <w:b/>
                <w:color w:val="000000"/>
                <w:szCs w:val="21"/>
              </w:rPr>
              <w:t>特别说明</w:t>
            </w:r>
          </w:p>
          <w:p>
            <w:pPr>
              <w:spacing w:line="276" w:lineRule="auto"/>
              <w:ind w:firstLine="422" w:firstLineChars="200"/>
              <w:rPr>
                <w:rFonts w:ascii="宋体" w:hAnsi="宋体"/>
                <w:b/>
                <w:color w:val="000000"/>
                <w:szCs w:val="21"/>
              </w:rPr>
            </w:pPr>
            <w:r>
              <w:rPr>
                <w:rFonts w:hint="eastAsia" w:ascii="宋体" w:hAnsi="宋体"/>
                <w:b/>
                <w:color w:val="000000"/>
                <w:szCs w:val="21"/>
              </w:rPr>
              <w:t>1、★本目录（含页码）是专家评审的重要依据，请供应商准确（完整）填写。如供应商未能准确（完整）填写的，所引起的后果由供应商自负。</w:t>
            </w:r>
          </w:p>
          <w:p>
            <w:pPr>
              <w:spacing w:line="276" w:lineRule="auto"/>
              <w:ind w:firstLine="422" w:firstLineChars="200"/>
              <w:jc w:val="left"/>
              <w:rPr>
                <w:rFonts w:ascii="宋体" w:hAnsi="宋体"/>
                <w:color w:val="000000"/>
              </w:rPr>
            </w:pPr>
            <w:r>
              <w:rPr>
                <w:rFonts w:hint="eastAsia" w:ascii="宋体" w:hAnsi="宋体"/>
                <w:b/>
                <w:color w:val="000000"/>
                <w:szCs w:val="21"/>
              </w:rPr>
              <w:t>2、供应商可以根据自身需要编辑详细的响应文件目录（如：《评分索引表》等供应商认为重要的内容）。</w:t>
            </w:r>
            <w:r>
              <w:rPr>
                <w:rFonts w:hint="eastAsia" w:ascii="宋体" w:hAnsi="宋体"/>
                <w:color w:val="000000"/>
                <w:szCs w:val="21"/>
              </w:rPr>
              <w:t>供应商的响应文件目录应当遵循格式规范、便于查找获得的原则（以便评审人员评审）。</w:t>
            </w:r>
          </w:p>
        </w:tc>
      </w:tr>
    </w:tbl>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pStyle w:val="34"/>
        <w:ind w:firstLine="0"/>
      </w:pPr>
    </w:p>
    <w:p>
      <w:pPr>
        <w:rPr>
          <w:color w:val="000000"/>
        </w:rPr>
      </w:pPr>
    </w:p>
    <w:p>
      <w:pPr>
        <w:spacing w:line="552" w:lineRule="auto"/>
        <w:jc w:val="center"/>
        <w:rPr>
          <w:rFonts w:ascii="宋体" w:hAnsi="宋体" w:cs="宋体"/>
          <w:b/>
          <w:bCs/>
          <w:color w:val="000000"/>
          <w:sz w:val="28"/>
          <w:szCs w:val="28"/>
        </w:rPr>
      </w:pPr>
    </w:p>
    <w:p>
      <w:pPr>
        <w:spacing w:line="552" w:lineRule="auto"/>
        <w:jc w:val="center"/>
        <w:rPr>
          <w:rFonts w:ascii="宋体" w:hAnsi="宋体" w:cs="宋体"/>
          <w:b/>
          <w:bCs/>
          <w:color w:val="000000"/>
          <w:sz w:val="28"/>
          <w:szCs w:val="28"/>
        </w:rPr>
      </w:pPr>
      <w:bookmarkStart w:id="184" w:name="_Toc122338103"/>
    </w:p>
    <w:p>
      <w:pPr>
        <w:spacing w:line="552" w:lineRule="auto"/>
        <w:jc w:val="center"/>
        <w:outlineLvl w:val="1"/>
        <w:rPr>
          <w:rFonts w:ascii="宋体" w:hAnsi="宋体" w:cs="宋体"/>
          <w:b/>
          <w:bCs/>
          <w:color w:val="000000"/>
          <w:sz w:val="28"/>
          <w:szCs w:val="28"/>
        </w:rPr>
      </w:pPr>
      <w:r>
        <w:rPr>
          <w:rFonts w:hint="eastAsia" w:ascii="宋体" w:hAnsi="宋体" w:cs="宋体"/>
          <w:b/>
          <w:bCs/>
          <w:color w:val="000000"/>
          <w:sz w:val="28"/>
          <w:szCs w:val="28"/>
        </w:rPr>
        <w:t>一、报价一览表(报价表)（格式）</w:t>
      </w:r>
      <w:bookmarkEnd w:id="184"/>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32"/>
        <w:gridCol w:w="5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 w:hRule="atLeast"/>
          <w:jc w:val="center"/>
        </w:trPr>
        <w:tc>
          <w:tcPr>
            <w:tcW w:w="3132" w:type="dxa"/>
            <w:tcBorders>
              <w:top w:val="single" w:color="auto" w:sz="4" w:space="0"/>
              <w:left w:val="single" w:color="auto" w:sz="4" w:space="0"/>
              <w:bottom w:val="single" w:color="auto" w:sz="4" w:space="0"/>
              <w:right w:val="single" w:color="auto" w:sz="4" w:space="0"/>
            </w:tcBorders>
            <w:noWrap/>
            <w:vAlign w:val="center"/>
          </w:tcPr>
          <w:p>
            <w:pPr>
              <w:spacing w:line="552" w:lineRule="auto"/>
              <w:jc w:val="center"/>
              <w:rPr>
                <w:rFonts w:ascii="宋体" w:hAnsi="宋体" w:cs="宋体"/>
                <w:b/>
                <w:color w:val="000000"/>
                <w:sz w:val="24"/>
              </w:rPr>
            </w:pPr>
            <w:r>
              <w:rPr>
                <w:rFonts w:hint="eastAsia" w:ascii="宋体" w:hAnsi="宋体" w:cs="宋体"/>
                <w:b/>
                <w:color w:val="000000"/>
                <w:sz w:val="24"/>
              </w:rPr>
              <w:t>项目编号</w:t>
            </w:r>
          </w:p>
        </w:tc>
        <w:tc>
          <w:tcPr>
            <w:tcW w:w="5253" w:type="dxa"/>
            <w:tcBorders>
              <w:top w:val="single" w:color="auto" w:sz="4" w:space="0"/>
              <w:left w:val="single" w:color="auto" w:sz="4" w:space="0"/>
              <w:bottom w:val="single" w:color="auto" w:sz="4" w:space="0"/>
              <w:right w:val="single" w:color="auto" w:sz="4" w:space="0"/>
            </w:tcBorders>
            <w:noWrap/>
            <w:vAlign w:val="center"/>
          </w:tcPr>
          <w:p>
            <w:pPr>
              <w:spacing w:line="552" w:lineRule="auto"/>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 w:hRule="atLeast"/>
          <w:jc w:val="center"/>
        </w:trPr>
        <w:tc>
          <w:tcPr>
            <w:tcW w:w="3132" w:type="dxa"/>
            <w:tcBorders>
              <w:top w:val="single" w:color="auto" w:sz="4" w:space="0"/>
              <w:left w:val="single" w:color="auto" w:sz="4" w:space="0"/>
              <w:bottom w:val="single" w:color="auto" w:sz="4" w:space="0"/>
              <w:right w:val="single" w:color="auto" w:sz="4" w:space="0"/>
            </w:tcBorders>
            <w:noWrap/>
            <w:vAlign w:val="center"/>
          </w:tcPr>
          <w:p>
            <w:pPr>
              <w:spacing w:line="552" w:lineRule="auto"/>
              <w:jc w:val="center"/>
              <w:rPr>
                <w:rFonts w:ascii="宋体" w:hAnsi="宋体" w:cs="宋体"/>
                <w:b/>
                <w:color w:val="000000"/>
                <w:sz w:val="24"/>
              </w:rPr>
            </w:pPr>
            <w:r>
              <w:rPr>
                <w:rFonts w:hint="eastAsia" w:ascii="宋体" w:hAnsi="宋体" w:cs="宋体"/>
                <w:b/>
                <w:color w:val="000000"/>
                <w:sz w:val="24"/>
              </w:rPr>
              <w:t>项目名称</w:t>
            </w:r>
          </w:p>
        </w:tc>
        <w:tc>
          <w:tcPr>
            <w:tcW w:w="5253" w:type="dxa"/>
            <w:tcBorders>
              <w:top w:val="single" w:color="auto" w:sz="4" w:space="0"/>
              <w:left w:val="single" w:color="auto" w:sz="4" w:space="0"/>
              <w:bottom w:val="single" w:color="auto" w:sz="4" w:space="0"/>
              <w:right w:val="single" w:color="auto" w:sz="4" w:space="0"/>
            </w:tcBorders>
            <w:noWrap/>
            <w:vAlign w:val="center"/>
          </w:tcPr>
          <w:p>
            <w:pPr>
              <w:spacing w:line="552" w:lineRule="auto"/>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 w:hRule="atLeast"/>
          <w:jc w:val="center"/>
        </w:trPr>
        <w:tc>
          <w:tcPr>
            <w:tcW w:w="3132" w:type="dxa"/>
            <w:tcBorders>
              <w:top w:val="single" w:color="auto" w:sz="4" w:space="0"/>
              <w:left w:val="single" w:color="auto" w:sz="4" w:space="0"/>
              <w:right w:val="single" w:color="auto" w:sz="4" w:space="0"/>
            </w:tcBorders>
            <w:noWrap/>
            <w:vAlign w:val="center"/>
          </w:tcPr>
          <w:p>
            <w:pPr>
              <w:spacing w:line="552" w:lineRule="auto"/>
              <w:jc w:val="center"/>
              <w:rPr>
                <w:rFonts w:ascii="宋体" w:hAnsi="宋体" w:cs="宋体"/>
                <w:b/>
                <w:color w:val="000000"/>
                <w:sz w:val="24"/>
              </w:rPr>
            </w:pPr>
            <w:r>
              <w:rPr>
                <w:rFonts w:hint="eastAsia" w:ascii="宋体" w:hAnsi="宋体" w:cs="宋体"/>
                <w:b/>
                <w:color w:val="000000"/>
                <w:sz w:val="24"/>
              </w:rPr>
              <w:t>投标价格</w:t>
            </w:r>
          </w:p>
          <w:p>
            <w:pPr>
              <w:spacing w:line="552" w:lineRule="auto"/>
              <w:jc w:val="center"/>
              <w:rPr>
                <w:rFonts w:ascii="宋体" w:hAnsi="宋体" w:cs="宋体"/>
                <w:b/>
                <w:color w:val="000000"/>
                <w:sz w:val="24"/>
              </w:rPr>
            </w:pPr>
            <w:r>
              <w:rPr>
                <w:rFonts w:hint="eastAsia" w:ascii="宋体" w:hAnsi="宋体" w:cs="宋体"/>
                <w:b/>
                <w:color w:val="000000"/>
                <w:sz w:val="24"/>
              </w:rPr>
              <w:t>（投标总报价）</w:t>
            </w:r>
          </w:p>
        </w:tc>
        <w:tc>
          <w:tcPr>
            <w:tcW w:w="5253" w:type="dxa"/>
            <w:tcBorders>
              <w:top w:val="single" w:color="auto" w:sz="4" w:space="0"/>
              <w:left w:val="single" w:color="auto" w:sz="4" w:space="0"/>
              <w:right w:val="single" w:color="auto" w:sz="4" w:space="0"/>
            </w:tcBorders>
            <w:noWrap/>
            <w:vAlign w:val="center"/>
          </w:tcPr>
          <w:p>
            <w:pPr>
              <w:spacing w:line="552" w:lineRule="auto"/>
              <w:rPr>
                <w:rFonts w:ascii="宋体" w:hAnsi="宋体" w:cs="宋体"/>
                <w:color w:val="000000"/>
                <w:sz w:val="24"/>
                <w:u w:val="single"/>
              </w:rPr>
            </w:pPr>
            <w:r>
              <w:rPr>
                <w:rFonts w:hint="eastAsia" w:ascii="宋体" w:hAnsi="宋体" w:cs="宋体"/>
                <w:color w:val="000000"/>
                <w:sz w:val="24"/>
                <w:u w:val="single"/>
              </w:rPr>
              <w:t xml:space="preserve">大写：                     </w:t>
            </w:r>
          </w:p>
          <w:p>
            <w:pPr>
              <w:spacing w:line="552" w:lineRule="auto"/>
              <w:rPr>
                <w:rFonts w:ascii="宋体" w:hAnsi="宋体" w:cs="宋体"/>
                <w:color w:val="000000"/>
                <w:sz w:val="24"/>
                <w:u w:val="single"/>
              </w:rPr>
            </w:pPr>
            <w:r>
              <w:rPr>
                <w:rFonts w:hint="eastAsia" w:ascii="宋体" w:hAnsi="宋体" w:cs="宋体"/>
                <w:color w:val="000000"/>
                <w:sz w:val="24"/>
                <w:u w:val="single"/>
              </w:rPr>
              <w:t xml:space="preserve">小写：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 w:hRule="atLeast"/>
          <w:jc w:val="center"/>
        </w:trPr>
        <w:tc>
          <w:tcPr>
            <w:tcW w:w="3132" w:type="dxa"/>
            <w:tcBorders>
              <w:top w:val="single" w:color="auto" w:sz="4" w:space="0"/>
              <w:left w:val="single" w:color="auto" w:sz="4" w:space="0"/>
              <w:bottom w:val="single" w:color="auto" w:sz="4" w:space="0"/>
              <w:right w:val="single" w:color="auto" w:sz="4" w:space="0"/>
            </w:tcBorders>
            <w:noWrap/>
            <w:vAlign w:val="center"/>
          </w:tcPr>
          <w:p>
            <w:pPr>
              <w:spacing w:line="552" w:lineRule="auto"/>
              <w:jc w:val="center"/>
              <w:rPr>
                <w:rFonts w:ascii="宋体" w:hAnsi="宋体"/>
                <w:b/>
                <w:color w:val="000000"/>
                <w:sz w:val="24"/>
              </w:rPr>
            </w:pPr>
            <w:r>
              <w:rPr>
                <w:rFonts w:hint="eastAsia" w:ascii="宋体" w:hAnsi="宋体"/>
                <w:b/>
                <w:color w:val="000000"/>
                <w:sz w:val="24"/>
              </w:rPr>
              <w:t>质保期</w:t>
            </w:r>
          </w:p>
        </w:tc>
        <w:tc>
          <w:tcPr>
            <w:tcW w:w="5253" w:type="dxa"/>
            <w:tcBorders>
              <w:top w:val="single" w:color="auto" w:sz="4" w:space="0"/>
              <w:left w:val="single" w:color="auto" w:sz="4" w:space="0"/>
              <w:bottom w:val="single" w:color="auto" w:sz="4" w:space="0"/>
              <w:right w:val="single" w:color="auto" w:sz="4" w:space="0"/>
            </w:tcBorders>
            <w:noWrap/>
            <w:vAlign w:val="center"/>
          </w:tcPr>
          <w:p>
            <w:pPr>
              <w:spacing w:line="552" w:lineRule="auto"/>
              <w:rPr>
                <w:rFonts w:ascii="宋体" w:hAnsi="宋体"/>
                <w:color w:val="000000"/>
                <w:sz w:val="24"/>
              </w:rPr>
            </w:pPr>
            <w:r>
              <w:rPr>
                <w:rFonts w:hint="eastAsia"/>
                <w:sz w:val="24"/>
                <w:u w:val="single"/>
              </w:rPr>
              <w:t xml:space="preserve">      </w:t>
            </w:r>
            <w:r>
              <w:rPr>
                <w:rFonts w:hint="eastAsia"/>
                <w:sz w:val="24"/>
              </w:rPr>
              <w:t>年。质保期自验收合格之日起算。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 w:hRule="atLeast"/>
          <w:jc w:val="center"/>
        </w:trPr>
        <w:tc>
          <w:tcPr>
            <w:tcW w:w="3132" w:type="dxa"/>
            <w:tcBorders>
              <w:top w:val="single" w:color="auto" w:sz="4" w:space="0"/>
              <w:left w:val="single" w:color="auto" w:sz="4" w:space="0"/>
              <w:bottom w:val="single" w:color="auto" w:sz="4" w:space="0"/>
              <w:right w:val="single" w:color="auto" w:sz="4" w:space="0"/>
            </w:tcBorders>
            <w:noWrap/>
            <w:vAlign w:val="center"/>
          </w:tcPr>
          <w:p>
            <w:pPr>
              <w:spacing w:line="552" w:lineRule="auto"/>
              <w:jc w:val="center"/>
              <w:rPr>
                <w:rFonts w:ascii="宋体" w:hAnsi="宋体"/>
                <w:b/>
                <w:color w:val="000000"/>
                <w:sz w:val="24"/>
              </w:rPr>
            </w:pPr>
            <w:r>
              <w:rPr>
                <w:rFonts w:hint="eastAsia" w:ascii="宋体" w:hAnsi="宋体"/>
                <w:b/>
                <w:color w:val="000000"/>
                <w:sz w:val="24"/>
              </w:rPr>
              <w:t>供货期</w:t>
            </w:r>
          </w:p>
        </w:tc>
        <w:tc>
          <w:tcPr>
            <w:tcW w:w="5253" w:type="dxa"/>
            <w:tcBorders>
              <w:top w:val="single" w:color="auto" w:sz="4" w:space="0"/>
              <w:left w:val="single" w:color="auto" w:sz="4" w:space="0"/>
              <w:bottom w:val="single" w:color="auto" w:sz="4" w:space="0"/>
              <w:right w:val="single" w:color="auto" w:sz="4" w:space="0"/>
            </w:tcBorders>
            <w:noWrap/>
            <w:vAlign w:val="center"/>
          </w:tcPr>
          <w:p>
            <w:pPr>
              <w:spacing w:line="552" w:lineRule="auto"/>
              <w:rPr>
                <w:sz w:val="24"/>
                <w:u w:val="single"/>
              </w:rPr>
            </w:pPr>
            <w:r>
              <w:rPr>
                <w:rFonts w:hint="eastAsia"/>
              </w:rPr>
              <w:t>自合同签订之日起，45日历天供货、安装完毕。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 w:hRule="atLeast"/>
          <w:jc w:val="center"/>
        </w:trPr>
        <w:tc>
          <w:tcPr>
            <w:tcW w:w="3132" w:type="dxa"/>
            <w:tcBorders>
              <w:top w:val="single" w:color="auto" w:sz="4" w:space="0"/>
              <w:left w:val="single" w:color="auto" w:sz="4" w:space="0"/>
              <w:bottom w:val="single" w:color="auto" w:sz="4" w:space="0"/>
              <w:right w:val="single" w:color="auto" w:sz="4" w:space="0"/>
            </w:tcBorders>
            <w:noWrap/>
            <w:vAlign w:val="center"/>
          </w:tcPr>
          <w:p>
            <w:pPr>
              <w:spacing w:line="552" w:lineRule="auto"/>
              <w:jc w:val="center"/>
              <w:rPr>
                <w:b/>
                <w:color w:val="FF0000"/>
                <w:sz w:val="24"/>
                <w:highlight w:val="yellow"/>
              </w:rPr>
            </w:pPr>
            <w:r>
              <w:rPr>
                <w:rFonts w:hint="eastAsia" w:ascii="宋体" w:hAnsi="宋体"/>
                <w:b/>
                <w:color w:val="000000"/>
                <w:sz w:val="24"/>
              </w:rPr>
              <w:t>项目负责人</w:t>
            </w:r>
          </w:p>
        </w:tc>
        <w:tc>
          <w:tcPr>
            <w:tcW w:w="5253" w:type="dxa"/>
            <w:tcBorders>
              <w:top w:val="single" w:color="auto" w:sz="4" w:space="0"/>
              <w:left w:val="single" w:color="auto" w:sz="4" w:space="0"/>
              <w:bottom w:val="single" w:color="auto" w:sz="4" w:space="0"/>
              <w:right w:val="single" w:color="auto" w:sz="4" w:space="0"/>
            </w:tcBorders>
            <w:noWrap/>
            <w:vAlign w:val="center"/>
          </w:tcPr>
          <w:p>
            <w:pPr>
              <w:spacing w:line="552" w:lineRule="auto"/>
              <w:jc w:val="left"/>
              <w:rPr>
                <w:color w:val="FF0000"/>
                <w:sz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 w:hRule="atLeast"/>
          <w:jc w:val="center"/>
        </w:trPr>
        <w:tc>
          <w:tcPr>
            <w:tcW w:w="3132" w:type="dxa"/>
            <w:tcBorders>
              <w:top w:val="single" w:color="auto" w:sz="4" w:space="0"/>
              <w:left w:val="single" w:color="auto" w:sz="4" w:space="0"/>
              <w:bottom w:val="single" w:color="auto" w:sz="4" w:space="0"/>
              <w:right w:val="single" w:color="auto" w:sz="4" w:space="0"/>
            </w:tcBorders>
            <w:noWrap/>
            <w:vAlign w:val="center"/>
          </w:tcPr>
          <w:p>
            <w:pPr>
              <w:spacing w:line="552" w:lineRule="auto"/>
              <w:jc w:val="center"/>
              <w:rPr>
                <w:b/>
                <w:color w:val="000000"/>
                <w:sz w:val="24"/>
              </w:rPr>
            </w:pPr>
            <w:r>
              <w:rPr>
                <w:rFonts w:hint="eastAsia"/>
                <w:b/>
                <w:color w:val="000000"/>
                <w:sz w:val="24"/>
              </w:rPr>
              <w:t>交付或者实施的地点</w:t>
            </w:r>
          </w:p>
        </w:tc>
        <w:tc>
          <w:tcPr>
            <w:tcW w:w="5253" w:type="dxa"/>
            <w:tcBorders>
              <w:top w:val="single" w:color="auto" w:sz="4" w:space="0"/>
              <w:left w:val="single" w:color="auto" w:sz="4" w:space="0"/>
              <w:bottom w:val="single" w:color="auto" w:sz="4" w:space="0"/>
              <w:right w:val="single" w:color="auto" w:sz="4" w:space="0"/>
            </w:tcBorders>
            <w:noWrap/>
            <w:vAlign w:val="center"/>
          </w:tcPr>
          <w:p>
            <w:pPr>
              <w:spacing w:line="552" w:lineRule="auto"/>
              <w:jc w:val="left"/>
              <w:rPr>
                <w:color w:val="000000"/>
                <w:sz w:val="24"/>
              </w:rPr>
            </w:pPr>
            <w:r>
              <w:rPr>
                <w:rFonts w:hint="eastAsia"/>
                <w:color w:val="000000"/>
                <w:sz w:val="24"/>
              </w:rPr>
              <w:t>江苏盐城（具体地点以采购人另行通知的为准）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 w:hRule="atLeast"/>
          <w:jc w:val="center"/>
        </w:trPr>
        <w:tc>
          <w:tcPr>
            <w:tcW w:w="3132" w:type="dxa"/>
            <w:tcBorders>
              <w:top w:val="single" w:color="auto" w:sz="4" w:space="0"/>
              <w:left w:val="single" w:color="auto" w:sz="4" w:space="0"/>
              <w:bottom w:val="single" w:color="auto" w:sz="4" w:space="0"/>
              <w:right w:val="single" w:color="auto" w:sz="4" w:space="0"/>
            </w:tcBorders>
            <w:noWrap/>
            <w:vAlign w:val="center"/>
          </w:tcPr>
          <w:p>
            <w:pPr>
              <w:widowControl/>
              <w:spacing w:line="552" w:lineRule="auto"/>
              <w:jc w:val="center"/>
              <w:rPr>
                <w:rFonts w:ascii="宋体" w:hAnsi="宋体" w:cs="宋体"/>
                <w:b/>
                <w:color w:val="000000"/>
                <w:kern w:val="0"/>
                <w:sz w:val="24"/>
              </w:rPr>
            </w:pPr>
            <w:r>
              <w:rPr>
                <w:rFonts w:hint="eastAsia" w:ascii="宋体" w:hAnsi="宋体" w:cs="宋体"/>
                <w:b/>
                <w:color w:val="000000"/>
                <w:kern w:val="0"/>
                <w:sz w:val="24"/>
              </w:rPr>
              <w:t>投标有效期</w:t>
            </w:r>
          </w:p>
        </w:tc>
        <w:tc>
          <w:tcPr>
            <w:tcW w:w="5253" w:type="dxa"/>
            <w:tcBorders>
              <w:top w:val="single" w:color="auto" w:sz="4" w:space="0"/>
              <w:left w:val="single" w:color="auto" w:sz="4" w:space="0"/>
              <w:bottom w:val="single" w:color="auto" w:sz="4" w:space="0"/>
              <w:right w:val="single" w:color="auto" w:sz="4" w:space="0"/>
            </w:tcBorders>
            <w:noWrap/>
            <w:vAlign w:val="center"/>
          </w:tcPr>
          <w:p>
            <w:pPr>
              <w:widowControl/>
              <w:spacing w:line="552" w:lineRule="auto"/>
              <w:jc w:val="left"/>
              <w:rPr>
                <w:rFonts w:ascii="宋体" w:hAnsi="宋体"/>
                <w:color w:val="000000"/>
                <w:sz w:val="24"/>
              </w:rPr>
            </w:pPr>
            <w:r>
              <w:rPr>
                <w:rFonts w:hint="eastAsia" w:hAnsi="宋体"/>
                <w:color w:val="000000"/>
                <w:sz w:val="24"/>
              </w:rPr>
              <w:t>提交响应文件截止之日起</w:t>
            </w:r>
            <w:r>
              <w:rPr>
                <w:rFonts w:hint="eastAsia" w:ascii="宋体" w:hAnsi="宋体"/>
                <w:color w:val="000000"/>
                <w:sz w:val="24"/>
                <w:u w:val="single"/>
              </w:rPr>
              <w:t>60个日历日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 w:hRule="atLeast"/>
          <w:jc w:val="center"/>
        </w:trPr>
        <w:tc>
          <w:tcPr>
            <w:tcW w:w="8385" w:type="dxa"/>
            <w:gridSpan w:val="2"/>
            <w:tcBorders>
              <w:top w:val="single" w:color="auto" w:sz="4" w:space="0"/>
              <w:left w:val="single" w:color="auto" w:sz="4" w:space="0"/>
              <w:bottom w:val="single" w:color="auto" w:sz="4" w:space="0"/>
              <w:right w:val="single" w:color="auto" w:sz="4" w:space="0"/>
            </w:tcBorders>
            <w:noWrap/>
            <w:vAlign w:val="center"/>
          </w:tcPr>
          <w:p>
            <w:pPr>
              <w:pStyle w:val="13"/>
              <w:tabs>
                <w:tab w:val="left" w:pos="5580"/>
              </w:tabs>
              <w:spacing w:line="552" w:lineRule="auto"/>
              <w:ind w:firstLine="562"/>
              <w:jc w:val="left"/>
              <w:rPr>
                <w:rFonts w:hAnsi="宋体" w:cs="宋体"/>
                <w:b/>
                <w:color w:val="000000"/>
                <w:sz w:val="24"/>
                <w:szCs w:val="24"/>
              </w:rPr>
            </w:pPr>
            <w:r>
              <w:rPr>
                <w:rFonts w:hint="eastAsia" w:hAnsi="宋体" w:cs="宋体"/>
                <w:b/>
                <w:color w:val="000000"/>
                <w:sz w:val="24"/>
                <w:szCs w:val="24"/>
              </w:rPr>
              <w:t>投标人名称（单位公章）：</w:t>
            </w:r>
          </w:p>
          <w:p>
            <w:pPr>
              <w:pStyle w:val="13"/>
              <w:tabs>
                <w:tab w:val="left" w:pos="5580"/>
              </w:tabs>
              <w:spacing w:line="552" w:lineRule="auto"/>
              <w:ind w:firstLine="562"/>
              <w:jc w:val="left"/>
              <w:rPr>
                <w:rFonts w:hAnsi="宋体" w:cs="宋体"/>
                <w:b/>
                <w:color w:val="000000"/>
                <w:sz w:val="24"/>
                <w:szCs w:val="24"/>
                <w:u w:val="single"/>
              </w:rPr>
            </w:pPr>
            <w:r>
              <w:rPr>
                <w:rFonts w:hint="eastAsia" w:hAnsi="宋体" w:cs="宋体"/>
                <w:b/>
                <w:color w:val="000000"/>
                <w:sz w:val="24"/>
                <w:szCs w:val="24"/>
              </w:rPr>
              <w:t>法定代表人或其委托代理人(签字):</w:t>
            </w:r>
            <w:r>
              <w:rPr>
                <w:rFonts w:hint="eastAsia" w:hAnsi="宋体" w:cs="宋体"/>
                <w:b/>
                <w:color w:val="000000"/>
                <w:sz w:val="24"/>
                <w:szCs w:val="24"/>
                <w:u w:val="single"/>
              </w:rPr>
              <w:tab/>
            </w:r>
          </w:p>
          <w:p>
            <w:pPr>
              <w:spacing w:line="552" w:lineRule="auto"/>
              <w:ind w:firstLine="482" w:firstLineChars="200"/>
              <w:jc w:val="left"/>
              <w:rPr>
                <w:rFonts w:ascii="宋体" w:hAnsi="宋体" w:cs="宋体"/>
                <w:color w:val="000000"/>
                <w:sz w:val="24"/>
              </w:rPr>
            </w:pPr>
            <w:r>
              <w:rPr>
                <w:rFonts w:hint="eastAsia" w:ascii="宋体" w:hAnsi="宋体" w:cs="宋体"/>
                <w:b/>
                <w:color w:val="000000"/>
                <w:sz w:val="24"/>
              </w:rPr>
              <w:t>日    期：</w:t>
            </w:r>
            <w:r>
              <w:rPr>
                <w:rFonts w:hint="eastAsia" w:ascii="宋体" w:hAnsi="宋体" w:cs="宋体"/>
                <w:b/>
                <w:color w:val="000000"/>
                <w:sz w:val="24"/>
                <w:u w:val="singl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 w:hRule="atLeast"/>
          <w:jc w:val="center"/>
        </w:trPr>
        <w:tc>
          <w:tcPr>
            <w:tcW w:w="8385" w:type="dxa"/>
            <w:gridSpan w:val="2"/>
            <w:tcBorders>
              <w:top w:val="single" w:color="auto" w:sz="4" w:space="0"/>
              <w:left w:val="single" w:color="auto" w:sz="4" w:space="0"/>
              <w:bottom w:val="single" w:color="auto" w:sz="4" w:space="0"/>
              <w:right w:val="single" w:color="auto" w:sz="4" w:space="0"/>
            </w:tcBorders>
            <w:noWrap/>
            <w:vAlign w:val="center"/>
          </w:tcPr>
          <w:p>
            <w:pPr>
              <w:spacing w:line="276" w:lineRule="auto"/>
              <w:ind w:firstLine="482" w:firstLineChars="200"/>
              <w:rPr>
                <w:rFonts w:ascii="宋体" w:hAnsi="宋体"/>
                <w:b/>
                <w:color w:val="000000"/>
                <w:sz w:val="24"/>
              </w:rPr>
            </w:pPr>
            <w:r>
              <w:rPr>
                <w:rFonts w:hint="eastAsia" w:ascii="宋体" w:hAnsi="宋体"/>
                <w:b/>
                <w:color w:val="000000"/>
                <w:sz w:val="24"/>
              </w:rPr>
              <w:t>注：如果报价一览表（报价表）内容与投标（响应）分项报价表内容不一致的，以报价一览表（报价表）内容为准。</w:t>
            </w:r>
          </w:p>
        </w:tc>
      </w:tr>
    </w:tbl>
    <w:p>
      <w:pPr>
        <w:rPr>
          <w:rFonts w:ascii="宋体" w:hAnsi="宋体"/>
          <w:color w:val="000000"/>
        </w:rPr>
      </w:pPr>
    </w:p>
    <w:p>
      <w:pPr>
        <w:pStyle w:val="2"/>
        <w:rPr>
          <w:color w:val="000000"/>
        </w:rPr>
      </w:pPr>
    </w:p>
    <w:p>
      <w:pPr>
        <w:pStyle w:val="32"/>
        <w:outlineLvl w:val="9"/>
        <w:rPr>
          <w:color w:val="000000"/>
        </w:rPr>
      </w:pPr>
    </w:p>
    <w:p>
      <w:pPr>
        <w:pStyle w:val="34"/>
      </w:pPr>
    </w:p>
    <w:p>
      <w:pPr>
        <w:rPr>
          <w:color w:val="000000"/>
        </w:rPr>
      </w:pPr>
    </w:p>
    <w:p>
      <w:pPr>
        <w:pStyle w:val="2"/>
        <w:rPr>
          <w:color w:val="000000"/>
        </w:rPr>
      </w:pPr>
    </w:p>
    <w:p>
      <w:pPr>
        <w:rPr>
          <w:rFonts w:ascii="宋体" w:hAnsi="宋体"/>
          <w:b/>
          <w:color w:val="000000"/>
          <w:sz w:val="28"/>
          <w:szCs w:val="28"/>
        </w:rPr>
      </w:pPr>
    </w:p>
    <w:p>
      <w:pPr>
        <w:spacing w:line="480" w:lineRule="auto"/>
        <w:jc w:val="center"/>
        <w:rPr>
          <w:rFonts w:ascii="宋体" w:hAnsi="宋体" w:cs="宋体"/>
          <w:b/>
          <w:color w:val="000000"/>
          <w:sz w:val="32"/>
          <w:szCs w:val="21"/>
        </w:rPr>
      </w:pPr>
      <w:bookmarkStart w:id="185" w:name="_Toc122338104"/>
    </w:p>
    <w:p>
      <w:pPr>
        <w:jc w:val="center"/>
        <w:outlineLvl w:val="1"/>
        <w:rPr>
          <w:rFonts w:ascii="宋体" w:hAnsi="宋体"/>
          <w:b/>
          <w:color w:val="000000"/>
          <w:sz w:val="28"/>
          <w:szCs w:val="28"/>
        </w:rPr>
      </w:pPr>
      <w:r>
        <w:rPr>
          <w:rFonts w:hint="eastAsia" w:ascii="宋体" w:hAnsi="宋体"/>
          <w:b/>
          <w:color w:val="000000"/>
          <w:sz w:val="28"/>
          <w:szCs w:val="28"/>
        </w:rPr>
        <w:t>二、供应商的资格证明文件</w:t>
      </w:r>
      <w:bookmarkEnd w:id="185"/>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2"/>
        <w:gridCol w:w="6967"/>
        <w:gridCol w:w="950"/>
        <w:gridCol w:w="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spacing w:line="380" w:lineRule="exact"/>
              <w:jc w:val="center"/>
              <w:rPr>
                <w:rFonts w:ascii="宋体" w:hAnsi="宋体"/>
                <w:b/>
                <w:color w:val="000000"/>
                <w:sz w:val="18"/>
                <w:szCs w:val="18"/>
              </w:rPr>
            </w:pPr>
            <w:r>
              <w:rPr>
                <w:rFonts w:hint="eastAsia" w:ascii="宋体" w:hAnsi="宋体"/>
                <w:b/>
                <w:color w:val="000000"/>
                <w:sz w:val="18"/>
                <w:szCs w:val="18"/>
              </w:rPr>
              <w:t>序号</w:t>
            </w:r>
          </w:p>
        </w:tc>
        <w:tc>
          <w:tcPr>
            <w:tcW w:w="6967" w:type="dxa"/>
            <w:tcBorders>
              <w:top w:val="single" w:color="auto" w:sz="4" w:space="0"/>
              <w:left w:val="single" w:color="auto" w:sz="4" w:space="0"/>
              <w:bottom w:val="single" w:color="auto" w:sz="4" w:space="0"/>
              <w:right w:val="single" w:color="auto" w:sz="4" w:space="0"/>
            </w:tcBorders>
            <w:noWrap/>
            <w:vAlign w:val="center"/>
          </w:tcPr>
          <w:p>
            <w:pPr>
              <w:spacing w:line="380" w:lineRule="exact"/>
              <w:jc w:val="center"/>
              <w:rPr>
                <w:rFonts w:ascii="宋体" w:hAnsi="宋体"/>
                <w:b/>
                <w:color w:val="000000"/>
                <w:sz w:val="18"/>
                <w:szCs w:val="18"/>
              </w:rPr>
            </w:pPr>
            <w:r>
              <w:rPr>
                <w:rFonts w:hint="eastAsia" w:ascii="宋体" w:hAnsi="宋体"/>
                <w:b/>
                <w:color w:val="000000"/>
                <w:sz w:val="18"/>
                <w:szCs w:val="18"/>
              </w:rPr>
              <w:t>资格证明文件</w:t>
            </w:r>
          </w:p>
        </w:tc>
        <w:tc>
          <w:tcPr>
            <w:tcW w:w="95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color w:val="000000"/>
                <w:sz w:val="18"/>
                <w:szCs w:val="18"/>
              </w:rPr>
            </w:pPr>
            <w:r>
              <w:rPr>
                <w:rFonts w:hint="eastAsia" w:ascii="宋体" w:hAnsi="宋体"/>
                <w:b/>
                <w:color w:val="000000"/>
                <w:sz w:val="18"/>
                <w:szCs w:val="18"/>
              </w:rPr>
              <w:t>所在</w:t>
            </w:r>
          </w:p>
          <w:p>
            <w:pPr>
              <w:jc w:val="center"/>
              <w:rPr>
                <w:rFonts w:ascii="宋体" w:hAnsi="宋体"/>
                <w:b/>
                <w:color w:val="000000"/>
                <w:sz w:val="18"/>
                <w:szCs w:val="18"/>
              </w:rPr>
            </w:pPr>
            <w:r>
              <w:rPr>
                <w:rFonts w:hint="eastAsia" w:ascii="宋体" w:hAnsi="宋体"/>
                <w:b/>
                <w:color w:val="000000"/>
                <w:sz w:val="18"/>
                <w:szCs w:val="18"/>
              </w:rPr>
              <w:t>页码</w:t>
            </w:r>
          </w:p>
        </w:tc>
        <w:tc>
          <w:tcPr>
            <w:tcW w:w="781" w:type="dxa"/>
            <w:tcBorders>
              <w:top w:val="single" w:color="auto" w:sz="4" w:space="0"/>
              <w:left w:val="single" w:color="auto" w:sz="4" w:space="0"/>
              <w:bottom w:val="single" w:color="auto" w:sz="4" w:space="0"/>
              <w:right w:val="single" w:color="auto" w:sz="4" w:space="0"/>
            </w:tcBorders>
            <w:noWrap/>
            <w:vAlign w:val="center"/>
          </w:tcPr>
          <w:p>
            <w:pPr>
              <w:spacing w:line="380" w:lineRule="exact"/>
              <w:jc w:val="center"/>
              <w:rPr>
                <w:rFonts w:ascii="宋体" w:hAnsi="宋体"/>
                <w:b/>
                <w:color w:val="000000"/>
                <w:sz w:val="18"/>
                <w:szCs w:val="18"/>
              </w:rPr>
            </w:pPr>
            <w:r>
              <w:rPr>
                <w:rFonts w:hint="eastAsia" w:ascii="宋体" w:hAnsi="宋体"/>
                <w:b/>
                <w:color w:val="00000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jc w:val="center"/>
        </w:trPr>
        <w:tc>
          <w:tcPr>
            <w:tcW w:w="762" w:type="dxa"/>
            <w:vMerge w:val="restart"/>
            <w:tcBorders>
              <w:top w:val="single" w:color="auto" w:sz="4" w:space="0"/>
              <w:left w:val="single" w:color="auto" w:sz="4" w:space="0"/>
              <w:right w:val="single" w:color="auto" w:sz="4" w:space="0"/>
            </w:tcBorders>
            <w:noWrap/>
            <w:vAlign w:val="center"/>
          </w:tcPr>
          <w:p>
            <w:pPr>
              <w:spacing w:line="380" w:lineRule="exact"/>
              <w:jc w:val="center"/>
              <w:rPr>
                <w:rFonts w:ascii="宋体" w:hAnsi="宋体"/>
                <w:color w:val="000000"/>
                <w:sz w:val="18"/>
                <w:szCs w:val="18"/>
              </w:rPr>
            </w:pPr>
            <w:r>
              <w:rPr>
                <w:rFonts w:hint="eastAsia" w:ascii="宋体" w:hAnsi="宋体"/>
                <w:b/>
                <w:color w:val="000000"/>
                <w:sz w:val="18"/>
                <w:szCs w:val="18"/>
              </w:rPr>
              <w:t>1</w:t>
            </w:r>
          </w:p>
        </w:tc>
        <w:tc>
          <w:tcPr>
            <w:tcW w:w="6967" w:type="dxa"/>
            <w:tcBorders>
              <w:top w:val="single" w:color="auto" w:sz="4" w:space="0"/>
              <w:left w:val="single" w:color="auto" w:sz="4" w:space="0"/>
              <w:bottom w:val="single" w:color="auto" w:sz="4" w:space="0"/>
              <w:right w:val="single" w:color="auto" w:sz="4" w:space="0"/>
            </w:tcBorders>
            <w:noWrap/>
            <w:vAlign w:val="center"/>
          </w:tcPr>
          <w:p>
            <w:pPr>
              <w:spacing w:line="380" w:lineRule="exact"/>
              <w:rPr>
                <w:rFonts w:ascii="宋体" w:hAnsi="宋体"/>
                <w:b/>
                <w:color w:val="000000"/>
                <w:sz w:val="18"/>
                <w:szCs w:val="18"/>
              </w:rPr>
            </w:pPr>
            <w:r>
              <w:rPr>
                <w:rFonts w:hint="eastAsia" w:ascii="宋体" w:hAnsi="宋体"/>
                <w:b/>
                <w:color w:val="000000"/>
                <w:sz w:val="18"/>
                <w:szCs w:val="18"/>
              </w:rPr>
              <w:t>满足《中华人民共和国政府采购法》第二十二条规定</w:t>
            </w:r>
          </w:p>
        </w:tc>
        <w:tc>
          <w:tcPr>
            <w:tcW w:w="950" w:type="dxa"/>
            <w:tcBorders>
              <w:top w:val="single" w:color="auto" w:sz="4" w:space="0"/>
              <w:left w:val="single" w:color="auto" w:sz="4" w:space="0"/>
              <w:bottom w:val="single" w:color="auto" w:sz="4" w:space="0"/>
              <w:right w:val="single" w:color="auto" w:sz="4" w:space="0"/>
            </w:tcBorders>
            <w:noWrap/>
            <w:vAlign w:val="center"/>
          </w:tcPr>
          <w:p>
            <w:pPr>
              <w:spacing w:line="380" w:lineRule="exact"/>
              <w:rPr>
                <w:rFonts w:ascii="宋体" w:hAnsi="宋体"/>
                <w:color w:val="000000"/>
                <w:sz w:val="18"/>
                <w:szCs w:val="18"/>
              </w:rPr>
            </w:pPr>
          </w:p>
        </w:tc>
        <w:tc>
          <w:tcPr>
            <w:tcW w:w="781" w:type="dxa"/>
            <w:tcBorders>
              <w:top w:val="single" w:color="auto" w:sz="4" w:space="0"/>
              <w:left w:val="single" w:color="auto" w:sz="4" w:space="0"/>
              <w:bottom w:val="single" w:color="auto" w:sz="4" w:space="0"/>
              <w:right w:val="single" w:color="auto" w:sz="4" w:space="0"/>
            </w:tcBorders>
            <w:noWrap/>
            <w:vAlign w:val="center"/>
          </w:tcPr>
          <w:p>
            <w:pPr>
              <w:spacing w:line="380" w:lineRule="exac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jc w:val="center"/>
        </w:trPr>
        <w:tc>
          <w:tcPr>
            <w:tcW w:w="762" w:type="dxa"/>
            <w:vMerge w:val="continue"/>
            <w:tcBorders>
              <w:left w:val="single" w:color="auto" w:sz="4" w:space="0"/>
              <w:right w:val="single" w:color="auto" w:sz="4" w:space="0"/>
            </w:tcBorders>
            <w:noWrap/>
            <w:vAlign w:val="center"/>
          </w:tcPr>
          <w:p>
            <w:pPr>
              <w:spacing w:line="380" w:lineRule="exact"/>
              <w:jc w:val="center"/>
              <w:rPr>
                <w:rFonts w:ascii="宋体" w:hAnsi="宋体"/>
                <w:color w:val="000000"/>
                <w:sz w:val="18"/>
                <w:szCs w:val="18"/>
              </w:rPr>
            </w:pPr>
          </w:p>
        </w:tc>
        <w:tc>
          <w:tcPr>
            <w:tcW w:w="6967" w:type="dxa"/>
            <w:tcBorders>
              <w:top w:val="single" w:color="auto" w:sz="4" w:space="0"/>
              <w:left w:val="single" w:color="auto" w:sz="4" w:space="0"/>
              <w:bottom w:val="single" w:color="auto" w:sz="4" w:space="0"/>
              <w:right w:val="single" w:color="auto" w:sz="4" w:space="0"/>
            </w:tcBorders>
            <w:noWrap/>
            <w:vAlign w:val="center"/>
          </w:tcPr>
          <w:p>
            <w:pPr>
              <w:spacing w:line="360" w:lineRule="auto"/>
              <w:ind w:firstLine="360" w:firstLineChars="200"/>
              <w:rPr>
                <w:rFonts w:ascii="宋体" w:hAnsi="宋体"/>
                <w:color w:val="000000"/>
                <w:sz w:val="18"/>
                <w:szCs w:val="18"/>
              </w:rPr>
            </w:pPr>
            <w:r>
              <w:rPr>
                <w:rFonts w:hint="eastAsia" w:ascii="宋体" w:hAnsi="宋体"/>
                <w:color w:val="000000"/>
                <w:sz w:val="18"/>
                <w:szCs w:val="18"/>
              </w:rPr>
              <w:t>（1.1）具有独立承担民事责任的能力</w:t>
            </w:r>
          </w:p>
          <w:p>
            <w:pPr>
              <w:spacing w:line="360" w:lineRule="auto"/>
              <w:ind w:firstLine="360" w:firstLineChars="200"/>
              <w:rPr>
                <w:rFonts w:ascii="宋体" w:hAnsi="宋体"/>
                <w:color w:val="000000"/>
                <w:sz w:val="18"/>
                <w:szCs w:val="18"/>
              </w:rPr>
            </w:pPr>
            <w:r>
              <w:rPr>
                <w:rFonts w:hint="eastAsia" w:ascii="宋体" w:hAnsi="宋体"/>
                <w:color w:val="000000"/>
                <w:sz w:val="18"/>
                <w:szCs w:val="18"/>
              </w:rPr>
              <w:t>（提供法人或者其他组织的营业执照，提供复印件加盖公章）</w:t>
            </w:r>
          </w:p>
        </w:tc>
        <w:tc>
          <w:tcPr>
            <w:tcW w:w="950" w:type="dxa"/>
            <w:tcBorders>
              <w:top w:val="single" w:color="auto" w:sz="4" w:space="0"/>
              <w:left w:val="single" w:color="auto" w:sz="4" w:space="0"/>
              <w:bottom w:val="single" w:color="auto" w:sz="4" w:space="0"/>
              <w:right w:val="single" w:color="auto" w:sz="4" w:space="0"/>
            </w:tcBorders>
            <w:noWrap/>
            <w:vAlign w:val="center"/>
          </w:tcPr>
          <w:p>
            <w:pPr>
              <w:spacing w:line="380" w:lineRule="exact"/>
              <w:rPr>
                <w:rFonts w:ascii="宋体" w:hAnsi="宋体"/>
                <w:color w:val="000000"/>
                <w:sz w:val="18"/>
                <w:szCs w:val="18"/>
              </w:rPr>
            </w:pPr>
          </w:p>
        </w:tc>
        <w:tc>
          <w:tcPr>
            <w:tcW w:w="781" w:type="dxa"/>
            <w:tcBorders>
              <w:top w:val="single" w:color="auto" w:sz="4" w:space="0"/>
              <w:left w:val="single" w:color="auto" w:sz="4" w:space="0"/>
              <w:bottom w:val="single" w:color="auto" w:sz="4" w:space="0"/>
              <w:right w:val="single" w:color="auto" w:sz="4" w:space="0"/>
            </w:tcBorders>
            <w:noWrap/>
            <w:vAlign w:val="center"/>
          </w:tcPr>
          <w:p>
            <w:pPr>
              <w:spacing w:line="380" w:lineRule="exac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762" w:type="dxa"/>
            <w:vMerge w:val="continue"/>
            <w:tcBorders>
              <w:left w:val="single" w:color="auto" w:sz="4" w:space="0"/>
              <w:right w:val="single" w:color="auto" w:sz="4" w:space="0"/>
            </w:tcBorders>
            <w:noWrap/>
            <w:vAlign w:val="center"/>
          </w:tcPr>
          <w:p>
            <w:pPr>
              <w:spacing w:line="380" w:lineRule="exact"/>
              <w:jc w:val="center"/>
              <w:rPr>
                <w:rFonts w:ascii="宋体" w:hAnsi="宋体"/>
                <w:color w:val="000000"/>
                <w:sz w:val="18"/>
                <w:szCs w:val="18"/>
              </w:rPr>
            </w:pPr>
          </w:p>
        </w:tc>
        <w:tc>
          <w:tcPr>
            <w:tcW w:w="6967" w:type="dxa"/>
            <w:tcBorders>
              <w:top w:val="single" w:color="auto" w:sz="4" w:space="0"/>
              <w:left w:val="single" w:color="auto" w:sz="4" w:space="0"/>
              <w:bottom w:val="single" w:color="auto" w:sz="4" w:space="0"/>
              <w:right w:val="single" w:color="auto" w:sz="4" w:space="0"/>
            </w:tcBorders>
            <w:noWrap/>
            <w:vAlign w:val="center"/>
          </w:tcPr>
          <w:p>
            <w:pPr>
              <w:spacing w:line="380" w:lineRule="exact"/>
              <w:ind w:firstLine="360" w:firstLineChars="200"/>
              <w:rPr>
                <w:rFonts w:ascii="宋体" w:hAnsi="宋体"/>
                <w:b/>
                <w:color w:val="000000"/>
                <w:sz w:val="18"/>
                <w:szCs w:val="18"/>
              </w:rPr>
            </w:pPr>
            <w:r>
              <w:rPr>
                <w:rFonts w:hint="eastAsia" w:ascii="宋体" w:hAnsi="宋体"/>
                <w:color w:val="000000"/>
                <w:sz w:val="18"/>
                <w:szCs w:val="18"/>
              </w:rPr>
              <w:t>（1.2）</w:t>
            </w:r>
            <w:r>
              <w:rPr>
                <w:rFonts w:hint="eastAsia" w:ascii="宋体" w:hAnsi="宋体"/>
                <w:b/>
                <w:color w:val="000000"/>
                <w:sz w:val="18"/>
                <w:szCs w:val="18"/>
              </w:rPr>
              <w:t>具有良好的商业信誉和健全的财务会计制度</w:t>
            </w:r>
          </w:p>
          <w:p>
            <w:pPr>
              <w:spacing w:line="380" w:lineRule="exact"/>
              <w:ind w:firstLine="360" w:firstLineChars="200"/>
              <w:rPr>
                <w:rFonts w:ascii="宋体" w:hAnsi="宋体"/>
                <w:color w:val="000000"/>
                <w:sz w:val="18"/>
                <w:szCs w:val="18"/>
              </w:rPr>
            </w:pPr>
            <w:r>
              <w:rPr>
                <w:rFonts w:hint="eastAsia" w:ascii="宋体" w:hAnsi="宋体"/>
                <w:color w:val="000000"/>
                <w:sz w:val="18"/>
                <w:szCs w:val="18"/>
              </w:rPr>
              <w:t>提供财务状况报告证明材料（例：审计报告、银行对账单、银行资信证明等）</w:t>
            </w:r>
          </w:p>
          <w:p>
            <w:pPr>
              <w:spacing w:line="380" w:lineRule="exact"/>
              <w:ind w:firstLine="360" w:firstLineChars="200"/>
              <w:rPr>
                <w:rFonts w:ascii="宋体" w:hAnsi="宋体"/>
                <w:b/>
                <w:color w:val="000000"/>
                <w:sz w:val="18"/>
                <w:szCs w:val="18"/>
              </w:rPr>
            </w:pPr>
            <w:r>
              <w:rPr>
                <w:rFonts w:hint="eastAsia" w:ascii="宋体" w:hAnsi="宋体"/>
                <w:color w:val="000000"/>
                <w:sz w:val="18"/>
                <w:szCs w:val="18"/>
              </w:rPr>
              <w:t>说明：</w:t>
            </w:r>
          </w:p>
          <w:p>
            <w:pPr>
              <w:spacing w:line="380" w:lineRule="exact"/>
              <w:ind w:firstLine="360" w:firstLineChars="200"/>
              <w:rPr>
                <w:rFonts w:ascii="宋体" w:hAnsi="宋体"/>
                <w:b/>
                <w:color w:val="000000"/>
                <w:sz w:val="18"/>
                <w:szCs w:val="18"/>
              </w:rPr>
            </w:pPr>
            <w:r>
              <w:rPr>
                <w:rFonts w:hint="eastAsia" w:ascii="宋体" w:hAnsi="宋体"/>
                <w:color w:val="000000"/>
                <w:sz w:val="18"/>
                <w:szCs w:val="18"/>
              </w:rPr>
              <w:t>1.如是审计报告，须为本单位上年度（如投标截止时间为</w:t>
            </w:r>
            <w:r>
              <w:rPr>
                <w:rFonts w:ascii="宋体" w:hAnsi="宋体"/>
                <w:color w:val="000000"/>
                <w:sz w:val="18"/>
                <w:szCs w:val="18"/>
              </w:rPr>
              <w:t>1</w:t>
            </w:r>
            <w:r>
              <w:rPr>
                <w:rFonts w:hint="eastAsia" w:ascii="宋体" w:hAnsi="宋体"/>
                <w:color w:val="000000"/>
                <w:sz w:val="18"/>
                <w:szCs w:val="18"/>
              </w:rPr>
              <w:t>季度，可以提供前一年度）经会计师事务所出具的审计报告（须有会计师事务所的盖章）；</w:t>
            </w:r>
          </w:p>
          <w:p>
            <w:pPr>
              <w:spacing w:line="380" w:lineRule="exact"/>
              <w:ind w:firstLine="360" w:firstLineChars="200"/>
              <w:rPr>
                <w:rFonts w:ascii="宋体" w:hAnsi="宋体"/>
                <w:b/>
                <w:color w:val="000000"/>
                <w:sz w:val="18"/>
                <w:szCs w:val="18"/>
              </w:rPr>
            </w:pPr>
            <w:r>
              <w:rPr>
                <w:rFonts w:hint="eastAsia" w:ascii="宋体" w:hAnsi="宋体"/>
                <w:color w:val="000000"/>
                <w:sz w:val="18"/>
                <w:szCs w:val="18"/>
              </w:rPr>
              <w:t>2.如是银行对账单，须为近3个月来任意1个月的银行对账单（须银行盖章）；</w:t>
            </w:r>
          </w:p>
          <w:p>
            <w:pPr>
              <w:spacing w:line="360" w:lineRule="auto"/>
              <w:ind w:firstLine="360" w:firstLineChars="200"/>
              <w:rPr>
                <w:rFonts w:ascii="宋体" w:hAnsi="宋体"/>
                <w:color w:val="000000"/>
                <w:sz w:val="18"/>
                <w:szCs w:val="18"/>
              </w:rPr>
            </w:pPr>
            <w:r>
              <w:rPr>
                <w:rFonts w:hint="eastAsia" w:ascii="宋体" w:hAnsi="宋体"/>
                <w:color w:val="000000"/>
                <w:sz w:val="18"/>
                <w:szCs w:val="18"/>
              </w:rPr>
              <w:t>3.银行资信证明等相关证明如有有效期的，须保证其证明在有效期内。</w:t>
            </w:r>
          </w:p>
        </w:tc>
        <w:tc>
          <w:tcPr>
            <w:tcW w:w="950" w:type="dxa"/>
            <w:tcBorders>
              <w:top w:val="single" w:color="auto" w:sz="4" w:space="0"/>
              <w:left w:val="single" w:color="auto" w:sz="4" w:space="0"/>
              <w:bottom w:val="single" w:color="auto" w:sz="4" w:space="0"/>
              <w:right w:val="single" w:color="auto" w:sz="4" w:space="0"/>
            </w:tcBorders>
            <w:noWrap/>
            <w:vAlign w:val="center"/>
          </w:tcPr>
          <w:p>
            <w:pPr>
              <w:spacing w:line="380" w:lineRule="exact"/>
              <w:rPr>
                <w:rFonts w:ascii="宋体" w:hAnsi="宋体"/>
                <w:color w:val="000000"/>
                <w:sz w:val="18"/>
                <w:szCs w:val="18"/>
              </w:rPr>
            </w:pPr>
          </w:p>
        </w:tc>
        <w:tc>
          <w:tcPr>
            <w:tcW w:w="781" w:type="dxa"/>
            <w:tcBorders>
              <w:top w:val="single" w:color="auto" w:sz="4" w:space="0"/>
              <w:left w:val="single" w:color="auto" w:sz="4" w:space="0"/>
              <w:bottom w:val="single" w:color="auto" w:sz="4" w:space="0"/>
              <w:right w:val="single" w:color="auto" w:sz="4" w:space="0"/>
            </w:tcBorders>
            <w:noWrap/>
            <w:vAlign w:val="center"/>
          </w:tcPr>
          <w:p>
            <w:pPr>
              <w:spacing w:line="380" w:lineRule="exac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762" w:type="dxa"/>
            <w:vMerge w:val="continue"/>
            <w:tcBorders>
              <w:left w:val="single" w:color="auto" w:sz="4" w:space="0"/>
              <w:right w:val="single" w:color="auto" w:sz="4" w:space="0"/>
            </w:tcBorders>
            <w:noWrap/>
            <w:vAlign w:val="center"/>
          </w:tcPr>
          <w:p>
            <w:pPr>
              <w:spacing w:line="380" w:lineRule="exact"/>
              <w:jc w:val="center"/>
              <w:rPr>
                <w:rFonts w:ascii="宋体" w:hAnsi="宋体"/>
                <w:color w:val="000000"/>
                <w:sz w:val="18"/>
                <w:szCs w:val="18"/>
              </w:rPr>
            </w:pPr>
          </w:p>
        </w:tc>
        <w:tc>
          <w:tcPr>
            <w:tcW w:w="6967" w:type="dxa"/>
            <w:tcBorders>
              <w:top w:val="single" w:color="auto" w:sz="4" w:space="0"/>
              <w:left w:val="single" w:color="auto" w:sz="4" w:space="0"/>
              <w:bottom w:val="single" w:color="auto" w:sz="4" w:space="0"/>
              <w:right w:val="single" w:color="auto" w:sz="4" w:space="0"/>
            </w:tcBorders>
            <w:noWrap/>
            <w:vAlign w:val="center"/>
          </w:tcPr>
          <w:p>
            <w:pPr>
              <w:spacing w:line="360" w:lineRule="auto"/>
              <w:ind w:firstLine="360" w:firstLineChars="200"/>
              <w:rPr>
                <w:rFonts w:ascii="宋体" w:hAnsi="宋体"/>
                <w:color w:val="000000"/>
                <w:sz w:val="18"/>
                <w:szCs w:val="18"/>
              </w:rPr>
            </w:pPr>
            <w:r>
              <w:rPr>
                <w:rFonts w:hint="eastAsia" w:ascii="宋体" w:hAnsi="宋体"/>
                <w:color w:val="000000"/>
                <w:sz w:val="18"/>
                <w:szCs w:val="18"/>
              </w:rPr>
              <w:t>（1.3）具有履行合同所必需的设备和专业技术能力（投标人根据履行采购项目合同需要，提供履行合同所必需的设备和专业技术能力的证明材料或者加盖投标供应商公章的承诺函）；</w:t>
            </w:r>
          </w:p>
        </w:tc>
        <w:tc>
          <w:tcPr>
            <w:tcW w:w="950" w:type="dxa"/>
            <w:tcBorders>
              <w:top w:val="single" w:color="auto" w:sz="4" w:space="0"/>
              <w:left w:val="single" w:color="auto" w:sz="4" w:space="0"/>
              <w:bottom w:val="single" w:color="auto" w:sz="4" w:space="0"/>
              <w:right w:val="single" w:color="auto" w:sz="4" w:space="0"/>
            </w:tcBorders>
            <w:noWrap/>
            <w:vAlign w:val="center"/>
          </w:tcPr>
          <w:p>
            <w:pPr>
              <w:spacing w:line="380" w:lineRule="exact"/>
              <w:rPr>
                <w:rFonts w:ascii="宋体" w:hAnsi="宋体"/>
                <w:color w:val="000000"/>
                <w:sz w:val="18"/>
                <w:szCs w:val="18"/>
              </w:rPr>
            </w:pPr>
          </w:p>
        </w:tc>
        <w:tc>
          <w:tcPr>
            <w:tcW w:w="781" w:type="dxa"/>
            <w:tcBorders>
              <w:top w:val="single" w:color="auto" w:sz="4" w:space="0"/>
              <w:left w:val="single" w:color="auto" w:sz="4" w:space="0"/>
              <w:bottom w:val="single" w:color="auto" w:sz="4" w:space="0"/>
              <w:right w:val="single" w:color="auto" w:sz="4" w:space="0"/>
            </w:tcBorders>
            <w:noWrap/>
            <w:vAlign w:val="center"/>
          </w:tcPr>
          <w:p>
            <w:pPr>
              <w:spacing w:line="380" w:lineRule="exac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762" w:type="dxa"/>
            <w:vMerge w:val="continue"/>
            <w:tcBorders>
              <w:left w:val="single" w:color="auto" w:sz="4" w:space="0"/>
              <w:right w:val="single" w:color="auto" w:sz="4" w:space="0"/>
            </w:tcBorders>
            <w:noWrap/>
            <w:vAlign w:val="center"/>
          </w:tcPr>
          <w:p>
            <w:pPr>
              <w:spacing w:line="380" w:lineRule="exact"/>
              <w:jc w:val="center"/>
              <w:rPr>
                <w:rFonts w:ascii="宋体" w:hAnsi="宋体"/>
                <w:color w:val="000000"/>
                <w:sz w:val="18"/>
                <w:szCs w:val="18"/>
              </w:rPr>
            </w:pPr>
          </w:p>
        </w:tc>
        <w:tc>
          <w:tcPr>
            <w:tcW w:w="6967" w:type="dxa"/>
            <w:tcBorders>
              <w:top w:val="single" w:color="auto" w:sz="4" w:space="0"/>
              <w:left w:val="single" w:color="auto" w:sz="4" w:space="0"/>
              <w:bottom w:val="single" w:color="auto" w:sz="4" w:space="0"/>
              <w:right w:val="single" w:color="auto" w:sz="4" w:space="0"/>
            </w:tcBorders>
            <w:noWrap/>
            <w:vAlign w:val="center"/>
          </w:tcPr>
          <w:p>
            <w:pPr>
              <w:spacing w:line="360" w:lineRule="auto"/>
              <w:ind w:firstLine="360" w:firstLineChars="200"/>
              <w:rPr>
                <w:rFonts w:ascii="宋体" w:hAnsi="宋体"/>
                <w:color w:val="000000"/>
                <w:sz w:val="18"/>
                <w:szCs w:val="18"/>
              </w:rPr>
            </w:pPr>
            <w:r>
              <w:rPr>
                <w:rFonts w:hint="eastAsia" w:ascii="宋体" w:hAnsi="宋体"/>
                <w:color w:val="000000"/>
                <w:sz w:val="18"/>
                <w:szCs w:val="18"/>
              </w:rPr>
              <w:t>（1.4）有依法缴纳税收和社会保障资金的良好记录【提供参加本次政府采购活动投标截止时间前三个月以来任意一个月缴纳增值税，或营业税，或企业所得税的凭据；并提供缴纳社会保险的凭据（专用收据或社会保险缴纳清单）】</w:t>
            </w:r>
          </w:p>
        </w:tc>
        <w:tc>
          <w:tcPr>
            <w:tcW w:w="950" w:type="dxa"/>
            <w:tcBorders>
              <w:top w:val="single" w:color="auto" w:sz="4" w:space="0"/>
              <w:left w:val="single" w:color="auto" w:sz="4" w:space="0"/>
              <w:bottom w:val="single" w:color="auto" w:sz="4" w:space="0"/>
              <w:right w:val="single" w:color="auto" w:sz="4" w:space="0"/>
            </w:tcBorders>
            <w:noWrap/>
            <w:vAlign w:val="center"/>
          </w:tcPr>
          <w:p>
            <w:pPr>
              <w:spacing w:line="380" w:lineRule="exact"/>
              <w:rPr>
                <w:rFonts w:ascii="宋体" w:hAnsi="宋体"/>
                <w:color w:val="000000"/>
                <w:sz w:val="18"/>
                <w:szCs w:val="18"/>
              </w:rPr>
            </w:pPr>
          </w:p>
        </w:tc>
        <w:tc>
          <w:tcPr>
            <w:tcW w:w="781" w:type="dxa"/>
            <w:tcBorders>
              <w:top w:val="single" w:color="auto" w:sz="4" w:space="0"/>
              <w:left w:val="single" w:color="auto" w:sz="4" w:space="0"/>
              <w:bottom w:val="single" w:color="auto" w:sz="4" w:space="0"/>
              <w:right w:val="single" w:color="auto" w:sz="4" w:space="0"/>
            </w:tcBorders>
            <w:noWrap/>
            <w:vAlign w:val="center"/>
          </w:tcPr>
          <w:p>
            <w:pPr>
              <w:spacing w:line="380" w:lineRule="exac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762" w:type="dxa"/>
            <w:vMerge w:val="continue"/>
            <w:tcBorders>
              <w:left w:val="single" w:color="auto" w:sz="4" w:space="0"/>
              <w:right w:val="single" w:color="auto" w:sz="4" w:space="0"/>
            </w:tcBorders>
            <w:noWrap/>
            <w:vAlign w:val="center"/>
          </w:tcPr>
          <w:p>
            <w:pPr>
              <w:spacing w:line="380" w:lineRule="exact"/>
              <w:jc w:val="center"/>
              <w:rPr>
                <w:rFonts w:ascii="宋体" w:hAnsi="宋体"/>
                <w:color w:val="000000"/>
                <w:sz w:val="18"/>
                <w:szCs w:val="18"/>
              </w:rPr>
            </w:pPr>
          </w:p>
        </w:tc>
        <w:tc>
          <w:tcPr>
            <w:tcW w:w="6967" w:type="dxa"/>
            <w:tcBorders>
              <w:top w:val="single" w:color="auto" w:sz="4" w:space="0"/>
              <w:left w:val="single" w:color="auto" w:sz="4" w:space="0"/>
              <w:bottom w:val="single" w:color="auto" w:sz="4" w:space="0"/>
              <w:right w:val="single" w:color="auto" w:sz="4" w:space="0"/>
            </w:tcBorders>
            <w:noWrap/>
            <w:vAlign w:val="center"/>
          </w:tcPr>
          <w:p>
            <w:pPr>
              <w:spacing w:line="360" w:lineRule="auto"/>
              <w:ind w:firstLine="360" w:firstLineChars="200"/>
              <w:rPr>
                <w:rFonts w:ascii="宋体" w:hAnsi="宋体"/>
                <w:color w:val="000000"/>
                <w:sz w:val="18"/>
                <w:szCs w:val="18"/>
              </w:rPr>
            </w:pPr>
            <w:r>
              <w:rPr>
                <w:rFonts w:hint="eastAsia" w:ascii="宋体" w:hAnsi="宋体"/>
                <w:color w:val="000000"/>
                <w:sz w:val="18"/>
                <w:szCs w:val="18"/>
              </w:rPr>
              <w:t>（1.5）参加政府采购活动前三年内，在经营活动中没有重大违法记录（提供承诺书）。</w:t>
            </w:r>
          </w:p>
        </w:tc>
        <w:tc>
          <w:tcPr>
            <w:tcW w:w="950" w:type="dxa"/>
            <w:tcBorders>
              <w:top w:val="single" w:color="auto" w:sz="4" w:space="0"/>
              <w:left w:val="single" w:color="auto" w:sz="4" w:space="0"/>
              <w:bottom w:val="single" w:color="auto" w:sz="4" w:space="0"/>
              <w:right w:val="single" w:color="auto" w:sz="4" w:space="0"/>
            </w:tcBorders>
            <w:noWrap/>
            <w:vAlign w:val="center"/>
          </w:tcPr>
          <w:p>
            <w:pPr>
              <w:spacing w:line="380" w:lineRule="exact"/>
              <w:rPr>
                <w:rFonts w:ascii="宋体" w:hAnsi="宋体"/>
                <w:color w:val="000000"/>
                <w:sz w:val="18"/>
                <w:szCs w:val="18"/>
              </w:rPr>
            </w:pPr>
          </w:p>
        </w:tc>
        <w:tc>
          <w:tcPr>
            <w:tcW w:w="781" w:type="dxa"/>
            <w:tcBorders>
              <w:top w:val="single" w:color="auto" w:sz="4" w:space="0"/>
              <w:left w:val="single" w:color="auto" w:sz="4" w:space="0"/>
              <w:bottom w:val="single" w:color="auto" w:sz="4" w:space="0"/>
              <w:right w:val="single" w:color="auto" w:sz="4" w:space="0"/>
            </w:tcBorders>
            <w:noWrap/>
            <w:vAlign w:val="center"/>
          </w:tcPr>
          <w:p>
            <w:pPr>
              <w:spacing w:line="380" w:lineRule="exac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762" w:type="dxa"/>
            <w:vMerge w:val="continue"/>
            <w:tcBorders>
              <w:left w:val="single" w:color="auto" w:sz="4" w:space="0"/>
              <w:bottom w:val="single" w:color="auto" w:sz="4" w:space="0"/>
              <w:right w:val="single" w:color="auto" w:sz="4" w:space="0"/>
            </w:tcBorders>
            <w:noWrap/>
            <w:vAlign w:val="center"/>
          </w:tcPr>
          <w:p>
            <w:pPr>
              <w:spacing w:line="380" w:lineRule="exact"/>
              <w:jc w:val="center"/>
              <w:rPr>
                <w:rFonts w:ascii="宋体" w:hAnsi="宋体"/>
                <w:color w:val="000000"/>
                <w:sz w:val="18"/>
                <w:szCs w:val="18"/>
              </w:rPr>
            </w:pPr>
          </w:p>
        </w:tc>
        <w:tc>
          <w:tcPr>
            <w:tcW w:w="6967" w:type="dxa"/>
            <w:tcBorders>
              <w:top w:val="single" w:color="auto" w:sz="4" w:space="0"/>
              <w:left w:val="single" w:color="auto" w:sz="4" w:space="0"/>
              <w:bottom w:val="single" w:color="auto" w:sz="4" w:space="0"/>
              <w:right w:val="single" w:color="auto" w:sz="4" w:space="0"/>
            </w:tcBorders>
            <w:noWrap/>
            <w:vAlign w:val="center"/>
          </w:tcPr>
          <w:p>
            <w:pPr>
              <w:spacing w:line="360" w:lineRule="auto"/>
              <w:ind w:firstLine="361" w:firstLineChars="200"/>
              <w:rPr>
                <w:rFonts w:ascii="宋体" w:hAnsi="宋体"/>
                <w:b/>
                <w:color w:val="000000"/>
                <w:sz w:val="18"/>
                <w:szCs w:val="18"/>
              </w:rPr>
            </w:pPr>
            <w:r>
              <w:rPr>
                <w:rFonts w:hint="eastAsia" w:ascii="宋体" w:hAnsi="宋体"/>
                <w:b/>
                <w:color w:val="000000"/>
                <w:sz w:val="18"/>
                <w:szCs w:val="18"/>
              </w:rPr>
              <w:t>（1.6）法律、行政法规规定的其他条件</w:t>
            </w:r>
          </w:p>
          <w:p>
            <w:pPr>
              <w:spacing w:line="360" w:lineRule="auto"/>
              <w:ind w:firstLine="360" w:firstLineChars="200"/>
              <w:rPr>
                <w:rFonts w:ascii="宋体" w:hAnsi="宋体"/>
                <w:color w:val="000000"/>
                <w:sz w:val="18"/>
                <w:szCs w:val="18"/>
              </w:rPr>
            </w:pPr>
            <w:r>
              <w:rPr>
                <w:rFonts w:hint="eastAsia" w:ascii="宋体" w:hAnsi="宋体"/>
                <w:color w:val="000000"/>
                <w:sz w:val="18"/>
                <w:szCs w:val="18"/>
              </w:rPr>
              <w:t>提供</w:t>
            </w:r>
            <w:r>
              <w:rPr>
                <w:rFonts w:ascii="宋体" w:hAnsi="宋体"/>
                <w:color w:val="000000"/>
                <w:sz w:val="18"/>
                <w:szCs w:val="18"/>
              </w:rPr>
              <w:t>具备法律、行政法规规定的其他条件的证明材料</w:t>
            </w:r>
            <w:r>
              <w:rPr>
                <w:rFonts w:hint="eastAsia" w:ascii="宋体" w:hAnsi="宋体"/>
                <w:color w:val="000000"/>
                <w:sz w:val="18"/>
                <w:szCs w:val="18"/>
              </w:rPr>
              <w:t>（按照采购公告的要求提供）</w:t>
            </w:r>
          </w:p>
        </w:tc>
        <w:tc>
          <w:tcPr>
            <w:tcW w:w="950" w:type="dxa"/>
            <w:tcBorders>
              <w:top w:val="single" w:color="auto" w:sz="4" w:space="0"/>
              <w:left w:val="single" w:color="auto" w:sz="4" w:space="0"/>
              <w:bottom w:val="single" w:color="auto" w:sz="4" w:space="0"/>
              <w:right w:val="single" w:color="auto" w:sz="4" w:space="0"/>
            </w:tcBorders>
            <w:noWrap/>
            <w:vAlign w:val="center"/>
          </w:tcPr>
          <w:p>
            <w:pPr>
              <w:spacing w:line="380" w:lineRule="exact"/>
              <w:rPr>
                <w:rFonts w:ascii="宋体" w:hAnsi="宋体"/>
                <w:color w:val="000000"/>
                <w:sz w:val="18"/>
                <w:szCs w:val="18"/>
              </w:rPr>
            </w:pPr>
          </w:p>
        </w:tc>
        <w:tc>
          <w:tcPr>
            <w:tcW w:w="781" w:type="dxa"/>
            <w:tcBorders>
              <w:top w:val="single" w:color="auto" w:sz="4" w:space="0"/>
              <w:left w:val="single" w:color="auto" w:sz="4" w:space="0"/>
              <w:bottom w:val="single" w:color="auto" w:sz="4" w:space="0"/>
              <w:right w:val="single" w:color="auto" w:sz="4" w:space="0"/>
            </w:tcBorders>
            <w:noWrap/>
            <w:vAlign w:val="center"/>
          </w:tcPr>
          <w:p>
            <w:pPr>
              <w:spacing w:line="380" w:lineRule="exac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spacing w:line="380" w:lineRule="exact"/>
              <w:jc w:val="center"/>
              <w:rPr>
                <w:rFonts w:ascii="宋体" w:hAnsi="宋体"/>
                <w:b/>
                <w:color w:val="000000"/>
                <w:sz w:val="18"/>
                <w:szCs w:val="18"/>
              </w:rPr>
            </w:pPr>
            <w:r>
              <w:rPr>
                <w:rFonts w:hint="eastAsia" w:ascii="宋体" w:hAnsi="宋体"/>
                <w:b/>
                <w:color w:val="000000"/>
                <w:sz w:val="18"/>
                <w:szCs w:val="18"/>
              </w:rPr>
              <w:t>2</w:t>
            </w:r>
          </w:p>
        </w:tc>
        <w:tc>
          <w:tcPr>
            <w:tcW w:w="6967" w:type="dxa"/>
            <w:tcBorders>
              <w:top w:val="single" w:color="auto" w:sz="4" w:space="0"/>
              <w:left w:val="single" w:color="auto" w:sz="4" w:space="0"/>
              <w:bottom w:val="single" w:color="auto" w:sz="4" w:space="0"/>
              <w:right w:val="single" w:color="auto" w:sz="4" w:space="0"/>
            </w:tcBorders>
            <w:noWrap/>
            <w:vAlign w:val="center"/>
          </w:tcPr>
          <w:p>
            <w:pPr>
              <w:spacing w:line="380" w:lineRule="exact"/>
              <w:rPr>
                <w:rFonts w:ascii="宋体" w:hAnsi="宋体"/>
                <w:b/>
                <w:color w:val="000000"/>
                <w:sz w:val="18"/>
                <w:szCs w:val="18"/>
              </w:rPr>
            </w:pPr>
            <w:r>
              <w:rPr>
                <w:rFonts w:hint="eastAsia" w:ascii="宋体" w:hAnsi="宋体"/>
                <w:b/>
                <w:color w:val="000000"/>
                <w:sz w:val="18"/>
                <w:szCs w:val="18"/>
              </w:rPr>
              <w:t>落实政府采购政策需满足的资格要求（按照采购公告的要求提供）</w:t>
            </w:r>
          </w:p>
        </w:tc>
        <w:tc>
          <w:tcPr>
            <w:tcW w:w="950" w:type="dxa"/>
            <w:tcBorders>
              <w:top w:val="single" w:color="auto" w:sz="4" w:space="0"/>
              <w:left w:val="single" w:color="auto" w:sz="4" w:space="0"/>
              <w:bottom w:val="single" w:color="auto" w:sz="4" w:space="0"/>
              <w:right w:val="single" w:color="auto" w:sz="4" w:space="0"/>
            </w:tcBorders>
            <w:noWrap/>
            <w:vAlign w:val="center"/>
          </w:tcPr>
          <w:p>
            <w:pPr>
              <w:spacing w:line="380" w:lineRule="exact"/>
              <w:rPr>
                <w:rFonts w:ascii="宋体" w:hAnsi="宋体"/>
                <w:color w:val="000000"/>
                <w:sz w:val="18"/>
                <w:szCs w:val="18"/>
              </w:rPr>
            </w:pPr>
          </w:p>
        </w:tc>
        <w:tc>
          <w:tcPr>
            <w:tcW w:w="781" w:type="dxa"/>
            <w:tcBorders>
              <w:top w:val="single" w:color="auto" w:sz="4" w:space="0"/>
              <w:left w:val="single" w:color="auto" w:sz="4" w:space="0"/>
              <w:bottom w:val="single" w:color="auto" w:sz="4" w:space="0"/>
              <w:right w:val="single" w:color="auto" w:sz="4" w:space="0"/>
            </w:tcBorders>
            <w:noWrap/>
            <w:vAlign w:val="center"/>
          </w:tcPr>
          <w:p>
            <w:pPr>
              <w:spacing w:line="380" w:lineRule="exac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spacing w:line="380" w:lineRule="exact"/>
              <w:jc w:val="center"/>
              <w:rPr>
                <w:rFonts w:ascii="宋体" w:hAnsi="宋体"/>
                <w:b/>
                <w:color w:val="000000"/>
                <w:sz w:val="18"/>
                <w:szCs w:val="18"/>
              </w:rPr>
            </w:pPr>
            <w:r>
              <w:rPr>
                <w:rFonts w:hint="eastAsia" w:ascii="宋体" w:hAnsi="宋体"/>
                <w:b/>
                <w:color w:val="000000"/>
                <w:sz w:val="18"/>
                <w:szCs w:val="18"/>
              </w:rPr>
              <w:t>3</w:t>
            </w:r>
          </w:p>
        </w:tc>
        <w:tc>
          <w:tcPr>
            <w:tcW w:w="6967" w:type="dxa"/>
            <w:tcBorders>
              <w:top w:val="single" w:color="auto" w:sz="4" w:space="0"/>
              <w:left w:val="single" w:color="auto" w:sz="4" w:space="0"/>
              <w:bottom w:val="single" w:color="auto" w:sz="4" w:space="0"/>
              <w:right w:val="single" w:color="auto" w:sz="4" w:space="0"/>
            </w:tcBorders>
            <w:noWrap/>
            <w:vAlign w:val="center"/>
          </w:tcPr>
          <w:p>
            <w:pPr>
              <w:spacing w:line="380" w:lineRule="exact"/>
              <w:rPr>
                <w:rFonts w:ascii="宋体" w:hAnsi="宋体"/>
                <w:b/>
                <w:color w:val="000000"/>
                <w:sz w:val="18"/>
                <w:szCs w:val="18"/>
              </w:rPr>
            </w:pPr>
            <w:r>
              <w:rPr>
                <w:rFonts w:hint="eastAsia" w:ascii="宋体" w:hAnsi="宋体"/>
                <w:b/>
                <w:color w:val="000000"/>
                <w:sz w:val="18"/>
                <w:szCs w:val="18"/>
              </w:rPr>
              <w:t>本项目的特定资格要求（按照采购公告的要求提供）</w:t>
            </w:r>
          </w:p>
        </w:tc>
        <w:tc>
          <w:tcPr>
            <w:tcW w:w="950" w:type="dxa"/>
            <w:tcBorders>
              <w:top w:val="single" w:color="auto" w:sz="4" w:space="0"/>
              <w:left w:val="single" w:color="auto" w:sz="4" w:space="0"/>
              <w:bottom w:val="single" w:color="auto" w:sz="4" w:space="0"/>
              <w:right w:val="single" w:color="auto" w:sz="4" w:space="0"/>
            </w:tcBorders>
            <w:noWrap/>
            <w:vAlign w:val="center"/>
          </w:tcPr>
          <w:p>
            <w:pPr>
              <w:spacing w:line="380" w:lineRule="exact"/>
              <w:rPr>
                <w:rFonts w:ascii="宋体" w:hAnsi="宋体"/>
                <w:color w:val="000000"/>
                <w:sz w:val="18"/>
                <w:szCs w:val="18"/>
              </w:rPr>
            </w:pPr>
          </w:p>
        </w:tc>
        <w:tc>
          <w:tcPr>
            <w:tcW w:w="781" w:type="dxa"/>
            <w:tcBorders>
              <w:top w:val="single" w:color="auto" w:sz="4" w:space="0"/>
              <w:left w:val="single" w:color="auto" w:sz="4" w:space="0"/>
              <w:bottom w:val="single" w:color="auto" w:sz="4" w:space="0"/>
              <w:right w:val="single" w:color="auto" w:sz="4" w:space="0"/>
            </w:tcBorders>
            <w:noWrap/>
            <w:vAlign w:val="center"/>
          </w:tcPr>
          <w:p>
            <w:pPr>
              <w:spacing w:line="380" w:lineRule="exac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spacing w:line="380" w:lineRule="exact"/>
              <w:jc w:val="center"/>
              <w:rPr>
                <w:rFonts w:ascii="宋体" w:hAnsi="宋体"/>
                <w:b/>
                <w:color w:val="000000"/>
                <w:sz w:val="18"/>
                <w:szCs w:val="18"/>
              </w:rPr>
            </w:pPr>
            <w:r>
              <w:rPr>
                <w:rFonts w:hint="eastAsia" w:ascii="宋体" w:hAnsi="宋体"/>
                <w:b/>
                <w:color w:val="000000"/>
                <w:sz w:val="18"/>
                <w:szCs w:val="18"/>
              </w:rPr>
              <w:t>4</w:t>
            </w:r>
          </w:p>
        </w:tc>
        <w:tc>
          <w:tcPr>
            <w:tcW w:w="6967" w:type="dxa"/>
            <w:tcBorders>
              <w:top w:val="single" w:color="auto" w:sz="4" w:space="0"/>
              <w:left w:val="single" w:color="auto" w:sz="4" w:space="0"/>
              <w:bottom w:val="single" w:color="auto" w:sz="4" w:space="0"/>
              <w:right w:val="single" w:color="auto" w:sz="4" w:space="0"/>
            </w:tcBorders>
            <w:noWrap/>
            <w:vAlign w:val="center"/>
          </w:tcPr>
          <w:p>
            <w:pPr>
              <w:spacing w:line="336" w:lineRule="auto"/>
              <w:ind w:firstLine="360" w:firstLineChars="200"/>
              <w:rPr>
                <w:rFonts w:ascii="宋体" w:hAnsi="宋体"/>
                <w:b/>
                <w:color w:val="000000"/>
                <w:sz w:val="18"/>
                <w:szCs w:val="18"/>
              </w:rPr>
            </w:pPr>
            <w:r>
              <w:rPr>
                <w:rFonts w:hint="eastAsia" w:ascii="宋体" w:hAnsi="宋体"/>
                <w:color w:val="000000"/>
                <w:sz w:val="18"/>
                <w:szCs w:val="18"/>
              </w:rPr>
              <w:t>供应商被“信用中国”网站(www.creditchina.gov.cn)、“中国政府采购网”(www.ccgp.gov.cn)列入失信被执行人、重大税收违法案件当事人名单、政府采购严重违法失信行为记录名单。</w:t>
            </w:r>
          </w:p>
        </w:tc>
        <w:tc>
          <w:tcPr>
            <w:tcW w:w="950" w:type="dxa"/>
            <w:tcBorders>
              <w:top w:val="single" w:color="auto" w:sz="4" w:space="0"/>
              <w:left w:val="single" w:color="auto" w:sz="4" w:space="0"/>
              <w:bottom w:val="single" w:color="auto" w:sz="4" w:space="0"/>
              <w:right w:val="single" w:color="auto" w:sz="4" w:space="0"/>
            </w:tcBorders>
            <w:noWrap/>
            <w:vAlign w:val="center"/>
          </w:tcPr>
          <w:p>
            <w:pPr>
              <w:spacing w:line="380" w:lineRule="exact"/>
              <w:rPr>
                <w:rFonts w:ascii="宋体" w:hAnsi="宋体"/>
                <w:color w:val="000000"/>
                <w:sz w:val="18"/>
                <w:szCs w:val="18"/>
              </w:rPr>
            </w:pPr>
          </w:p>
        </w:tc>
        <w:tc>
          <w:tcPr>
            <w:tcW w:w="781" w:type="dxa"/>
            <w:tcBorders>
              <w:top w:val="single" w:color="auto" w:sz="4" w:space="0"/>
              <w:left w:val="single" w:color="auto" w:sz="4" w:space="0"/>
              <w:bottom w:val="single" w:color="auto" w:sz="4" w:space="0"/>
              <w:right w:val="single" w:color="auto" w:sz="4" w:space="0"/>
            </w:tcBorders>
            <w:noWrap/>
            <w:vAlign w:val="center"/>
          </w:tcPr>
          <w:p>
            <w:pPr>
              <w:spacing w:line="380" w:lineRule="exac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spacing w:line="380" w:lineRule="exact"/>
              <w:jc w:val="center"/>
              <w:rPr>
                <w:rFonts w:ascii="宋体" w:hAnsi="宋体"/>
                <w:color w:val="000000"/>
                <w:sz w:val="18"/>
                <w:szCs w:val="18"/>
              </w:rPr>
            </w:pPr>
          </w:p>
        </w:tc>
        <w:tc>
          <w:tcPr>
            <w:tcW w:w="6967" w:type="dxa"/>
            <w:tcBorders>
              <w:top w:val="single" w:color="auto" w:sz="4" w:space="0"/>
              <w:left w:val="single" w:color="auto" w:sz="4" w:space="0"/>
              <w:bottom w:val="single" w:color="auto" w:sz="4" w:space="0"/>
              <w:right w:val="single" w:color="auto" w:sz="4" w:space="0"/>
            </w:tcBorders>
            <w:noWrap/>
            <w:vAlign w:val="center"/>
          </w:tcPr>
          <w:p>
            <w:pPr>
              <w:spacing w:line="380" w:lineRule="exact"/>
              <w:jc w:val="center"/>
              <w:rPr>
                <w:rFonts w:ascii="宋体" w:hAnsi="宋体"/>
                <w:i/>
                <w:color w:val="000000"/>
                <w:sz w:val="18"/>
                <w:szCs w:val="18"/>
                <w:u w:val="single"/>
              </w:rPr>
            </w:pPr>
            <w:r>
              <w:rPr>
                <w:rFonts w:hint="eastAsia" w:ascii="宋体" w:hAnsi="宋体"/>
                <w:i/>
                <w:color w:val="000000"/>
                <w:sz w:val="18"/>
                <w:szCs w:val="18"/>
                <w:u w:val="single"/>
              </w:rPr>
              <w:t>行数不够，可按本表格式自行添加</w:t>
            </w:r>
          </w:p>
        </w:tc>
        <w:tc>
          <w:tcPr>
            <w:tcW w:w="950" w:type="dxa"/>
            <w:tcBorders>
              <w:top w:val="single" w:color="auto" w:sz="4" w:space="0"/>
              <w:left w:val="single" w:color="auto" w:sz="4" w:space="0"/>
              <w:bottom w:val="single" w:color="auto" w:sz="4" w:space="0"/>
              <w:right w:val="single" w:color="auto" w:sz="4" w:space="0"/>
            </w:tcBorders>
            <w:noWrap/>
            <w:vAlign w:val="center"/>
          </w:tcPr>
          <w:p>
            <w:pPr>
              <w:spacing w:line="380" w:lineRule="exact"/>
              <w:rPr>
                <w:rFonts w:ascii="宋体" w:hAnsi="宋体"/>
                <w:color w:val="000000"/>
                <w:sz w:val="18"/>
                <w:szCs w:val="18"/>
              </w:rPr>
            </w:pPr>
          </w:p>
        </w:tc>
        <w:tc>
          <w:tcPr>
            <w:tcW w:w="781" w:type="dxa"/>
            <w:tcBorders>
              <w:top w:val="single" w:color="auto" w:sz="4" w:space="0"/>
              <w:left w:val="single" w:color="auto" w:sz="4" w:space="0"/>
              <w:bottom w:val="single" w:color="auto" w:sz="4" w:space="0"/>
              <w:right w:val="single" w:color="auto" w:sz="4" w:space="0"/>
            </w:tcBorders>
            <w:noWrap/>
            <w:vAlign w:val="center"/>
          </w:tcPr>
          <w:p>
            <w:pPr>
              <w:spacing w:line="380" w:lineRule="exac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9460" w:type="dxa"/>
            <w:gridSpan w:val="4"/>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color w:val="000000"/>
                <w:sz w:val="18"/>
                <w:szCs w:val="18"/>
              </w:rPr>
            </w:pPr>
            <w:r>
              <w:rPr>
                <w:rFonts w:hint="eastAsia" w:ascii="宋体" w:hAnsi="宋体"/>
                <w:color w:val="000000"/>
                <w:sz w:val="18"/>
                <w:szCs w:val="18"/>
              </w:rPr>
              <w:t>特别提醒：</w:t>
            </w:r>
          </w:p>
          <w:p>
            <w:pPr>
              <w:spacing w:line="360" w:lineRule="auto"/>
              <w:ind w:firstLine="361" w:firstLineChars="200"/>
              <w:rPr>
                <w:rFonts w:ascii="宋体" w:hAnsi="宋体"/>
                <w:color w:val="000000"/>
                <w:sz w:val="18"/>
                <w:szCs w:val="18"/>
              </w:rPr>
            </w:pPr>
            <w:r>
              <w:rPr>
                <w:rFonts w:hint="eastAsia" w:ascii="宋体" w:hAnsi="宋体"/>
                <w:b/>
                <w:color w:val="000000"/>
                <w:sz w:val="18"/>
                <w:szCs w:val="18"/>
                <w:u w:val="single"/>
              </w:rPr>
              <w:t>1.如无特殊说明，提供复印件即可</w:t>
            </w:r>
            <w:r>
              <w:rPr>
                <w:rFonts w:hint="eastAsia" w:ascii="宋体" w:hAnsi="宋体"/>
                <w:b/>
                <w:color w:val="000000"/>
                <w:sz w:val="18"/>
                <w:szCs w:val="18"/>
              </w:rPr>
              <w:t>，</w:t>
            </w:r>
            <w:r>
              <w:rPr>
                <w:rFonts w:hint="eastAsia" w:ascii="宋体" w:hAnsi="宋体"/>
                <w:color w:val="000000"/>
                <w:sz w:val="18"/>
                <w:szCs w:val="18"/>
              </w:rPr>
              <w:t>复印件上请加盖本单位章。</w:t>
            </w:r>
          </w:p>
          <w:p>
            <w:pPr>
              <w:spacing w:line="360" w:lineRule="auto"/>
              <w:ind w:firstLine="360" w:firstLineChars="200"/>
              <w:rPr>
                <w:rFonts w:ascii="宋体" w:hAnsi="宋体"/>
                <w:color w:val="000000"/>
                <w:sz w:val="18"/>
                <w:szCs w:val="18"/>
              </w:rPr>
            </w:pPr>
            <w:r>
              <w:rPr>
                <w:rFonts w:hint="eastAsia" w:ascii="宋体" w:hAnsi="宋体"/>
                <w:color w:val="000000"/>
                <w:sz w:val="18"/>
                <w:szCs w:val="18"/>
              </w:rPr>
              <w:t>2.如供应商资格证明文件提供为原件的，视为一次性证明材料（如：社保证明原件），恕不退回。</w:t>
            </w:r>
          </w:p>
        </w:tc>
      </w:tr>
    </w:tbl>
    <w:p>
      <w:pPr>
        <w:spacing w:line="276" w:lineRule="auto"/>
        <w:jc w:val="left"/>
        <w:rPr>
          <w:b/>
          <w:color w:val="000000"/>
        </w:rPr>
      </w:pPr>
      <w:r>
        <w:rPr>
          <w:rFonts w:hint="eastAsia"/>
          <w:b/>
          <w:color w:val="000000"/>
        </w:rPr>
        <w:t>一、满足《中华人民共和国政府采购法》第二十二条规定</w:t>
      </w:r>
    </w:p>
    <w:p>
      <w:pPr>
        <w:spacing w:line="276" w:lineRule="auto"/>
        <w:ind w:firstLine="422" w:firstLineChars="200"/>
        <w:rPr>
          <w:rFonts w:ascii="宋体" w:hAnsi="宋体"/>
          <w:color w:val="000000"/>
          <w:szCs w:val="21"/>
        </w:rPr>
      </w:pPr>
      <w:r>
        <w:rPr>
          <w:rFonts w:hint="eastAsia" w:ascii="宋体" w:hAnsi="宋体"/>
          <w:b/>
          <w:color w:val="000000"/>
          <w:szCs w:val="21"/>
        </w:rPr>
        <w:t xml:space="preserve">1.1 </w:t>
      </w:r>
      <w:r>
        <w:rPr>
          <w:rFonts w:hint="eastAsia" w:ascii="宋体" w:hAnsi="宋体"/>
          <w:color w:val="000000"/>
          <w:szCs w:val="21"/>
        </w:rPr>
        <w:t>具有独立承担民事责任的能力；</w:t>
      </w:r>
    </w:p>
    <w:p>
      <w:pPr>
        <w:pStyle w:val="2"/>
      </w:pPr>
    </w:p>
    <w:p>
      <w:pPr>
        <w:spacing w:line="276" w:lineRule="auto"/>
        <w:ind w:firstLine="422" w:firstLineChars="200"/>
        <w:rPr>
          <w:rFonts w:ascii="宋体" w:hAnsi="宋体"/>
          <w:color w:val="000000"/>
          <w:szCs w:val="21"/>
        </w:rPr>
      </w:pPr>
      <w:r>
        <w:rPr>
          <w:rFonts w:hint="eastAsia" w:ascii="宋体" w:hAnsi="宋体"/>
          <w:b/>
          <w:color w:val="000000"/>
          <w:szCs w:val="21"/>
        </w:rPr>
        <w:t>1.</w:t>
      </w:r>
      <w:r>
        <w:rPr>
          <w:rFonts w:ascii="宋体" w:hAnsi="宋体"/>
          <w:b/>
          <w:color w:val="000000"/>
          <w:szCs w:val="21"/>
        </w:rPr>
        <w:t>2</w:t>
      </w:r>
      <w:r>
        <w:rPr>
          <w:rFonts w:hint="eastAsia" w:ascii="宋体" w:hAnsi="宋体"/>
          <w:color w:val="000000"/>
          <w:szCs w:val="21"/>
        </w:rPr>
        <w:t>具有良好的商业信誉和健全的财务会计制度；</w:t>
      </w:r>
    </w:p>
    <w:p>
      <w:pPr>
        <w:pStyle w:val="2"/>
      </w:pPr>
    </w:p>
    <w:p>
      <w:pPr>
        <w:spacing w:line="276" w:lineRule="auto"/>
        <w:ind w:firstLine="422" w:firstLineChars="200"/>
        <w:rPr>
          <w:rFonts w:ascii="宋体" w:hAnsi="宋体"/>
          <w:color w:val="000000"/>
          <w:szCs w:val="21"/>
        </w:rPr>
      </w:pPr>
      <w:r>
        <w:rPr>
          <w:rFonts w:hint="eastAsia" w:ascii="宋体" w:hAnsi="宋体"/>
          <w:b/>
          <w:color w:val="000000"/>
          <w:szCs w:val="21"/>
        </w:rPr>
        <w:t>1.</w:t>
      </w:r>
      <w:r>
        <w:rPr>
          <w:rFonts w:ascii="宋体" w:hAnsi="宋体"/>
          <w:b/>
          <w:color w:val="000000"/>
          <w:szCs w:val="21"/>
        </w:rPr>
        <w:t>3</w:t>
      </w:r>
      <w:r>
        <w:rPr>
          <w:rFonts w:hint="eastAsia" w:ascii="宋体" w:hAnsi="宋体"/>
          <w:color w:val="000000"/>
          <w:szCs w:val="21"/>
        </w:rPr>
        <w:t>有履行合同所必需的设备和专业技术能力；</w:t>
      </w:r>
    </w:p>
    <w:p>
      <w:pPr>
        <w:pStyle w:val="2"/>
      </w:pPr>
    </w:p>
    <w:p>
      <w:pPr>
        <w:spacing w:line="276" w:lineRule="auto"/>
        <w:ind w:firstLine="422" w:firstLineChars="200"/>
        <w:rPr>
          <w:rFonts w:ascii="宋体" w:hAnsi="宋体"/>
          <w:color w:val="000000"/>
          <w:szCs w:val="21"/>
        </w:rPr>
      </w:pPr>
      <w:r>
        <w:rPr>
          <w:rFonts w:hint="eastAsia" w:ascii="宋体" w:hAnsi="宋体"/>
          <w:b/>
          <w:color w:val="000000"/>
          <w:szCs w:val="21"/>
        </w:rPr>
        <w:t>1.</w:t>
      </w:r>
      <w:r>
        <w:rPr>
          <w:rFonts w:ascii="宋体" w:hAnsi="宋体"/>
          <w:b/>
          <w:color w:val="000000"/>
          <w:szCs w:val="21"/>
        </w:rPr>
        <w:t>4</w:t>
      </w:r>
      <w:r>
        <w:rPr>
          <w:rFonts w:hint="eastAsia" w:ascii="宋体" w:hAnsi="宋体"/>
          <w:color w:val="000000"/>
          <w:szCs w:val="21"/>
        </w:rPr>
        <w:t>有依法缴纳税收和社会保障资金的良好记录；</w:t>
      </w:r>
    </w:p>
    <w:p>
      <w:pPr>
        <w:pStyle w:val="2"/>
      </w:pPr>
    </w:p>
    <w:p>
      <w:pPr>
        <w:spacing w:line="276" w:lineRule="auto"/>
        <w:ind w:firstLine="422" w:firstLineChars="200"/>
        <w:rPr>
          <w:rFonts w:ascii="宋体" w:hAnsi="宋体"/>
          <w:b/>
          <w:color w:val="000000"/>
        </w:rPr>
      </w:pPr>
      <w:r>
        <w:rPr>
          <w:rFonts w:hint="eastAsia" w:ascii="宋体" w:hAnsi="宋体"/>
          <w:b/>
          <w:color w:val="000000"/>
          <w:szCs w:val="21"/>
        </w:rPr>
        <w:t>1.</w:t>
      </w:r>
      <w:r>
        <w:rPr>
          <w:rFonts w:ascii="宋体" w:hAnsi="宋体"/>
          <w:b/>
          <w:color w:val="000000"/>
          <w:szCs w:val="21"/>
        </w:rPr>
        <w:t>5</w:t>
      </w:r>
      <w:r>
        <w:rPr>
          <w:rFonts w:hint="eastAsia" w:ascii="宋体" w:hAnsi="宋体"/>
          <w:color w:val="000000"/>
          <w:szCs w:val="21"/>
        </w:rPr>
        <w:t>参加政府采购活动前三年内，在经营活动中没有重大违法记录（提供承诺书）。</w:t>
      </w:r>
    </w:p>
    <w:p>
      <w:pPr>
        <w:ind w:firstLine="422" w:firstLineChars="200"/>
        <w:rPr>
          <w:rFonts w:ascii="宋体" w:hAnsi="宋体"/>
          <w:b/>
          <w:color w:val="000000"/>
        </w:rPr>
      </w:pP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8534" w:type="dxa"/>
            <w:noWrap/>
          </w:tcPr>
          <w:p>
            <w:pPr>
              <w:spacing w:line="360" w:lineRule="auto"/>
              <w:jc w:val="center"/>
              <w:rPr>
                <w:b/>
                <w:color w:val="000000"/>
              </w:rPr>
            </w:pPr>
            <w:r>
              <w:rPr>
                <w:rFonts w:hint="eastAsia"/>
                <w:b/>
                <w:color w:val="000000"/>
              </w:rPr>
              <w:t>1.3、1.5资质要求的响应声明（格式）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4" w:type="dxa"/>
            <w:noWrap/>
          </w:tcPr>
          <w:p>
            <w:pPr>
              <w:spacing w:line="360" w:lineRule="auto"/>
              <w:jc w:val="left"/>
              <w:rPr>
                <w:rFonts w:ascii="宋体" w:hAnsi="宋体"/>
                <w:bCs/>
                <w:color w:val="000000"/>
                <w:szCs w:val="21"/>
              </w:rPr>
            </w:pPr>
            <w:r>
              <w:rPr>
                <w:rFonts w:hint="eastAsia" w:ascii="宋体" w:hAnsi="宋体"/>
                <w:bCs/>
                <w:color w:val="000000"/>
                <w:szCs w:val="21"/>
              </w:rPr>
              <w:t>我方郑重声明：</w:t>
            </w:r>
          </w:p>
          <w:p>
            <w:pPr>
              <w:spacing w:line="360" w:lineRule="auto"/>
              <w:ind w:firstLine="492"/>
              <w:jc w:val="left"/>
              <w:rPr>
                <w:rFonts w:ascii="宋体" w:hAnsi="宋体"/>
                <w:bCs/>
                <w:color w:val="000000"/>
                <w:szCs w:val="21"/>
              </w:rPr>
            </w:pPr>
            <w:r>
              <w:rPr>
                <w:rFonts w:hint="eastAsia" w:ascii="宋体" w:hAnsi="宋体"/>
                <w:bCs/>
                <w:color w:val="000000"/>
                <w:szCs w:val="21"/>
              </w:rPr>
              <w:t>1、我方具备履行本项采购合同所必需的设备和专业技术能力，为履行本项采购合同我公司具备如下主要设备和主要专业技术能力：</w:t>
            </w:r>
          </w:p>
          <w:p>
            <w:pPr>
              <w:spacing w:line="360" w:lineRule="auto"/>
              <w:ind w:firstLine="492"/>
              <w:jc w:val="left"/>
              <w:rPr>
                <w:rFonts w:ascii="宋体" w:hAnsi="宋体"/>
                <w:bCs/>
                <w:color w:val="000000"/>
                <w:szCs w:val="21"/>
              </w:rPr>
            </w:pPr>
            <w:r>
              <w:rPr>
                <w:rFonts w:hint="eastAsia" w:ascii="宋体" w:hAnsi="宋体"/>
                <w:bCs/>
                <w:color w:val="000000"/>
                <w:szCs w:val="21"/>
              </w:rPr>
              <w:t>主要设备有：</w:t>
            </w:r>
            <w:r>
              <w:rPr>
                <w:rFonts w:hint="eastAsia" w:ascii="宋体" w:hAnsi="宋体"/>
                <w:bCs/>
                <w:color w:val="000000"/>
                <w:szCs w:val="21"/>
                <w:u w:val="single"/>
              </w:rPr>
              <w:t xml:space="preserve">                  （一个即可）</w:t>
            </w:r>
            <w:r>
              <w:rPr>
                <w:rFonts w:hint="eastAsia" w:ascii="宋体" w:hAnsi="宋体"/>
                <w:bCs/>
                <w:color w:val="000000"/>
                <w:szCs w:val="21"/>
              </w:rPr>
              <w:t>。</w:t>
            </w:r>
          </w:p>
          <w:p>
            <w:pPr>
              <w:spacing w:line="360" w:lineRule="auto"/>
              <w:ind w:firstLine="492"/>
              <w:jc w:val="left"/>
              <w:rPr>
                <w:rFonts w:ascii="宋体" w:hAnsi="宋体"/>
                <w:bCs/>
                <w:color w:val="000000"/>
                <w:szCs w:val="21"/>
              </w:rPr>
            </w:pPr>
            <w:r>
              <w:rPr>
                <w:rFonts w:hint="eastAsia" w:ascii="宋体" w:hAnsi="宋体"/>
                <w:bCs/>
                <w:color w:val="000000"/>
                <w:szCs w:val="21"/>
              </w:rPr>
              <w:t>主要专业技术能力有：</w:t>
            </w:r>
            <w:r>
              <w:rPr>
                <w:rFonts w:hint="eastAsia" w:ascii="宋体" w:hAnsi="宋体"/>
                <w:bCs/>
                <w:color w:val="000000"/>
                <w:szCs w:val="21"/>
                <w:u w:val="single"/>
              </w:rPr>
              <w:t xml:space="preserve">          （一项即可）</w:t>
            </w:r>
            <w:r>
              <w:rPr>
                <w:rFonts w:hint="eastAsia" w:ascii="宋体" w:hAnsi="宋体"/>
                <w:bCs/>
                <w:color w:val="000000"/>
                <w:szCs w:val="21"/>
              </w:rPr>
              <w:t>。</w:t>
            </w:r>
          </w:p>
          <w:p>
            <w:pPr>
              <w:spacing w:line="360" w:lineRule="auto"/>
              <w:ind w:firstLine="492"/>
              <w:jc w:val="left"/>
              <w:rPr>
                <w:rFonts w:ascii="宋体" w:hAnsi="宋体"/>
                <w:bCs/>
                <w:color w:val="000000"/>
                <w:szCs w:val="21"/>
              </w:rPr>
            </w:pPr>
            <w:r>
              <w:rPr>
                <w:rFonts w:hint="eastAsia" w:ascii="宋体" w:hAnsi="宋体"/>
                <w:bCs/>
                <w:color w:val="000000"/>
                <w:szCs w:val="21"/>
              </w:rPr>
              <w:t>2、我方参加本次政府采购活动前 3 年内，我方在经营活动中没有因违法经营受到刑事处罚或者责令停产停业、吊销许可证或者执照、较大数额罚款等行政处罚。</w:t>
            </w:r>
          </w:p>
          <w:p>
            <w:pPr>
              <w:spacing w:line="360" w:lineRule="auto"/>
              <w:ind w:firstLine="492"/>
              <w:jc w:val="left"/>
              <w:rPr>
                <w:rFonts w:ascii="宋体" w:hAnsi="宋体"/>
                <w:bCs/>
                <w:color w:val="000000"/>
                <w:szCs w:val="21"/>
              </w:rPr>
            </w:pPr>
            <w:r>
              <w:rPr>
                <w:rFonts w:hint="eastAsia" w:ascii="宋体" w:hAnsi="宋体" w:cs="宋体"/>
                <w:color w:val="000000"/>
                <w:kern w:val="0"/>
                <w:szCs w:val="21"/>
              </w:rPr>
              <w:t>我方就此承诺真实性负责，如有虚假，贵方可视为我方提供虚假材料处理。</w:t>
            </w:r>
          </w:p>
          <w:p>
            <w:pPr>
              <w:spacing w:line="360" w:lineRule="auto"/>
              <w:jc w:val="left"/>
              <w:rPr>
                <w:rFonts w:ascii="宋体" w:hAnsi="宋体"/>
                <w:bCs/>
                <w:color w:val="000000"/>
                <w:szCs w:val="21"/>
                <w:u w:val="single"/>
              </w:rPr>
            </w:pPr>
            <w:r>
              <w:rPr>
                <w:rFonts w:hint="eastAsia" w:ascii="宋体" w:hAnsi="宋体"/>
                <w:bCs/>
                <w:color w:val="000000"/>
                <w:szCs w:val="21"/>
              </w:rPr>
              <w:t xml:space="preserve">     供应商名称（公章）：</w:t>
            </w:r>
          </w:p>
          <w:p>
            <w:pPr>
              <w:spacing w:line="360" w:lineRule="auto"/>
              <w:jc w:val="left"/>
              <w:rPr>
                <w:rFonts w:ascii="宋体" w:hAnsi="宋体"/>
                <w:bCs/>
                <w:color w:val="000000"/>
                <w:szCs w:val="21"/>
                <w:u w:val="single"/>
              </w:rPr>
            </w:pPr>
            <w:r>
              <w:rPr>
                <w:rFonts w:hint="eastAsia" w:ascii="宋体" w:hAnsi="宋体" w:cs="宋体"/>
                <w:color w:val="000000"/>
              </w:rPr>
              <w:t>法定代表人或其委托代理人</w:t>
            </w:r>
            <w:r>
              <w:rPr>
                <w:rFonts w:hint="eastAsia" w:ascii="宋体" w:hAnsi="宋体"/>
                <w:bCs/>
                <w:color w:val="000000"/>
                <w:szCs w:val="21"/>
              </w:rPr>
              <w:t>签字：</w:t>
            </w:r>
          </w:p>
          <w:p>
            <w:pPr>
              <w:spacing w:line="360" w:lineRule="auto"/>
              <w:ind w:firstLine="4578" w:firstLineChars="2180"/>
              <w:jc w:val="left"/>
              <w:rPr>
                <w:rFonts w:ascii="宋体" w:hAnsi="宋体"/>
                <w:bCs/>
                <w:color w:val="000000"/>
                <w:szCs w:val="21"/>
                <w:u w:val="single"/>
              </w:rPr>
            </w:pPr>
            <w:r>
              <w:rPr>
                <w:rFonts w:hint="eastAsia" w:ascii="宋体" w:hAnsi="宋体"/>
                <w:bCs/>
                <w:color w:val="000000"/>
                <w:szCs w:val="21"/>
                <w:u w:val="single"/>
              </w:rPr>
              <w:t>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4" w:type="dxa"/>
            <w:noWrap/>
          </w:tcPr>
          <w:p>
            <w:pPr>
              <w:spacing w:line="360" w:lineRule="auto"/>
              <w:rPr>
                <w:color w:val="000000"/>
              </w:rPr>
            </w:pPr>
            <w:r>
              <w:rPr>
                <w:rFonts w:hint="eastAsia"/>
                <w:color w:val="000000"/>
              </w:rPr>
              <w:t>说明：1.应按本表格式制作，</w:t>
            </w:r>
            <w:r>
              <w:rPr>
                <w:rFonts w:hint="eastAsia"/>
                <w:b/>
                <w:color w:val="000000"/>
                <w:u w:val="single"/>
              </w:rPr>
              <w:t>并在正本中提供原件</w:t>
            </w:r>
            <w:r>
              <w:rPr>
                <w:rFonts w:hint="eastAsia" w:ascii="宋体" w:hAnsi="宋体"/>
                <w:b/>
                <w:color w:val="000000"/>
                <w:u w:val="single"/>
              </w:rPr>
              <w:t>（★未在</w:t>
            </w:r>
            <w:r>
              <w:rPr>
                <w:rFonts w:hint="eastAsia"/>
                <w:b/>
                <w:color w:val="000000"/>
                <w:u w:val="single"/>
              </w:rPr>
              <w:t>正本中提供原件按无效处理</w:t>
            </w:r>
            <w:r>
              <w:rPr>
                <w:rFonts w:hint="eastAsia" w:ascii="宋体" w:hAnsi="宋体"/>
                <w:b/>
                <w:color w:val="000000"/>
                <w:u w:val="single"/>
              </w:rPr>
              <w:t>）</w:t>
            </w:r>
            <w:r>
              <w:rPr>
                <w:rFonts w:hint="eastAsia"/>
                <w:color w:val="000000"/>
              </w:rPr>
              <w:t>。</w:t>
            </w:r>
          </w:p>
          <w:p>
            <w:pPr>
              <w:spacing w:line="360" w:lineRule="auto"/>
              <w:ind w:firstLine="630" w:firstLineChars="300"/>
              <w:rPr>
                <w:color w:val="000000"/>
              </w:rPr>
            </w:pPr>
            <w:r>
              <w:rPr>
                <w:rFonts w:hint="eastAsia"/>
                <w:color w:val="000000"/>
              </w:rPr>
              <w:t>2. 如果是联合体投标，联合体各方均需提供上述证明。</w:t>
            </w:r>
          </w:p>
        </w:tc>
      </w:tr>
    </w:tbl>
    <w:p>
      <w:pPr>
        <w:spacing w:line="276" w:lineRule="auto"/>
        <w:ind w:firstLine="632" w:firstLineChars="301"/>
        <w:jc w:val="left"/>
        <w:rPr>
          <w:rFonts w:ascii="宋体" w:hAnsi="宋体"/>
          <w:color w:val="000000"/>
          <w:szCs w:val="21"/>
        </w:rPr>
      </w:pPr>
    </w:p>
    <w:p>
      <w:pPr>
        <w:spacing w:line="276" w:lineRule="auto"/>
        <w:ind w:firstLine="420" w:firstLineChars="200"/>
        <w:jc w:val="left"/>
        <w:rPr>
          <w:rFonts w:ascii="宋体" w:hAnsi="宋体"/>
          <w:color w:val="000000"/>
        </w:rPr>
      </w:pPr>
      <w:r>
        <w:rPr>
          <w:rFonts w:hint="eastAsia" w:ascii="宋体" w:hAnsi="宋体"/>
          <w:color w:val="000000"/>
          <w:szCs w:val="21"/>
        </w:rPr>
        <w:t>1.6</w:t>
      </w:r>
      <w:r>
        <w:rPr>
          <w:color w:val="000000"/>
          <w:szCs w:val="21"/>
        </w:rPr>
        <w:t>具备法律、行政法规规定的其他条件的证明材料</w:t>
      </w:r>
      <w:r>
        <w:rPr>
          <w:rFonts w:hint="eastAsia" w:ascii="宋体" w:hAnsi="宋体"/>
          <w:color w:val="000000"/>
        </w:rPr>
        <w:t>（按照采购公告的要求提供）</w:t>
      </w:r>
    </w:p>
    <w:p/>
    <w:p/>
    <w:p>
      <w:pPr>
        <w:pStyle w:val="2"/>
      </w:pPr>
    </w:p>
    <w:p>
      <w:pPr>
        <w:pStyle w:val="32"/>
        <w:outlineLvl w:val="9"/>
      </w:pPr>
    </w:p>
    <w:p/>
    <w:p>
      <w:pPr>
        <w:spacing w:line="400" w:lineRule="exact"/>
        <w:ind w:firstLine="420" w:firstLineChars="200"/>
        <w:rPr>
          <w:rFonts w:ascii="宋体" w:hAnsi="宋体" w:cs="宋体"/>
          <w:szCs w:val="21"/>
        </w:rPr>
      </w:pPr>
      <w:r>
        <w:rPr>
          <w:rFonts w:hint="eastAsia" w:ascii="宋体" w:hAnsi="宋体" w:cs="宋体"/>
          <w:szCs w:val="21"/>
        </w:rPr>
        <w:t>2.落实政府采购政策需满足的资格要求：</w:t>
      </w:r>
    </w:p>
    <w:p>
      <w:pPr>
        <w:pStyle w:val="2"/>
      </w:pPr>
    </w:p>
    <w:p>
      <w:pPr>
        <w:pStyle w:val="32"/>
        <w:outlineLvl w:val="9"/>
      </w:pPr>
    </w:p>
    <w:p>
      <w:pPr>
        <w:spacing w:line="400" w:lineRule="exact"/>
        <w:ind w:firstLine="420" w:firstLineChars="200"/>
        <w:jc w:val="left"/>
        <w:rPr>
          <w:rFonts w:ascii="宋体" w:hAnsi="宋体"/>
          <w:szCs w:val="21"/>
        </w:rPr>
      </w:pPr>
      <w:r>
        <w:rPr>
          <w:rFonts w:hint="eastAsia" w:ascii="宋体" w:hAnsi="宋体"/>
          <w:szCs w:val="21"/>
        </w:rPr>
        <w:t>3.本项目的特定资格要求：详见公告。</w:t>
      </w:r>
    </w:p>
    <w:p>
      <w:pPr>
        <w:spacing w:line="400" w:lineRule="exact"/>
        <w:ind w:firstLine="422" w:firstLineChars="200"/>
        <w:jc w:val="left"/>
        <w:rPr>
          <w:rFonts w:ascii="宋体" w:hAnsi="宋体"/>
          <w:b/>
          <w:szCs w:val="21"/>
        </w:rPr>
      </w:pPr>
    </w:p>
    <w:p>
      <w:pPr>
        <w:pStyle w:val="32"/>
        <w:outlineLvl w:val="9"/>
      </w:pPr>
    </w:p>
    <w:p>
      <w:pPr>
        <w:spacing w:line="400" w:lineRule="exact"/>
        <w:ind w:firstLine="420" w:firstLineChars="200"/>
        <w:jc w:val="left"/>
        <w:rPr>
          <w:rFonts w:ascii="宋体" w:hAnsi="宋体"/>
          <w:szCs w:val="21"/>
        </w:rPr>
      </w:pPr>
      <w:r>
        <w:rPr>
          <w:rFonts w:hint="eastAsia" w:ascii="宋体" w:hAnsi="宋体"/>
          <w:szCs w:val="21"/>
        </w:rPr>
        <w:t>4.供应商被“信用中国”网站(www.creditchina.gov.cn)、“中国政府采购网”(www.ccgp.gov.cn)列入失信被执行人、重大税收违法案件当事人名单、政府采购严重违法失信行为记录名单。</w:t>
      </w:r>
    </w:p>
    <w:p>
      <w:pPr>
        <w:widowControl/>
        <w:shd w:val="clear" w:color="auto" w:fill="FFFFFF"/>
        <w:snapToGrid w:val="0"/>
        <w:spacing w:before="312" w:after="156" w:line="360" w:lineRule="auto"/>
        <w:jc w:val="center"/>
        <w:rPr>
          <w:rFonts w:ascii="宋体" w:hAnsi="宋体" w:cs="宋体"/>
          <w:b/>
          <w:kern w:val="0"/>
          <w:szCs w:val="21"/>
        </w:rPr>
      </w:pPr>
    </w:p>
    <w:p>
      <w:pPr>
        <w:widowControl/>
        <w:shd w:val="clear" w:color="auto" w:fill="FFFFFF"/>
        <w:snapToGrid w:val="0"/>
        <w:spacing w:before="312" w:after="156" w:line="360" w:lineRule="auto"/>
        <w:rPr>
          <w:rFonts w:ascii="宋体" w:hAnsi="宋体" w:cs="宋体"/>
          <w:b/>
          <w:kern w:val="0"/>
          <w:szCs w:val="21"/>
        </w:rPr>
      </w:pPr>
    </w:p>
    <w:p>
      <w:pPr>
        <w:widowControl/>
        <w:shd w:val="clear" w:color="auto" w:fill="FFFFFF"/>
        <w:snapToGrid w:val="0"/>
        <w:spacing w:before="312" w:after="156" w:line="360" w:lineRule="auto"/>
        <w:jc w:val="center"/>
        <w:rPr>
          <w:rFonts w:ascii="宋体" w:hAnsi="宋体" w:cs="宋体"/>
          <w:b/>
          <w:kern w:val="0"/>
          <w:szCs w:val="21"/>
        </w:rPr>
      </w:pPr>
    </w:p>
    <w:p>
      <w:pPr>
        <w:widowControl/>
        <w:shd w:val="clear" w:color="auto" w:fill="FFFFFF"/>
        <w:snapToGrid w:val="0"/>
        <w:spacing w:before="312" w:after="156" w:line="360" w:lineRule="auto"/>
        <w:jc w:val="center"/>
        <w:rPr>
          <w:rFonts w:ascii="宋体" w:hAnsi="宋体" w:cs="宋体"/>
          <w:b/>
          <w:kern w:val="0"/>
          <w:szCs w:val="21"/>
        </w:rPr>
      </w:pPr>
    </w:p>
    <w:p>
      <w:pPr>
        <w:widowControl/>
        <w:shd w:val="clear" w:color="auto" w:fill="FFFFFF"/>
        <w:snapToGrid w:val="0"/>
        <w:spacing w:before="312" w:after="156" w:line="360" w:lineRule="auto"/>
        <w:jc w:val="center"/>
        <w:rPr>
          <w:rFonts w:ascii="宋体" w:hAnsi="宋体" w:cs="宋体"/>
          <w:b/>
          <w:kern w:val="0"/>
          <w:szCs w:val="21"/>
        </w:rPr>
      </w:pPr>
    </w:p>
    <w:p>
      <w:pPr>
        <w:widowControl/>
        <w:shd w:val="clear" w:color="auto" w:fill="FFFFFF"/>
        <w:snapToGrid w:val="0"/>
        <w:spacing w:before="312" w:after="156" w:line="360" w:lineRule="auto"/>
        <w:jc w:val="center"/>
        <w:rPr>
          <w:rFonts w:ascii="宋体" w:hAnsi="宋体" w:cs="宋体"/>
          <w:b/>
          <w:kern w:val="0"/>
          <w:szCs w:val="21"/>
        </w:rPr>
      </w:pPr>
    </w:p>
    <w:p>
      <w:pPr>
        <w:widowControl/>
        <w:shd w:val="clear" w:color="auto" w:fill="FFFFFF"/>
        <w:snapToGrid w:val="0"/>
        <w:spacing w:before="312" w:after="156" w:line="360" w:lineRule="auto"/>
        <w:jc w:val="center"/>
        <w:rPr>
          <w:rFonts w:ascii="宋体" w:hAnsi="宋体" w:cs="宋体"/>
          <w:b/>
          <w:kern w:val="0"/>
          <w:szCs w:val="21"/>
        </w:rPr>
      </w:pPr>
    </w:p>
    <w:p>
      <w:pPr>
        <w:widowControl/>
        <w:shd w:val="clear" w:color="auto" w:fill="FFFFFF"/>
        <w:snapToGrid w:val="0"/>
        <w:spacing w:before="312" w:after="156" w:line="360" w:lineRule="auto"/>
        <w:jc w:val="center"/>
        <w:rPr>
          <w:rFonts w:ascii="宋体" w:hAnsi="宋体" w:cs="宋体"/>
          <w:b/>
          <w:kern w:val="0"/>
          <w:szCs w:val="21"/>
        </w:rPr>
      </w:pPr>
    </w:p>
    <w:p>
      <w:pPr>
        <w:widowControl/>
        <w:shd w:val="clear" w:color="auto" w:fill="FFFFFF"/>
        <w:snapToGrid w:val="0"/>
        <w:spacing w:before="312" w:after="156" w:line="360" w:lineRule="auto"/>
        <w:rPr>
          <w:rFonts w:ascii="宋体" w:hAnsi="宋体" w:cs="宋体"/>
          <w:b/>
          <w:kern w:val="0"/>
          <w:szCs w:val="21"/>
        </w:rPr>
      </w:pPr>
    </w:p>
    <w:p>
      <w:pPr>
        <w:widowControl/>
        <w:shd w:val="clear" w:color="auto" w:fill="FFFFFF"/>
        <w:snapToGrid w:val="0"/>
        <w:spacing w:before="312" w:after="156" w:line="360" w:lineRule="auto"/>
        <w:jc w:val="center"/>
        <w:rPr>
          <w:rFonts w:ascii="宋体" w:hAnsi="宋体" w:cs="宋体"/>
          <w:b/>
          <w:kern w:val="0"/>
          <w:sz w:val="28"/>
          <w:szCs w:val="21"/>
        </w:rPr>
      </w:pPr>
    </w:p>
    <w:p>
      <w:pPr>
        <w:widowControl/>
        <w:shd w:val="clear" w:color="auto" w:fill="FFFFFF"/>
        <w:snapToGrid w:val="0"/>
        <w:spacing w:before="312" w:after="156" w:line="360" w:lineRule="auto"/>
        <w:jc w:val="center"/>
        <w:rPr>
          <w:rFonts w:ascii="宋体" w:hAnsi="宋体" w:cs="宋体"/>
          <w:b/>
          <w:kern w:val="0"/>
          <w:sz w:val="28"/>
          <w:szCs w:val="21"/>
        </w:rPr>
      </w:pPr>
    </w:p>
    <w:p>
      <w:pPr>
        <w:widowControl/>
        <w:shd w:val="clear" w:color="auto" w:fill="FFFFFF"/>
        <w:snapToGrid w:val="0"/>
        <w:spacing w:before="312" w:after="156" w:line="360" w:lineRule="auto"/>
        <w:jc w:val="center"/>
        <w:rPr>
          <w:rFonts w:ascii="宋体" w:hAnsi="宋体" w:cs="宋体"/>
          <w:b/>
          <w:kern w:val="0"/>
          <w:sz w:val="28"/>
          <w:szCs w:val="21"/>
        </w:rPr>
      </w:pPr>
    </w:p>
    <w:p>
      <w:pPr>
        <w:widowControl/>
        <w:shd w:val="clear" w:color="auto" w:fill="FFFFFF"/>
        <w:snapToGrid w:val="0"/>
        <w:spacing w:before="312" w:after="156" w:line="360" w:lineRule="auto"/>
        <w:jc w:val="center"/>
        <w:rPr>
          <w:rFonts w:ascii="宋体" w:hAnsi="宋体" w:cs="宋体"/>
          <w:b/>
          <w:kern w:val="0"/>
          <w:sz w:val="28"/>
          <w:szCs w:val="21"/>
        </w:rPr>
      </w:pPr>
    </w:p>
    <w:p>
      <w:pPr>
        <w:pStyle w:val="13"/>
        <w:tabs>
          <w:tab w:val="left" w:pos="5580"/>
        </w:tabs>
        <w:spacing w:line="600" w:lineRule="exact"/>
        <w:rPr>
          <w:rFonts w:hAnsi="宋体" w:cs="宋体"/>
          <w:b/>
          <w:color w:val="000000"/>
          <w:sz w:val="28"/>
          <w:szCs w:val="28"/>
        </w:rPr>
      </w:pPr>
    </w:p>
    <w:p>
      <w:pPr>
        <w:pStyle w:val="13"/>
        <w:tabs>
          <w:tab w:val="left" w:pos="5580"/>
        </w:tabs>
        <w:spacing w:line="600" w:lineRule="exact"/>
        <w:ind w:left="1080" w:leftChars="257" w:hanging="540"/>
        <w:jc w:val="center"/>
        <w:outlineLvl w:val="1"/>
        <w:rPr>
          <w:rFonts w:hAnsi="宋体" w:cs="宋体"/>
          <w:b/>
          <w:color w:val="000000"/>
          <w:sz w:val="28"/>
          <w:szCs w:val="28"/>
        </w:rPr>
      </w:pPr>
      <w:bookmarkStart w:id="186" w:name="_Toc122338105"/>
      <w:r>
        <w:rPr>
          <w:rFonts w:hint="eastAsia" w:hAnsi="宋体" w:cs="宋体"/>
          <w:b/>
          <w:color w:val="000000"/>
          <w:sz w:val="28"/>
          <w:szCs w:val="28"/>
        </w:rPr>
        <w:t>三、法定代表人授权委托书(格式）</w:t>
      </w:r>
      <w:bookmarkEnd w:id="186"/>
    </w:p>
    <w:p>
      <w:pPr>
        <w:pStyle w:val="5"/>
        <w:spacing w:line="600" w:lineRule="exact"/>
        <w:ind w:firstLine="0"/>
        <w:jc w:val="center"/>
        <w:rPr>
          <w:rFonts w:ascii="宋体" w:hAnsi="宋体" w:cs="宋体"/>
          <w:b/>
          <w:color w:val="000000"/>
          <w:sz w:val="21"/>
          <w:szCs w:val="21"/>
        </w:rPr>
      </w:pPr>
      <w:r>
        <w:rPr>
          <w:rFonts w:hint="eastAsia" w:ascii="宋体" w:hAnsi="宋体" w:cs="宋体"/>
          <w:b/>
          <w:color w:val="000000"/>
          <w:sz w:val="21"/>
          <w:szCs w:val="21"/>
        </w:rPr>
        <w:t>（自然人投标的无需提供）</w:t>
      </w:r>
    </w:p>
    <w:p>
      <w:pPr>
        <w:pStyle w:val="5"/>
        <w:spacing w:line="600" w:lineRule="exact"/>
        <w:ind w:firstLine="0"/>
        <w:jc w:val="center"/>
        <w:rPr>
          <w:rFonts w:ascii="宋体" w:hAnsi="宋体" w:cs="宋体"/>
          <w:b/>
          <w:color w:val="000000"/>
          <w:sz w:val="21"/>
          <w:szCs w:val="21"/>
        </w:rPr>
      </w:pPr>
    </w:p>
    <w:p>
      <w:pPr>
        <w:spacing w:line="600" w:lineRule="exact"/>
        <w:ind w:firstLine="420" w:firstLineChars="200"/>
        <w:rPr>
          <w:rFonts w:ascii="宋体" w:hAnsi="宋体" w:cs="宋体"/>
          <w:color w:val="000000"/>
          <w:szCs w:val="21"/>
        </w:rPr>
      </w:pPr>
      <w:r>
        <w:rPr>
          <w:rFonts w:hint="eastAsia" w:ascii="宋体" w:hAnsi="宋体" w:cs="宋体"/>
          <w:color w:val="000000"/>
          <w:szCs w:val="21"/>
        </w:rPr>
        <w:t>本授权书声明：注册于</w:t>
      </w:r>
      <w:r>
        <w:rPr>
          <w:rFonts w:hint="eastAsia" w:ascii="宋体" w:hAnsi="宋体" w:cs="宋体"/>
          <w:b/>
          <w:i/>
          <w:color w:val="000000"/>
          <w:szCs w:val="21"/>
          <w:u w:val="single"/>
        </w:rPr>
        <w:t xml:space="preserve">           （地区的名称。例：江苏盐城）</w:t>
      </w:r>
      <w:r>
        <w:rPr>
          <w:rFonts w:hint="eastAsia" w:ascii="宋体" w:hAnsi="宋体" w:cs="宋体"/>
          <w:color w:val="000000"/>
          <w:szCs w:val="21"/>
        </w:rPr>
        <w:t>的</w:t>
      </w:r>
      <w:r>
        <w:rPr>
          <w:rFonts w:hint="eastAsia" w:ascii="宋体" w:hAnsi="宋体" w:cs="宋体"/>
          <w:b/>
          <w:i/>
          <w:color w:val="000000"/>
          <w:szCs w:val="21"/>
          <w:u w:val="single"/>
        </w:rPr>
        <w:t xml:space="preserve">           （供应商）</w:t>
      </w:r>
      <w:r>
        <w:rPr>
          <w:rFonts w:hint="eastAsia" w:ascii="宋体" w:hAnsi="宋体" w:cs="宋体"/>
          <w:color w:val="000000"/>
          <w:szCs w:val="21"/>
        </w:rPr>
        <w:t>的在下面签字的</w:t>
      </w:r>
      <w:r>
        <w:rPr>
          <w:rFonts w:hint="eastAsia" w:ascii="宋体" w:hAnsi="宋体" w:cs="宋体"/>
          <w:b/>
          <w:i/>
          <w:color w:val="000000"/>
          <w:szCs w:val="21"/>
          <w:u w:val="single"/>
        </w:rPr>
        <w:t xml:space="preserve">         （法人代表姓名、职务）</w:t>
      </w:r>
      <w:r>
        <w:rPr>
          <w:rFonts w:hint="eastAsia" w:ascii="宋体" w:hAnsi="宋体" w:cs="宋体"/>
          <w:color w:val="000000"/>
          <w:szCs w:val="21"/>
        </w:rPr>
        <w:t>代表我单位授权</w:t>
      </w:r>
      <w:r>
        <w:rPr>
          <w:rFonts w:hint="eastAsia" w:ascii="宋体" w:hAnsi="宋体" w:cs="宋体"/>
          <w:b/>
          <w:i/>
          <w:color w:val="000000"/>
          <w:szCs w:val="21"/>
          <w:u w:val="single"/>
        </w:rPr>
        <w:t xml:space="preserve">                   （单位名称）</w:t>
      </w:r>
      <w:r>
        <w:rPr>
          <w:rFonts w:hint="eastAsia" w:ascii="宋体" w:hAnsi="宋体" w:cs="宋体"/>
          <w:color w:val="000000"/>
          <w:szCs w:val="21"/>
        </w:rPr>
        <w:t>的在下面签字的</w:t>
      </w:r>
      <w:r>
        <w:rPr>
          <w:rFonts w:hint="eastAsia" w:ascii="宋体" w:hAnsi="宋体" w:cs="宋体"/>
          <w:b/>
          <w:i/>
          <w:color w:val="000000"/>
          <w:szCs w:val="21"/>
          <w:u w:val="single"/>
        </w:rPr>
        <w:t xml:space="preserve">                （被授权人的姓名、职务）</w:t>
      </w:r>
      <w:r>
        <w:rPr>
          <w:rFonts w:hint="eastAsia" w:ascii="宋体" w:hAnsi="宋体" w:cs="宋体"/>
          <w:color w:val="000000"/>
          <w:szCs w:val="21"/>
        </w:rPr>
        <w:t>为我单位的合法代理人</w:t>
      </w:r>
      <w:r>
        <w:rPr>
          <w:rFonts w:hint="eastAsia" w:ascii="宋体" w:hAnsi="宋体"/>
          <w:color w:val="000000"/>
          <w:szCs w:val="21"/>
        </w:rPr>
        <w:t>（授权代表）</w:t>
      </w:r>
      <w:r>
        <w:rPr>
          <w:rFonts w:hint="eastAsia" w:ascii="宋体" w:hAnsi="宋体" w:cs="宋体"/>
          <w:color w:val="000000"/>
          <w:szCs w:val="21"/>
        </w:rPr>
        <w:t>，就</w:t>
      </w:r>
      <w:r>
        <w:rPr>
          <w:rFonts w:hint="eastAsia" w:ascii="宋体" w:hAnsi="宋体" w:cs="宋体"/>
          <w:b/>
          <w:i/>
          <w:color w:val="000000"/>
          <w:szCs w:val="21"/>
          <w:u w:val="single"/>
        </w:rPr>
        <w:t xml:space="preserve">             （项目名称）</w:t>
      </w:r>
      <w:r>
        <w:rPr>
          <w:rFonts w:hint="eastAsia" w:ascii="宋体" w:hAnsi="宋体" w:cs="宋体"/>
          <w:color w:val="000000"/>
          <w:szCs w:val="21"/>
        </w:rPr>
        <w:t>的投标（响应），以我单位名义处理一切与之有关的事务。</w:t>
      </w:r>
    </w:p>
    <w:p>
      <w:pPr>
        <w:spacing w:line="600" w:lineRule="exact"/>
        <w:ind w:firstLine="420" w:firstLineChars="200"/>
        <w:rPr>
          <w:rFonts w:ascii="宋体" w:hAnsi="宋体" w:cs="宋体"/>
          <w:color w:val="000000"/>
          <w:szCs w:val="21"/>
        </w:rPr>
      </w:pPr>
      <w:r>
        <w:rPr>
          <w:rFonts w:hint="eastAsia" w:ascii="宋体" w:hAnsi="宋体" w:cs="宋体"/>
          <w:color w:val="000000"/>
          <w:szCs w:val="21"/>
        </w:rPr>
        <w:t>本授权书于</w:t>
      </w:r>
      <w:r>
        <w:rPr>
          <w:rFonts w:hint="eastAsia" w:ascii="宋体" w:hAnsi="宋体" w:cs="宋体"/>
          <w:color w:val="000000"/>
          <w:szCs w:val="21"/>
          <w:u w:val="single"/>
        </w:rPr>
        <w:t xml:space="preserve">           年     月     </w:t>
      </w:r>
      <w:r>
        <w:rPr>
          <w:rFonts w:hint="eastAsia" w:ascii="宋体" w:hAnsi="宋体" w:cs="宋体"/>
          <w:color w:val="000000"/>
          <w:szCs w:val="21"/>
        </w:rPr>
        <w:t>日签字生效,特此声明。</w:t>
      </w:r>
    </w:p>
    <w:p>
      <w:pPr>
        <w:spacing w:line="600" w:lineRule="exact"/>
        <w:ind w:firstLine="420" w:firstLineChars="200"/>
        <w:rPr>
          <w:rFonts w:ascii="宋体" w:hAnsi="宋体" w:cs="宋体"/>
          <w:color w:val="000000"/>
          <w:szCs w:val="21"/>
        </w:rPr>
      </w:pPr>
      <w:r>
        <w:rPr>
          <w:rFonts w:hint="eastAsia" w:ascii="宋体" w:hAnsi="宋体" w:cs="宋体"/>
          <w:color w:val="000000"/>
          <w:szCs w:val="21"/>
        </w:rPr>
        <w:t>供应商（盖单位章）：</w:t>
      </w:r>
    </w:p>
    <w:p>
      <w:pPr>
        <w:spacing w:line="600" w:lineRule="exact"/>
        <w:ind w:firstLine="420" w:firstLineChars="200"/>
        <w:rPr>
          <w:rFonts w:ascii="宋体" w:hAnsi="宋体" w:cs="宋体"/>
          <w:color w:val="000000"/>
          <w:szCs w:val="21"/>
        </w:rPr>
      </w:pPr>
      <w:r>
        <w:rPr>
          <w:rFonts w:hint="eastAsia" w:ascii="宋体" w:hAnsi="宋体" w:cs="宋体"/>
          <w:color w:val="000000"/>
          <w:szCs w:val="21"/>
        </w:rPr>
        <w:t>法定代表人（签字或签章）：</w:t>
      </w:r>
    </w:p>
    <w:p>
      <w:pPr>
        <w:spacing w:line="600" w:lineRule="exact"/>
        <w:ind w:firstLine="420" w:firstLineChars="200"/>
        <w:rPr>
          <w:rFonts w:ascii="宋体" w:hAnsi="宋体" w:cs="宋体"/>
          <w:color w:val="000000"/>
          <w:szCs w:val="21"/>
        </w:rPr>
      </w:pPr>
      <w:r>
        <w:rPr>
          <w:rFonts w:hint="eastAsia" w:ascii="宋体" w:hAnsi="宋体" w:cs="宋体"/>
          <w:color w:val="000000"/>
          <w:szCs w:val="21"/>
        </w:rPr>
        <w:t>委托代理人（签字或签章）：</w:t>
      </w:r>
    </w:p>
    <w:p>
      <w:pPr>
        <w:spacing w:line="600" w:lineRule="exact"/>
        <w:ind w:firstLine="420" w:firstLineChars="200"/>
        <w:rPr>
          <w:rFonts w:ascii="宋体" w:hAnsi="宋体" w:cs="宋体"/>
          <w:color w:val="000000"/>
          <w:szCs w:val="21"/>
        </w:rPr>
      </w:pPr>
      <w:r>
        <w:rPr>
          <w:rFonts w:hint="eastAsia" w:ascii="宋体" w:hAnsi="宋体" w:cs="宋体"/>
          <w:color w:val="000000"/>
          <w:szCs w:val="21"/>
        </w:rPr>
        <w:t>日        期：</w:t>
      </w:r>
    </w:p>
    <w:p>
      <w:pPr>
        <w:spacing w:line="600" w:lineRule="exact"/>
        <w:ind w:firstLine="420" w:firstLineChars="200"/>
        <w:jc w:val="center"/>
        <w:rPr>
          <w:rFonts w:ascii="宋体" w:hAnsi="宋体" w:cs="宋体"/>
          <w:color w:val="000000"/>
          <w:szCs w:val="21"/>
        </w:rPr>
      </w:pP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70"/>
        <w:gridCol w:w="48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487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color w:val="000000"/>
                <w:sz w:val="24"/>
              </w:rPr>
            </w:pPr>
            <w:r>
              <w:rPr>
                <w:rFonts w:hint="eastAsia" w:ascii="宋体" w:hAnsi="宋体"/>
                <w:b/>
                <w:color w:val="000000"/>
                <w:sz w:val="24"/>
              </w:rPr>
              <w:t>法定代表人有效身份证明</w:t>
            </w:r>
          </w:p>
        </w:tc>
        <w:tc>
          <w:tcPr>
            <w:tcW w:w="4871"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color w:val="000000"/>
                <w:sz w:val="24"/>
              </w:rPr>
            </w:pPr>
            <w:r>
              <w:rPr>
                <w:rFonts w:hint="eastAsia" w:ascii="宋体" w:hAnsi="宋体"/>
                <w:b/>
                <w:color w:val="000000"/>
                <w:sz w:val="24"/>
              </w:rPr>
              <w:t>委托代理人（</w:t>
            </w:r>
            <w:r>
              <w:rPr>
                <w:rFonts w:hint="eastAsia" w:ascii="宋体" w:hAnsi="宋体" w:cs="宋体"/>
                <w:b/>
                <w:color w:val="000000"/>
                <w:sz w:val="24"/>
              </w:rPr>
              <w:t>被授权人</w:t>
            </w:r>
            <w:r>
              <w:rPr>
                <w:rFonts w:hint="eastAsia" w:ascii="宋体" w:hAnsi="宋体"/>
                <w:b/>
                <w:color w:val="000000"/>
                <w:sz w:val="24"/>
              </w:rPr>
              <w:t>）有效身份证明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4" w:hRule="atLeast"/>
          <w:jc w:val="center"/>
        </w:trPr>
        <w:tc>
          <w:tcPr>
            <w:tcW w:w="487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i/>
                <w:color w:val="000000"/>
              </w:rPr>
            </w:pPr>
            <w:r>
              <w:rPr>
                <w:rFonts w:hint="eastAsia" w:ascii="宋体" w:hAnsi="宋体"/>
                <w:i/>
                <w:color w:val="000000"/>
              </w:rPr>
              <w:t>（身份证复印件粘贴处）</w:t>
            </w:r>
          </w:p>
          <w:p>
            <w:pPr>
              <w:jc w:val="center"/>
              <w:rPr>
                <w:rFonts w:ascii="宋体" w:hAnsi="宋体"/>
                <w:i/>
                <w:color w:val="000000"/>
              </w:rPr>
            </w:pPr>
          </w:p>
          <w:p>
            <w:pPr>
              <w:jc w:val="center"/>
              <w:rPr>
                <w:rFonts w:ascii="宋体" w:hAnsi="宋体"/>
                <w:i/>
                <w:color w:val="000000"/>
              </w:rPr>
            </w:pPr>
            <w:r>
              <w:rPr>
                <w:rFonts w:hint="eastAsia" w:ascii="宋体" w:hAnsi="宋体"/>
                <w:i/>
                <w:color w:val="000000"/>
              </w:rPr>
              <w:t>（可电子粘贴）</w:t>
            </w:r>
          </w:p>
          <w:p>
            <w:pPr>
              <w:jc w:val="center"/>
              <w:rPr>
                <w:rFonts w:ascii="宋体" w:hAnsi="宋体"/>
                <w:i/>
                <w:color w:val="000000"/>
              </w:rPr>
            </w:pPr>
          </w:p>
          <w:p>
            <w:pPr>
              <w:jc w:val="center"/>
              <w:rPr>
                <w:rFonts w:ascii="宋体" w:hAnsi="宋体"/>
                <w:i/>
                <w:color w:val="000000"/>
              </w:rPr>
            </w:pPr>
            <w:r>
              <w:rPr>
                <w:rFonts w:hint="eastAsia" w:ascii="宋体" w:hAnsi="宋体"/>
                <w:i/>
                <w:color w:val="000000"/>
              </w:rPr>
              <w:t>（证明材料可另页，不限于本框内）</w:t>
            </w:r>
          </w:p>
        </w:tc>
        <w:tc>
          <w:tcPr>
            <w:tcW w:w="4871"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i/>
                <w:color w:val="000000"/>
              </w:rPr>
            </w:pPr>
            <w:r>
              <w:rPr>
                <w:rFonts w:hint="eastAsia" w:ascii="宋体" w:hAnsi="宋体"/>
                <w:i/>
                <w:color w:val="000000"/>
              </w:rPr>
              <w:t>（身份证复印件粘贴处）</w:t>
            </w:r>
          </w:p>
          <w:p>
            <w:pPr>
              <w:jc w:val="center"/>
              <w:rPr>
                <w:rFonts w:ascii="宋体" w:hAnsi="宋体"/>
                <w:i/>
                <w:color w:val="000000"/>
              </w:rPr>
            </w:pPr>
          </w:p>
          <w:p>
            <w:pPr>
              <w:jc w:val="center"/>
              <w:rPr>
                <w:rFonts w:ascii="宋体" w:hAnsi="宋体"/>
                <w:i/>
                <w:color w:val="000000"/>
              </w:rPr>
            </w:pPr>
            <w:r>
              <w:rPr>
                <w:rFonts w:hint="eastAsia" w:ascii="宋体" w:hAnsi="宋体"/>
                <w:i/>
                <w:color w:val="000000"/>
              </w:rPr>
              <w:t>（可电子粘贴）</w:t>
            </w:r>
          </w:p>
          <w:p>
            <w:pPr>
              <w:jc w:val="center"/>
              <w:rPr>
                <w:rFonts w:ascii="宋体" w:hAnsi="宋体"/>
                <w:i/>
                <w:color w:val="000000"/>
              </w:rPr>
            </w:pPr>
          </w:p>
          <w:p>
            <w:pPr>
              <w:jc w:val="center"/>
              <w:rPr>
                <w:rFonts w:ascii="宋体" w:hAnsi="宋体"/>
                <w:i/>
                <w:color w:val="000000"/>
              </w:rPr>
            </w:pPr>
            <w:r>
              <w:rPr>
                <w:rFonts w:hint="eastAsia" w:ascii="宋体" w:hAnsi="宋体"/>
                <w:i/>
                <w:color w:val="000000"/>
              </w:rPr>
              <w:t>（证明材料可另页，不限于本框内）</w:t>
            </w:r>
          </w:p>
        </w:tc>
      </w:tr>
    </w:tbl>
    <w:p>
      <w:pPr>
        <w:pStyle w:val="5"/>
        <w:spacing w:line="600" w:lineRule="exact"/>
        <w:ind w:firstLine="0"/>
        <w:jc w:val="center"/>
        <w:rPr>
          <w:rFonts w:ascii="宋体" w:hAnsi="宋体" w:cs="宋体"/>
          <w:b/>
          <w:i/>
          <w:color w:val="000000"/>
          <w:sz w:val="21"/>
          <w:szCs w:val="21"/>
          <w:u w:val="single"/>
        </w:rPr>
      </w:pPr>
      <w:r>
        <w:rPr>
          <w:rFonts w:hint="eastAsia" w:ascii="宋体" w:hAnsi="宋体" w:cs="宋体"/>
          <w:b/>
          <w:color w:val="000000"/>
          <w:sz w:val="21"/>
          <w:szCs w:val="21"/>
          <w:u w:val="single"/>
        </w:rPr>
        <w:t>（备注：如供应商组成联合体参加投标，则联合体各方均须加盖公章）</w:t>
      </w:r>
    </w:p>
    <w:p>
      <w:pPr>
        <w:pStyle w:val="2"/>
        <w:spacing w:line="240" w:lineRule="exact"/>
        <w:rPr>
          <w:color w:val="000000"/>
        </w:rPr>
      </w:pPr>
    </w:p>
    <w:p>
      <w:pPr>
        <w:spacing w:line="360" w:lineRule="auto"/>
        <w:jc w:val="center"/>
        <w:rPr>
          <w:rFonts w:ascii="宋体" w:hAnsi="宋体" w:cs="宋体"/>
          <w:b/>
          <w:color w:val="000000"/>
          <w:sz w:val="28"/>
          <w:szCs w:val="28"/>
        </w:rPr>
      </w:pPr>
    </w:p>
    <w:p>
      <w:pPr>
        <w:spacing w:line="360" w:lineRule="auto"/>
        <w:jc w:val="center"/>
        <w:rPr>
          <w:rFonts w:ascii="宋体" w:hAnsi="宋体" w:cs="宋体"/>
          <w:b/>
          <w:color w:val="000000"/>
          <w:sz w:val="28"/>
          <w:szCs w:val="28"/>
        </w:rPr>
      </w:pPr>
    </w:p>
    <w:p>
      <w:pPr>
        <w:spacing w:line="360" w:lineRule="auto"/>
        <w:jc w:val="center"/>
        <w:outlineLvl w:val="1"/>
        <w:rPr>
          <w:rFonts w:ascii="宋体" w:hAnsi="宋体" w:cs="宋体"/>
          <w:b/>
          <w:color w:val="000000"/>
          <w:sz w:val="28"/>
          <w:szCs w:val="28"/>
        </w:rPr>
      </w:pPr>
      <w:bookmarkStart w:id="187" w:name="_Toc122338106"/>
      <w:r>
        <w:rPr>
          <w:rFonts w:hint="eastAsia" w:ascii="宋体" w:hAnsi="宋体" w:cs="宋体"/>
          <w:b/>
          <w:color w:val="000000"/>
          <w:sz w:val="28"/>
          <w:szCs w:val="28"/>
        </w:rPr>
        <w:t>四、投标（响应）书（格式）</w:t>
      </w:r>
      <w:bookmarkEnd w:id="187"/>
    </w:p>
    <w:p>
      <w:pPr>
        <w:pStyle w:val="2"/>
        <w:spacing w:line="240" w:lineRule="exact"/>
        <w:rPr>
          <w:rFonts w:ascii="宋体" w:hAnsi="宋体" w:cs="宋体"/>
          <w:b/>
          <w:color w:val="000000"/>
          <w:szCs w:val="28"/>
        </w:rPr>
      </w:pPr>
    </w:p>
    <w:p>
      <w:pPr>
        <w:spacing w:line="360" w:lineRule="auto"/>
        <w:rPr>
          <w:rFonts w:ascii="宋体" w:hAnsi="宋体" w:cs="宋体"/>
          <w:b/>
          <w:color w:val="000000"/>
          <w:szCs w:val="21"/>
          <w:u w:val="single"/>
        </w:rPr>
      </w:pPr>
      <w:r>
        <w:rPr>
          <w:rFonts w:hint="eastAsia" w:ascii="宋体" w:hAnsi="宋体" w:cs="宋体"/>
          <w:b/>
          <w:color w:val="000000"/>
          <w:szCs w:val="21"/>
          <w:u w:val="single"/>
        </w:rPr>
        <w:t xml:space="preserve">致：    </w:t>
      </w:r>
      <w:r>
        <w:rPr>
          <w:rFonts w:hint="eastAsia" w:ascii="宋体" w:hAnsi="宋体" w:cs="宋体"/>
          <w:b/>
          <w:i/>
          <w:color w:val="000000"/>
          <w:szCs w:val="21"/>
          <w:u w:val="single"/>
        </w:rPr>
        <w:t>(</w:t>
      </w:r>
      <w:r>
        <w:rPr>
          <w:rFonts w:hint="eastAsia" w:ascii="宋体" w:hAnsi="宋体" w:cs="仿宋"/>
          <w:b/>
          <w:i/>
          <w:color w:val="000000"/>
          <w:kern w:val="0"/>
          <w:szCs w:val="21"/>
          <w:u w:val="single"/>
        </w:rPr>
        <w:t>采购人或携手阳光公司的名称</w:t>
      </w:r>
      <w:r>
        <w:rPr>
          <w:rFonts w:hint="eastAsia" w:ascii="宋体" w:hAnsi="宋体" w:cs="宋体"/>
          <w:b/>
          <w:i/>
          <w:color w:val="000000"/>
          <w:szCs w:val="21"/>
          <w:u w:val="single"/>
        </w:rPr>
        <w:t>)</w:t>
      </w:r>
    </w:p>
    <w:p>
      <w:pPr>
        <w:pStyle w:val="13"/>
        <w:tabs>
          <w:tab w:val="left" w:pos="5580"/>
        </w:tabs>
        <w:spacing w:line="360" w:lineRule="auto"/>
        <w:ind w:firstLine="420" w:firstLineChars="200"/>
        <w:rPr>
          <w:rFonts w:hAnsi="宋体" w:cs="宋体"/>
          <w:color w:val="000000"/>
          <w:sz w:val="21"/>
          <w:szCs w:val="21"/>
        </w:rPr>
      </w:pPr>
      <w:r>
        <w:rPr>
          <w:rFonts w:hint="eastAsia" w:hAnsi="宋体" w:cs="宋体"/>
          <w:color w:val="000000"/>
          <w:sz w:val="21"/>
          <w:szCs w:val="21"/>
        </w:rPr>
        <w:t>根据贵方</w:t>
      </w:r>
      <w:r>
        <w:rPr>
          <w:rFonts w:hint="eastAsia" w:hAnsi="宋体" w:cs="宋体"/>
          <w:b/>
          <w:i/>
          <w:color w:val="000000"/>
          <w:sz w:val="21"/>
          <w:szCs w:val="21"/>
          <w:u w:val="single"/>
        </w:rPr>
        <w:t xml:space="preserve"> (项目名称)</w:t>
      </w:r>
      <w:r>
        <w:rPr>
          <w:rFonts w:hint="eastAsia" w:hAnsi="宋体" w:cs="宋体"/>
          <w:color w:val="000000"/>
          <w:sz w:val="21"/>
          <w:szCs w:val="21"/>
        </w:rPr>
        <w:t>项目的投标邀请</w:t>
      </w:r>
      <w:r>
        <w:rPr>
          <w:rFonts w:hint="eastAsia" w:hAnsi="宋体" w:cs="宋体"/>
          <w:b/>
          <w:i/>
          <w:color w:val="000000"/>
          <w:sz w:val="21"/>
          <w:szCs w:val="21"/>
          <w:u w:val="single"/>
        </w:rPr>
        <w:t>(采购编号)</w:t>
      </w:r>
      <w:r>
        <w:rPr>
          <w:rFonts w:hint="eastAsia" w:hAnsi="宋体" w:cs="宋体"/>
          <w:color w:val="000000"/>
          <w:sz w:val="21"/>
          <w:szCs w:val="21"/>
        </w:rPr>
        <w:t>,签字代表</w:t>
      </w:r>
      <w:r>
        <w:rPr>
          <w:rFonts w:hint="eastAsia" w:hAnsi="宋体" w:cs="宋体"/>
          <w:b/>
          <w:i/>
          <w:color w:val="000000"/>
          <w:sz w:val="21"/>
          <w:szCs w:val="21"/>
          <w:u w:val="single"/>
        </w:rPr>
        <w:t>(姓名、职务)</w:t>
      </w:r>
      <w:r>
        <w:rPr>
          <w:rFonts w:hint="eastAsia" w:hAnsi="宋体" w:cs="宋体"/>
          <w:color w:val="000000"/>
          <w:sz w:val="21"/>
          <w:szCs w:val="21"/>
        </w:rPr>
        <w:t>经正式授权并代表供应商</w:t>
      </w:r>
      <w:r>
        <w:rPr>
          <w:rFonts w:hint="eastAsia" w:hAnsi="宋体" w:cs="宋体"/>
          <w:b/>
          <w:i/>
          <w:color w:val="000000"/>
          <w:sz w:val="21"/>
          <w:szCs w:val="21"/>
          <w:u w:val="single"/>
        </w:rPr>
        <w:t>（供应商名称）</w:t>
      </w:r>
      <w:r>
        <w:rPr>
          <w:rFonts w:hint="eastAsia" w:hAnsi="宋体" w:cs="宋体"/>
          <w:color w:val="000000"/>
          <w:sz w:val="21"/>
          <w:szCs w:val="21"/>
        </w:rPr>
        <w:t>提交下述文件正本</w:t>
      </w:r>
      <w:r>
        <w:rPr>
          <w:rFonts w:hint="eastAsia" w:hAnsi="宋体" w:cs="宋体"/>
          <w:b/>
          <w:color w:val="000000"/>
          <w:sz w:val="21"/>
          <w:szCs w:val="21"/>
          <w:u w:val="single"/>
        </w:rPr>
        <w:t>1</w:t>
      </w:r>
      <w:r>
        <w:rPr>
          <w:rFonts w:hint="eastAsia" w:hAnsi="宋体" w:cs="宋体"/>
          <w:color w:val="000000"/>
          <w:sz w:val="21"/>
          <w:szCs w:val="21"/>
        </w:rPr>
        <w:t>份、副本</w:t>
      </w:r>
      <w:r>
        <w:rPr>
          <w:rFonts w:hint="eastAsia" w:hAnsi="宋体" w:cs="宋体"/>
          <w:b/>
          <w:color w:val="000000"/>
          <w:sz w:val="21"/>
          <w:szCs w:val="21"/>
        </w:rPr>
        <w:t>份</w:t>
      </w:r>
      <w:r>
        <w:rPr>
          <w:rFonts w:hint="eastAsia" w:hAnsi="宋体" w:cs="宋体"/>
          <w:color w:val="000000"/>
          <w:sz w:val="21"/>
          <w:szCs w:val="21"/>
        </w:rPr>
        <w:t>。</w:t>
      </w:r>
    </w:p>
    <w:p>
      <w:pPr>
        <w:pStyle w:val="13"/>
        <w:tabs>
          <w:tab w:val="left" w:pos="5580"/>
        </w:tabs>
        <w:spacing w:line="360" w:lineRule="auto"/>
        <w:ind w:firstLine="422" w:firstLineChars="200"/>
        <w:rPr>
          <w:rFonts w:hAnsi="宋体" w:cs="宋体"/>
          <w:b/>
          <w:color w:val="000000"/>
          <w:sz w:val="21"/>
          <w:szCs w:val="21"/>
        </w:rPr>
      </w:pPr>
      <w:r>
        <w:rPr>
          <w:rFonts w:hint="eastAsia" w:hAnsi="宋体" w:cs="宋体"/>
          <w:b/>
          <w:color w:val="000000"/>
          <w:sz w:val="21"/>
          <w:szCs w:val="21"/>
        </w:rPr>
        <w:t>据此，签字代表宣布同意如下：</w:t>
      </w:r>
    </w:p>
    <w:p>
      <w:pPr>
        <w:pStyle w:val="13"/>
        <w:tabs>
          <w:tab w:val="left" w:pos="5580"/>
        </w:tabs>
        <w:spacing w:line="360" w:lineRule="auto"/>
        <w:ind w:firstLine="420" w:firstLineChars="200"/>
        <w:rPr>
          <w:rFonts w:hAnsi="宋体" w:cs="宋体"/>
          <w:color w:val="000000"/>
          <w:spacing w:val="15"/>
          <w:sz w:val="21"/>
          <w:szCs w:val="21"/>
          <w:u w:val="single"/>
        </w:rPr>
      </w:pPr>
      <w:r>
        <w:rPr>
          <w:rFonts w:hint="eastAsia" w:hAnsi="宋体" w:cs="宋体"/>
          <w:color w:val="000000"/>
          <w:sz w:val="21"/>
          <w:szCs w:val="21"/>
        </w:rPr>
        <w:t>（1）</w:t>
      </w:r>
      <w:r>
        <w:rPr>
          <w:rFonts w:hint="eastAsia" w:hAnsi="宋体"/>
          <w:color w:val="000000"/>
          <w:sz w:val="21"/>
          <w:szCs w:val="21"/>
        </w:rPr>
        <w:t>附投标价格表中规定的应提供产品（货物、服务、工程）</w:t>
      </w:r>
      <w:r>
        <w:rPr>
          <w:rFonts w:hAnsi="宋体"/>
          <w:color w:val="000000"/>
          <w:sz w:val="21"/>
          <w:szCs w:val="21"/>
        </w:rPr>
        <w:t>的</w:t>
      </w:r>
      <w:r>
        <w:rPr>
          <w:rFonts w:hint="eastAsia" w:hAnsi="宋体"/>
          <w:color w:val="000000"/>
          <w:sz w:val="21"/>
          <w:szCs w:val="21"/>
        </w:rPr>
        <w:t>投标总价详见报价一览表。</w:t>
      </w:r>
    </w:p>
    <w:p>
      <w:pPr>
        <w:pStyle w:val="13"/>
        <w:tabs>
          <w:tab w:val="left" w:pos="5580"/>
        </w:tabs>
        <w:spacing w:line="360" w:lineRule="auto"/>
        <w:ind w:firstLine="420" w:firstLineChars="200"/>
        <w:rPr>
          <w:rFonts w:hAnsi="宋体" w:cs="宋体"/>
          <w:color w:val="000000"/>
          <w:sz w:val="21"/>
          <w:szCs w:val="21"/>
        </w:rPr>
      </w:pPr>
      <w:r>
        <w:rPr>
          <w:rFonts w:hint="eastAsia" w:hAnsi="宋体" w:cs="宋体"/>
          <w:color w:val="000000"/>
          <w:sz w:val="21"/>
          <w:szCs w:val="21"/>
        </w:rPr>
        <w:t>（2）本投标有效期为自</w:t>
      </w:r>
      <w:r>
        <w:rPr>
          <w:rFonts w:hint="eastAsia" w:hAnsi="宋体"/>
          <w:color w:val="000000"/>
          <w:sz w:val="21"/>
          <w:szCs w:val="21"/>
        </w:rPr>
        <w:t>提交响应文件截止之日</w:t>
      </w:r>
      <w:r>
        <w:rPr>
          <w:rFonts w:hint="eastAsia" w:hAnsi="宋体" w:cs="宋体"/>
          <w:color w:val="000000"/>
          <w:sz w:val="21"/>
          <w:szCs w:val="21"/>
        </w:rPr>
        <w:t>起</w:t>
      </w:r>
      <w:r>
        <w:rPr>
          <w:rFonts w:hint="eastAsia" w:hAnsi="宋体" w:cs="宋体"/>
          <w:color w:val="000000"/>
          <w:sz w:val="21"/>
          <w:szCs w:val="21"/>
          <w:u w:val="single"/>
        </w:rPr>
        <w:t>60</w:t>
      </w:r>
      <w:r>
        <w:rPr>
          <w:rFonts w:hint="eastAsia" w:hAnsi="宋体" w:cs="宋体"/>
          <w:color w:val="000000"/>
          <w:sz w:val="21"/>
          <w:szCs w:val="21"/>
        </w:rPr>
        <w:t>个日历日。</w:t>
      </w:r>
    </w:p>
    <w:p>
      <w:pPr>
        <w:pStyle w:val="13"/>
        <w:tabs>
          <w:tab w:val="left" w:pos="5580"/>
        </w:tabs>
        <w:spacing w:line="360" w:lineRule="auto"/>
        <w:ind w:firstLine="420" w:firstLineChars="200"/>
        <w:rPr>
          <w:rFonts w:hAnsi="宋体" w:cs="宋体"/>
          <w:color w:val="000000"/>
          <w:sz w:val="21"/>
          <w:szCs w:val="21"/>
        </w:rPr>
      </w:pPr>
      <w:r>
        <w:rPr>
          <w:rFonts w:hint="eastAsia" w:hAnsi="宋体" w:cs="宋体"/>
          <w:color w:val="000000"/>
          <w:sz w:val="21"/>
          <w:szCs w:val="21"/>
        </w:rPr>
        <w:t>（3）已详细审查全部采购文件，包括所有补充通知（如果有的话），完全理解并同意放弃对这方面有不明、误解和质疑的权力。</w:t>
      </w:r>
    </w:p>
    <w:p>
      <w:pPr>
        <w:pStyle w:val="13"/>
        <w:tabs>
          <w:tab w:val="left" w:pos="5580"/>
        </w:tabs>
        <w:spacing w:line="360" w:lineRule="auto"/>
        <w:ind w:firstLine="420" w:firstLineChars="200"/>
        <w:rPr>
          <w:rFonts w:hAnsi="宋体" w:cs="宋体"/>
          <w:color w:val="000000"/>
          <w:sz w:val="21"/>
          <w:szCs w:val="21"/>
        </w:rPr>
      </w:pPr>
      <w:r>
        <w:rPr>
          <w:rFonts w:hint="eastAsia" w:hAnsi="宋体" w:cs="宋体"/>
          <w:color w:val="000000"/>
          <w:sz w:val="21"/>
          <w:szCs w:val="21"/>
        </w:rPr>
        <w:t>（4）在规定的开标时间后，遵守采购文件中有关保证金的规定。</w:t>
      </w:r>
    </w:p>
    <w:p>
      <w:pPr>
        <w:pStyle w:val="13"/>
        <w:tabs>
          <w:tab w:val="left" w:pos="5580"/>
        </w:tabs>
        <w:spacing w:line="360" w:lineRule="auto"/>
        <w:ind w:firstLine="420" w:firstLineChars="200"/>
        <w:rPr>
          <w:rFonts w:hAnsi="宋体" w:cs="宋体"/>
          <w:color w:val="000000"/>
          <w:sz w:val="21"/>
          <w:szCs w:val="21"/>
        </w:rPr>
      </w:pPr>
      <w:r>
        <w:rPr>
          <w:rFonts w:hint="eastAsia" w:hAnsi="宋体" w:cs="宋体"/>
          <w:color w:val="000000"/>
          <w:sz w:val="21"/>
          <w:szCs w:val="21"/>
        </w:rPr>
        <w:t>（5）我方不是为本项目提供整体设计、规范编制或者项目管理、监理、检测等服务的供应商，我方不是采购代理机构的附属机构。</w:t>
      </w:r>
    </w:p>
    <w:p>
      <w:pPr>
        <w:pStyle w:val="13"/>
        <w:tabs>
          <w:tab w:val="left" w:pos="5580"/>
        </w:tabs>
        <w:spacing w:line="360" w:lineRule="auto"/>
        <w:ind w:firstLine="420" w:firstLineChars="200"/>
        <w:rPr>
          <w:rFonts w:hAnsi="宋体" w:cs="宋体"/>
          <w:color w:val="000000"/>
          <w:sz w:val="21"/>
          <w:szCs w:val="21"/>
        </w:rPr>
      </w:pPr>
      <w:r>
        <w:rPr>
          <w:rFonts w:hint="eastAsia" w:hAnsi="宋体" w:cs="宋体"/>
          <w:color w:val="000000"/>
          <w:sz w:val="21"/>
          <w:szCs w:val="21"/>
        </w:rPr>
        <w:t>（6）在领取成交通知书的同时按采购文件规定的形式，向盐城市携手阳光集中采购代理有限公司一次性支付</w:t>
      </w:r>
      <w:r>
        <w:rPr>
          <w:rFonts w:hint="eastAsia" w:hAnsi="宋体"/>
          <w:color w:val="000000"/>
          <w:sz w:val="21"/>
          <w:szCs w:val="21"/>
        </w:rPr>
        <w:t>代理</w:t>
      </w:r>
      <w:r>
        <w:rPr>
          <w:rFonts w:hint="eastAsia" w:hAnsi="宋体" w:cs="宋体"/>
          <w:color w:val="000000"/>
          <w:sz w:val="21"/>
          <w:szCs w:val="21"/>
        </w:rPr>
        <w:t>服务费。</w:t>
      </w:r>
    </w:p>
    <w:p>
      <w:pPr>
        <w:pStyle w:val="13"/>
        <w:tabs>
          <w:tab w:val="left" w:pos="5580"/>
        </w:tabs>
        <w:spacing w:line="360" w:lineRule="auto"/>
        <w:ind w:firstLine="420" w:firstLineChars="200"/>
        <w:rPr>
          <w:rFonts w:hAnsi="宋体" w:cs="宋体"/>
          <w:color w:val="000000"/>
          <w:sz w:val="21"/>
          <w:szCs w:val="21"/>
        </w:rPr>
      </w:pPr>
      <w:r>
        <w:rPr>
          <w:rFonts w:hint="eastAsia" w:hAnsi="宋体" w:cs="宋体"/>
          <w:color w:val="000000"/>
          <w:sz w:val="21"/>
          <w:szCs w:val="21"/>
        </w:rPr>
        <w:t>（7）按照贵方可能要求，提供与其投标有关的一切数据或资料，完全理解贵方不一定接受最低价的投标或收到的任何投标。</w:t>
      </w:r>
    </w:p>
    <w:p>
      <w:pPr>
        <w:pStyle w:val="13"/>
        <w:tabs>
          <w:tab w:val="left" w:pos="5580"/>
        </w:tabs>
        <w:spacing w:line="360" w:lineRule="auto"/>
        <w:ind w:firstLine="420" w:firstLineChars="200"/>
        <w:rPr>
          <w:rFonts w:hAnsi="宋体" w:cs="宋体"/>
          <w:color w:val="000000"/>
          <w:sz w:val="21"/>
          <w:szCs w:val="21"/>
        </w:rPr>
      </w:pPr>
      <w:r>
        <w:rPr>
          <w:rFonts w:hint="eastAsia" w:hAnsi="宋体" w:cs="宋体"/>
          <w:color w:val="000000"/>
          <w:sz w:val="21"/>
          <w:szCs w:val="21"/>
        </w:rPr>
        <w:t>（8）按照采购文件的规定履行合同责任和义务。</w:t>
      </w:r>
    </w:p>
    <w:p>
      <w:pPr>
        <w:pStyle w:val="13"/>
        <w:tabs>
          <w:tab w:val="left" w:pos="5580"/>
        </w:tabs>
        <w:spacing w:line="360" w:lineRule="auto"/>
        <w:ind w:firstLine="422" w:firstLineChars="200"/>
        <w:rPr>
          <w:rFonts w:hAnsi="宋体" w:cs="宋体"/>
          <w:b/>
          <w:color w:val="000000"/>
          <w:sz w:val="21"/>
          <w:szCs w:val="21"/>
          <w:u w:val="single"/>
        </w:rPr>
      </w:pPr>
      <w:r>
        <w:rPr>
          <w:rFonts w:hint="eastAsia" w:hAnsi="宋体" w:cs="宋体"/>
          <w:b/>
          <w:color w:val="000000"/>
          <w:sz w:val="21"/>
          <w:szCs w:val="21"/>
          <w:u w:val="single"/>
        </w:rPr>
        <w:t>（9）评审期间，如采购人或携手阳光相关工作人员无法与我方委托代理人联系（联系电话：</w:t>
      </w:r>
      <w:r>
        <w:rPr>
          <w:rFonts w:hint="eastAsia" w:hAnsi="宋体" w:cs="宋体"/>
          <w:b/>
          <w:i/>
          <w:color w:val="000000"/>
          <w:sz w:val="21"/>
          <w:szCs w:val="21"/>
          <w:u w:val="single"/>
        </w:rPr>
        <w:t>手机号</w:t>
      </w:r>
      <w:r>
        <w:rPr>
          <w:rFonts w:hint="eastAsia" w:hAnsi="宋体" w:cs="宋体"/>
          <w:b/>
          <w:color w:val="000000"/>
          <w:sz w:val="21"/>
          <w:szCs w:val="21"/>
          <w:u w:val="single"/>
        </w:rPr>
        <w:t>）或我方法定代表人或其委托代理人接到通知后15分钟内未及时向评审人员进行澄清（含提供相关证明材料等）等情形的，评审人员有权视为我方放弃澄清等相关所有权益（以贵方或评审人员理解为准）。</w:t>
      </w:r>
    </w:p>
    <w:p>
      <w:pPr>
        <w:pStyle w:val="13"/>
        <w:tabs>
          <w:tab w:val="left" w:pos="5580"/>
        </w:tabs>
        <w:spacing w:line="360" w:lineRule="auto"/>
        <w:ind w:firstLine="420" w:firstLineChars="200"/>
        <w:rPr>
          <w:rFonts w:hAnsi="宋体" w:cs="宋体"/>
          <w:color w:val="000000"/>
          <w:sz w:val="21"/>
          <w:szCs w:val="21"/>
        </w:rPr>
      </w:pPr>
      <w:r>
        <w:rPr>
          <w:rFonts w:hint="eastAsia" w:hAnsi="宋体" w:cs="宋体"/>
          <w:color w:val="000000"/>
          <w:sz w:val="21"/>
          <w:szCs w:val="21"/>
        </w:rPr>
        <w:t>与本投标有关的一切正式往来信函请寄：</w:t>
      </w:r>
    </w:p>
    <w:p>
      <w:pPr>
        <w:pStyle w:val="13"/>
        <w:tabs>
          <w:tab w:val="left" w:pos="5580"/>
        </w:tabs>
        <w:spacing w:line="360" w:lineRule="auto"/>
        <w:ind w:firstLine="420" w:firstLineChars="200"/>
        <w:rPr>
          <w:rFonts w:hAnsi="宋体" w:cs="宋体"/>
          <w:color w:val="000000"/>
          <w:sz w:val="21"/>
          <w:szCs w:val="21"/>
        </w:rPr>
      </w:pPr>
      <w:r>
        <w:rPr>
          <w:rFonts w:hint="eastAsia" w:hAnsi="宋体" w:cs="宋体"/>
          <w:color w:val="000000"/>
          <w:sz w:val="21"/>
          <w:szCs w:val="21"/>
        </w:rPr>
        <w:t>地址：</w:t>
      </w:r>
    </w:p>
    <w:p>
      <w:pPr>
        <w:pStyle w:val="13"/>
        <w:tabs>
          <w:tab w:val="left" w:pos="5580"/>
        </w:tabs>
        <w:spacing w:line="360" w:lineRule="auto"/>
        <w:ind w:firstLine="420" w:firstLineChars="200"/>
        <w:rPr>
          <w:rFonts w:hAnsi="宋体" w:cs="宋体"/>
          <w:color w:val="000000"/>
          <w:sz w:val="21"/>
          <w:szCs w:val="21"/>
        </w:rPr>
      </w:pPr>
      <w:r>
        <w:rPr>
          <w:rFonts w:hint="eastAsia" w:hAnsi="宋体" w:cs="宋体"/>
          <w:color w:val="000000"/>
          <w:sz w:val="21"/>
          <w:szCs w:val="21"/>
        </w:rPr>
        <w:t>供应商（须盖单位章）：</w:t>
      </w:r>
    </w:p>
    <w:p>
      <w:pPr>
        <w:pStyle w:val="13"/>
        <w:tabs>
          <w:tab w:val="left" w:pos="5580"/>
        </w:tabs>
        <w:spacing w:line="360" w:lineRule="auto"/>
        <w:ind w:firstLine="420" w:firstLineChars="200"/>
        <w:rPr>
          <w:rFonts w:hAnsi="宋体" w:cs="宋体"/>
          <w:color w:val="000000"/>
          <w:sz w:val="21"/>
          <w:szCs w:val="21"/>
        </w:rPr>
      </w:pPr>
      <w:r>
        <w:rPr>
          <w:rFonts w:hint="eastAsia" w:hAnsi="宋体" w:cs="宋体"/>
          <w:color w:val="000000"/>
          <w:sz w:val="21"/>
          <w:szCs w:val="21"/>
        </w:rPr>
        <w:t>法定代表人或其委托代理人(须签字或盖章)：</w:t>
      </w:r>
    </w:p>
    <w:p>
      <w:pPr>
        <w:pStyle w:val="13"/>
        <w:tabs>
          <w:tab w:val="left" w:pos="5580"/>
        </w:tabs>
        <w:spacing w:line="360" w:lineRule="auto"/>
        <w:ind w:firstLine="420" w:firstLineChars="200"/>
        <w:rPr>
          <w:rFonts w:hAnsi="宋体" w:cs="宋体"/>
          <w:color w:val="000000"/>
          <w:sz w:val="21"/>
          <w:szCs w:val="21"/>
        </w:rPr>
      </w:pPr>
      <w:r>
        <w:rPr>
          <w:rFonts w:hint="eastAsia" w:hAnsi="宋体" w:cs="宋体"/>
          <w:color w:val="000000"/>
          <w:sz w:val="21"/>
          <w:szCs w:val="21"/>
        </w:rPr>
        <w:t>电子函件或传真：</w:t>
      </w:r>
    </w:p>
    <w:p>
      <w:pPr>
        <w:pStyle w:val="13"/>
        <w:tabs>
          <w:tab w:val="left" w:pos="5580"/>
        </w:tabs>
        <w:spacing w:line="360" w:lineRule="auto"/>
        <w:ind w:firstLine="420" w:firstLineChars="200"/>
        <w:rPr>
          <w:rFonts w:hAnsi="宋体" w:cs="宋体"/>
          <w:color w:val="000000"/>
          <w:sz w:val="21"/>
          <w:szCs w:val="21"/>
        </w:rPr>
      </w:pPr>
      <w:r>
        <w:rPr>
          <w:rFonts w:hint="eastAsia" w:hAnsi="宋体" w:cs="宋体"/>
          <w:color w:val="000000"/>
          <w:sz w:val="21"/>
          <w:szCs w:val="21"/>
        </w:rPr>
        <w:t>日期：</w:t>
      </w:r>
    </w:p>
    <w:p>
      <w:pPr>
        <w:spacing w:line="480" w:lineRule="auto"/>
        <w:rPr>
          <w:rFonts w:ascii="宋体" w:hAnsi="宋体" w:cs="宋体"/>
          <w:b/>
          <w:color w:val="000000"/>
          <w:sz w:val="28"/>
          <w:szCs w:val="28"/>
          <w:u w:val="single"/>
        </w:rPr>
      </w:pPr>
    </w:p>
    <w:p>
      <w:pPr>
        <w:spacing w:line="540" w:lineRule="atLeast"/>
        <w:jc w:val="center"/>
        <w:rPr>
          <w:rFonts w:ascii="宋体" w:hAnsi="宋体"/>
          <w:b/>
          <w:color w:val="000000"/>
          <w:sz w:val="28"/>
          <w:szCs w:val="28"/>
        </w:rPr>
      </w:pPr>
    </w:p>
    <w:p>
      <w:pPr>
        <w:spacing w:line="540" w:lineRule="atLeast"/>
        <w:jc w:val="center"/>
        <w:outlineLvl w:val="1"/>
        <w:rPr>
          <w:rFonts w:ascii="宋体" w:hAnsi="宋体" w:cs="宋体"/>
          <w:b/>
          <w:color w:val="000000"/>
          <w:sz w:val="28"/>
          <w:szCs w:val="28"/>
        </w:rPr>
      </w:pPr>
      <w:bookmarkStart w:id="188" w:name="_Toc122338107"/>
      <w:r>
        <w:rPr>
          <w:rFonts w:hint="eastAsia" w:ascii="宋体" w:hAnsi="宋体"/>
          <w:b/>
          <w:color w:val="000000"/>
          <w:sz w:val="28"/>
          <w:szCs w:val="28"/>
        </w:rPr>
        <w:t>五、盐城市政府采购事前信用承诺书（格式）</w:t>
      </w:r>
      <w:bookmarkEnd w:id="188"/>
    </w:p>
    <w:p>
      <w:pPr>
        <w:ind w:firstLine="420" w:firstLineChars="200"/>
        <w:jc w:val="left"/>
        <w:rPr>
          <w:rFonts w:ascii="宋体" w:hAnsi="宋体"/>
          <w:color w:val="000000"/>
          <w:szCs w:val="21"/>
        </w:rPr>
      </w:pPr>
    </w:p>
    <w:p>
      <w:pPr>
        <w:spacing w:line="540" w:lineRule="atLeast"/>
        <w:ind w:firstLine="420" w:firstLineChars="200"/>
        <w:jc w:val="left"/>
        <w:rPr>
          <w:rFonts w:ascii="宋体" w:hAnsi="宋体" w:cs="宋体"/>
          <w:b/>
          <w:color w:val="000000"/>
          <w:sz w:val="28"/>
          <w:szCs w:val="28"/>
        </w:rPr>
      </w:pPr>
      <w:r>
        <w:rPr>
          <w:rFonts w:hint="eastAsia" w:ascii="宋体" w:hAnsi="宋体"/>
          <w:color w:val="000000"/>
          <w:szCs w:val="21"/>
        </w:rPr>
        <w:t>为营造我市公开、公平、公正、诚实守信的政府采购交易环境，树立诚信守法的投标人形象，本人代表本单位作出以下承诺：</w:t>
      </w:r>
    </w:p>
    <w:p>
      <w:pPr>
        <w:widowControl/>
        <w:spacing w:line="540" w:lineRule="atLeast"/>
        <w:jc w:val="left"/>
        <w:rPr>
          <w:rFonts w:ascii="宋体" w:hAnsi="宋体"/>
          <w:color w:val="000000"/>
          <w:szCs w:val="21"/>
        </w:rPr>
      </w:pPr>
      <w:r>
        <w:rPr>
          <w:rFonts w:hint="eastAsia" w:ascii="宋体" w:hAnsi="宋体"/>
          <w:color w:val="000000"/>
          <w:szCs w:val="21"/>
        </w:rPr>
        <w:t xml:space="preserve">    （一）本单位对所提交的企（事）业单位基本信息、企（事）业负责人、项目负责人、技术负责人、从业资质和资格、业绩、财务状况、信誉等所有资料，均合法、真实、准确、有效，无任何伪造、修改、虚假成份，并对所提供资料的真实性负责；</w:t>
      </w:r>
    </w:p>
    <w:p>
      <w:pPr>
        <w:widowControl/>
        <w:spacing w:line="540" w:lineRule="atLeast"/>
        <w:ind w:firstLine="420" w:firstLineChars="200"/>
        <w:jc w:val="left"/>
        <w:rPr>
          <w:rFonts w:ascii="宋体" w:hAnsi="宋体"/>
          <w:color w:val="000000"/>
          <w:szCs w:val="21"/>
        </w:rPr>
      </w:pPr>
      <w:r>
        <w:rPr>
          <w:rFonts w:hint="eastAsia" w:ascii="宋体" w:hAnsi="宋体"/>
          <w:color w:val="000000"/>
          <w:szCs w:val="21"/>
        </w:rPr>
        <w:t>（二）本单位无涉及政府采购活动的违法、违规不良记录，我公司及相关负责人无因存在重大隐患整改不力、发生有重大社会影响生产安全事故或其他严重违法违规行为而被列入失信联合惩戒的不良记录；</w:t>
      </w:r>
    </w:p>
    <w:p>
      <w:pPr>
        <w:widowControl/>
        <w:spacing w:line="540" w:lineRule="atLeast"/>
        <w:jc w:val="left"/>
        <w:rPr>
          <w:rFonts w:ascii="宋体" w:hAnsi="宋体"/>
          <w:color w:val="000000"/>
          <w:szCs w:val="21"/>
        </w:rPr>
      </w:pPr>
      <w:r>
        <w:rPr>
          <w:rFonts w:hint="eastAsia" w:ascii="宋体" w:hAnsi="宋体"/>
          <w:color w:val="000000"/>
          <w:szCs w:val="21"/>
        </w:rPr>
        <w:t xml:space="preserve">   （三）严格依照国家和省、市关于政府采购的法律、法规、规章、规范性文件，参加政府采购投标活动；积极履行社会责任，促进廉政建设； </w:t>
      </w:r>
    </w:p>
    <w:p>
      <w:pPr>
        <w:widowControl/>
        <w:spacing w:line="540" w:lineRule="atLeast"/>
        <w:jc w:val="left"/>
        <w:rPr>
          <w:rFonts w:ascii="宋体" w:hAnsi="宋体"/>
          <w:color w:val="000000"/>
          <w:szCs w:val="21"/>
        </w:rPr>
      </w:pPr>
      <w:r>
        <w:rPr>
          <w:rFonts w:hint="eastAsia" w:ascii="宋体" w:hAnsi="宋体"/>
          <w:color w:val="000000"/>
          <w:szCs w:val="21"/>
        </w:rPr>
        <w:t>   （四）严格遵守即时信息公示规定，及时维护和更新盐城市政府采购网中与本单位相关的信息；</w:t>
      </w:r>
    </w:p>
    <w:p>
      <w:pPr>
        <w:widowControl/>
        <w:spacing w:line="540" w:lineRule="atLeast"/>
        <w:jc w:val="left"/>
        <w:rPr>
          <w:rFonts w:ascii="宋体" w:hAnsi="宋体"/>
          <w:color w:val="000000"/>
          <w:szCs w:val="21"/>
        </w:rPr>
      </w:pPr>
      <w:r>
        <w:rPr>
          <w:rFonts w:hint="eastAsia" w:ascii="宋体" w:hAnsi="宋体"/>
          <w:color w:val="000000"/>
          <w:szCs w:val="21"/>
        </w:rPr>
        <w:t>   （五）自我约束、自我管理，守合同、重信用，自觉维护政府采购交易的良好秩序，与参与本次政府采购活动的其他供应商不存在直接控股或管理关系，不参与围标串标、弄虚作假、骗取中标（成交）、干扰评审、违约毁约等行为；</w:t>
      </w:r>
    </w:p>
    <w:p>
      <w:pPr>
        <w:widowControl/>
        <w:spacing w:line="540" w:lineRule="atLeast"/>
        <w:jc w:val="left"/>
        <w:rPr>
          <w:rFonts w:ascii="宋体" w:hAnsi="宋体"/>
          <w:color w:val="000000"/>
          <w:szCs w:val="21"/>
        </w:rPr>
      </w:pPr>
      <w:r>
        <w:rPr>
          <w:rFonts w:hint="eastAsia" w:ascii="宋体" w:hAnsi="宋体"/>
          <w:color w:val="000000"/>
          <w:szCs w:val="21"/>
        </w:rPr>
        <w:t>   （六）自觉接受政府、行业组织、社会公众、新闻舆论的监督；</w:t>
      </w:r>
    </w:p>
    <w:p>
      <w:pPr>
        <w:widowControl/>
        <w:spacing w:line="540" w:lineRule="atLeast"/>
        <w:ind w:firstLine="420" w:firstLineChars="200"/>
        <w:jc w:val="left"/>
        <w:rPr>
          <w:rFonts w:ascii="宋体" w:hAnsi="宋体"/>
          <w:color w:val="000000"/>
          <w:szCs w:val="21"/>
        </w:rPr>
      </w:pPr>
      <w:r>
        <w:rPr>
          <w:rFonts w:hint="eastAsia" w:ascii="宋体" w:hAnsi="宋体"/>
          <w:color w:val="000000"/>
          <w:szCs w:val="21"/>
        </w:rPr>
        <w:t>（七）本单位自愿接受政府采购监督管理机构和有关行政监督部门的依法检查。如发生违法违规或不良失信行为，自愿接受政府采购监督管理机构和有关行政监督部门依法给予的行政处罚（处理），并依法承担相应责任；</w:t>
      </w:r>
    </w:p>
    <w:p>
      <w:pPr>
        <w:widowControl/>
        <w:spacing w:line="540" w:lineRule="atLeast"/>
        <w:jc w:val="left"/>
        <w:rPr>
          <w:rFonts w:ascii="宋体" w:hAnsi="宋体"/>
          <w:color w:val="000000"/>
          <w:szCs w:val="21"/>
        </w:rPr>
      </w:pPr>
      <w:r>
        <w:rPr>
          <w:rFonts w:hint="eastAsia" w:ascii="宋体" w:hAnsi="宋体"/>
          <w:color w:val="000000"/>
          <w:szCs w:val="21"/>
        </w:rPr>
        <w:t>   （八）本人已认真阅读了上述承诺，并向本单位员工作了宣传教育。</w:t>
      </w:r>
    </w:p>
    <w:p>
      <w:pPr>
        <w:pStyle w:val="13"/>
        <w:tabs>
          <w:tab w:val="left" w:pos="5580"/>
        </w:tabs>
        <w:spacing w:line="360" w:lineRule="auto"/>
        <w:ind w:firstLine="400" w:firstLineChars="200"/>
        <w:rPr>
          <w:rFonts w:hAnsi="宋体" w:cs="宋体"/>
          <w:color w:val="000000"/>
        </w:rPr>
      </w:pPr>
    </w:p>
    <w:p>
      <w:pPr>
        <w:pStyle w:val="13"/>
        <w:tabs>
          <w:tab w:val="left" w:pos="5580"/>
        </w:tabs>
        <w:spacing w:line="360" w:lineRule="auto"/>
        <w:ind w:firstLine="400" w:firstLineChars="200"/>
        <w:rPr>
          <w:rFonts w:hAnsi="宋体" w:cs="宋体"/>
          <w:color w:val="000000"/>
        </w:rPr>
      </w:pPr>
    </w:p>
    <w:p>
      <w:pPr>
        <w:pStyle w:val="13"/>
        <w:tabs>
          <w:tab w:val="left" w:pos="5580"/>
        </w:tabs>
        <w:spacing w:line="360" w:lineRule="auto"/>
        <w:ind w:firstLine="5250" w:firstLineChars="2500"/>
        <w:rPr>
          <w:rFonts w:hAnsi="宋体" w:cs="宋体"/>
          <w:color w:val="000000"/>
          <w:sz w:val="21"/>
          <w:szCs w:val="21"/>
        </w:rPr>
      </w:pPr>
      <w:r>
        <w:rPr>
          <w:rFonts w:hint="eastAsia" w:hAnsi="宋体" w:cs="宋体"/>
          <w:color w:val="000000"/>
          <w:sz w:val="21"/>
          <w:szCs w:val="21"/>
        </w:rPr>
        <w:t>供应商（须盖单位章）：</w:t>
      </w:r>
    </w:p>
    <w:p>
      <w:pPr>
        <w:pStyle w:val="13"/>
        <w:tabs>
          <w:tab w:val="left" w:pos="5580"/>
        </w:tabs>
        <w:spacing w:line="360" w:lineRule="auto"/>
        <w:ind w:firstLine="5250" w:firstLineChars="2500"/>
        <w:rPr>
          <w:rFonts w:hAnsi="宋体" w:cs="宋体"/>
          <w:color w:val="000000"/>
          <w:sz w:val="21"/>
          <w:szCs w:val="21"/>
        </w:rPr>
      </w:pPr>
      <w:r>
        <w:rPr>
          <w:rFonts w:hint="eastAsia" w:hAnsi="宋体" w:cs="宋体"/>
          <w:color w:val="000000"/>
          <w:sz w:val="21"/>
          <w:szCs w:val="21"/>
        </w:rPr>
        <w:t>法定代表人 (须签字或盖章)：</w:t>
      </w:r>
    </w:p>
    <w:p>
      <w:pPr>
        <w:pStyle w:val="13"/>
        <w:tabs>
          <w:tab w:val="left" w:pos="5580"/>
        </w:tabs>
        <w:spacing w:line="360" w:lineRule="auto"/>
        <w:ind w:firstLine="5250" w:firstLineChars="2500"/>
        <w:rPr>
          <w:rFonts w:hAnsi="宋体" w:cs="宋体"/>
          <w:color w:val="000000"/>
          <w:sz w:val="21"/>
          <w:szCs w:val="21"/>
        </w:rPr>
      </w:pPr>
      <w:r>
        <w:rPr>
          <w:rFonts w:hint="eastAsia" w:hAnsi="宋体" w:cs="宋体"/>
          <w:color w:val="000000"/>
          <w:sz w:val="21"/>
          <w:szCs w:val="21"/>
        </w:rPr>
        <w:t>日期：   年  月  日</w:t>
      </w:r>
    </w:p>
    <w:p>
      <w:pPr>
        <w:spacing w:line="540" w:lineRule="atLeast"/>
        <w:rPr>
          <w:rFonts w:ascii="宋体" w:hAnsi="宋体"/>
          <w:b/>
          <w:color w:val="000000"/>
          <w:sz w:val="28"/>
          <w:szCs w:val="28"/>
        </w:rPr>
      </w:pPr>
    </w:p>
    <w:tbl>
      <w:tblPr>
        <w:tblStyle w:val="26"/>
        <w:tblpPr w:leftFromText="180" w:rightFromText="180" w:vertAnchor="text" w:horzAnchor="margin" w:tblpY="9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8"/>
        <w:gridCol w:w="2711"/>
        <w:gridCol w:w="4536"/>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3369" w:type="dxa"/>
            <w:gridSpan w:val="2"/>
            <w:tcBorders>
              <w:top w:val="single" w:color="auto" w:sz="4" w:space="0"/>
              <w:left w:val="single" w:color="auto" w:sz="4" w:space="0"/>
              <w:bottom w:val="single" w:color="auto" w:sz="4" w:space="0"/>
              <w:right w:val="single" w:color="auto" w:sz="4" w:space="0"/>
            </w:tcBorders>
            <w:vAlign w:val="center"/>
          </w:tcPr>
          <w:p>
            <w:pPr>
              <w:spacing w:line="456"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项目编号</w:t>
            </w:r>
          </w:p>
        </w:tc>
        <w:tc>
          <w:tcPr>
            <w:tcW w:w="6095" w:type="dxa"/>
            <w:gridSpan w:val="2"/>
            <w:tcBorders>
              <w:top w:val="single" w:color="auto" w:sz="4" w:space="0"/>
              <w:left w:val="single" w:color="auto" w:sz="4" w:space="0"/>
              <w:bottom w:val="single" w:color="auto" w:sz="4" w:space="0"/>
              <w:right w:val="single" w:color="auto" w:sz="4" w:space="0"/>
            </w:tcBorders>
            <w:vAlign w:val="center"/>
          </w:tcPr>
          <w:p>
            <w:pPr>
              <w:spacing w:line="456" w:lineRule="auto"/>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3369" w:type="dxa"/>
            <w:gridSpan w:val="2"/>
            <w:tcBorders>
              <w:top w:val="single" w:color="auto" w:sz="4" w:space="0"/>
              <w:left w:val="single" w:color="auto" w:sz="4" w:space="0"/>
              <w:bottom w:val="single" w:color="auto" w:sz="4" w:space="0"/>
              <w:right w:val="single" w:color="auto" w:sz="4" w:space="0"/>
            </w:tcBorders>
            <w:vAlign w:val="center"/>
          </w:tcPr>
          <w:p>
            <w:pPr>
              <w:spacing w:line="456"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项目名称</w:t>
            </w:r>
          </w:p>
        </w:tc>
        <w:tc>
          <w:tcPr>
            <w:tcW w:w="6095" w:type="dxa"/>
            <w:gridSpan w:val="2"/>
            <w:tcBorders>
              <w:top w:val="single" w:color="auto" w:sz="4" w:space="0"/>
              <w:left w:val="single" w:color="auto" w:sz="4" w:space="0"/>
              <w:bottom w:val="single" w:color="auto" w:sz="4" w:space="0"/>
              <w:right w:val="single" w:color="auto" w:sz="4" w:space="0"/>
            </w:tcBorders>
            <w:vAlign w:val="center"/>
          </w:tcPr>
          <w:p>
            <w:pPr>
              <w:spacing w:line="456" w:lineRule="auto"/>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58" w:type="dxa"/>
            <w:tcBorders>
              <w:top w:val="single" w:color="auto" w:sz="4" w:space="0"/>
              <w:left w:val="single" w:color="auto" w:sz="4" w:space="0"/>
              <w:bottom w:val="single" w:color="auto" w:sz="4" w:space="0"/>
              <w:right w:val="single" w:color="auto" w:sz="4" w:space="0"/>
            </w:tcBorders>
            <w:vAlign w:val="center"/>
          </w:tcPr>
          <w:p>
            <w:pPr>
              <w:spacing w:line="456" w:lineRule="auto"/>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序号</w:t>
            </w:r>
          </w:p>
        </w:tc>
        <w:tc>
          <w:tcPr>
            <w:tcW w:w="2711" w:type="dxa"/>
            <w:tcBorders>
              <w:top w:val="single" w:color="auto" w:sz="4" w:space="0"/>
              <w:left w:val="single" w:color="auto" w:sz="4" w:space="0"/>
              <w:bottom w:val="single" w:color="auto" w:sz="4" w:space="0"/>
              <w:right w:val="single" w:color="auto" w:sz="4" w:space="0"/>
            </w:tcBorders>
            <w:vAlign w:val="center"/>
          </w:tcPr>
          <w:p>
            <w:pPr>
              <w:spacing w:line="456" w:lineRule="auto"/>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名称（品目）</w:t>
            </w:r>
          </w:p>
        </w:tc>
        <w:tc>
          <w:tcPr>
            <w:tcW w:w="4536" w:type="dxa"/>
            <w:tcBorders>
              <w:top w:val="single" w:color="auto" w:sz="4" w:space="0"/>
              <w:left w:val="single" w:color="auto" w:sz="4" w:space="0"/>
              <w:bottom w:val="single" w:color="auto" w:sz="4" w:space="0"/>
              <w:right w:val="single" w:color="auto" w:sz="4" w:space="0"/>
            </w:tcBorders>
            <w:vAlign w:val="center"/>
          </w:tcPr>
          <w:p>
            <w:pPr>
              <w:spacing w:line="456" w:lineRule="auto"/>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投标人响应（承诺）</w:t>
            </w:r>
          </w:p>
        </w:tc>
        <w:tc>
          <w:tcPr>
            <w:tcW w:w="1559" w:type="dxa"/>
            <w:tcBorders>
              <w:top w:val="single" w:color="auto" w:sz="4" w:space="0"/>
              <w:left w:val="single" w:color="auto" w:sz="4" w:space="0"/>
              <w:bottom w:val="single" w:color="auto" w:sz="4" w:space="0"/>
              <w:right w:val="single" w:color="auto" w:sz="4" w:space="0"/>
            </w:tcBorders>
            <w:vAlign w:val="center"/>
          </w:tcPr>
          <w:p>
            <w:pPr>
              <w:spacing w:line="456" w:lineRule="auto"/>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相关说明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58" w:type="dxa"/>
            <w:tcBorders>
              <w:top w:val="single" w:color="auto" w:sz="4" w:space="0"/>
              <w:left w:val="single" w:color="auto" w:sz="4" w:space="0"/>
              <w:bottom w:val="single" w:color="auto" w:sz="4" w:space="0"/>
              <w:right w:val="single" w:color="auto" w:sz="4" w:space="0"/>
            </w:tcBorders>
            <w:vAlign w:val="center"/>
          </w:tcPr>
          <w:p>
            <w:pPr>
              <w:spacing w:line="456"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271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000000" w:themeColor="text1"/>
                <w14:textFill>
                  <w14:solidFill>
                    <w14:schemeClr w14:val="tx1"/>
                  </w14:solidFill>
                </w14:textFill>
              </w:rPr>
            </w:pPr>
          </w:p>
        </w:tc>
        <w:tc>
          <w:tcPr>
            <w:tcW w:w="4536" w:type="dxa"/>
            <w:tcBorders>
              <w:top w:val="single" w:color="auto" w:sz="4" w:space="0"/>
              <w:left w:val="single" w:color="auto" w:sz="4" w:space="0"/>
              <w:bottom w:val="single" w:color="auto" w:sz="4" w:space="0"/>
              <w:right w:val="single" w:color="auto" w:sz="4" w:space="0"/>
            </w:tcBorders>
            <w:vAlign w:val="center"/>
          </w:tcPr>
          <w:p>
            <w:pPr>
              <w:spacing w:line="456" w:lineRule="auto"/>
              <w:jc w:val="center"/>
              <w:rPr>
                <w:rFonts w:ascii="宋体" w:hAnsi="宋体"/>
                <w:color w:val="000000" w:themeColor="text1"/>
                <w14:textFill>
                  <w14:solidFill>
                    <w14:schemeClr w14:val="tx1"/>
                  </w14:solidFill>
                </w14:textFill>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456" w:lineRule="auto"/>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58" w:type="dxa"/>
            <w:tcBorders>
              <w:top w:val="single" w:color="auto" w:sz="4" w:space="0"/>
              <w:left w:val="single" w:color="auto" w:sz="4" w:space="0"/>
              <w:bottom w:val="single" w:color="auto" w:sz="4" w:space="0"/>
              <w:right w:val="single" w:color="auto" w:sz="4" w:space="0"/>
            </w:tcBorders>
            <w:vAlign w:val="center"/>
          </w:tcPr>
          <w:p>
            <w:pPr>
              <w:spacing w:line="456"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p>
        </w:tc>
        <w:tc>
          <w:tcPr>
            <w:tcW w:w="2711" w:type="dxa"/>
            <w:tcBorders>
              <w:top w:val="single" w:color="auto" w:sz="4" w:space="0"/>
              <w:left w:val="single" w:color="auto" w:sz="4" w:space="0"/>
              <w:bottom w:val="single" w:color="auto" w:sz="4" w:space="0"/>
              <w:right w:val="single" w:color="auto" w:sz="4" w:space="0"/>
            </w:tcBorders>
            <w:vAlign w:val="center"/>
          </w:tcPr>
          <w:p>
            <w:pPr>
              <w:spacing w:line="456" w:lineRule="auto"/>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产品质量标准</w:t>
            </w:r>
          </w:p>
        </w:tc>
        <w:tc>
          <w:tcPr>
            <w:tcW w:w="4536" w:type="dxa"/>
            <w:tcBorders>
              <w:top w:val="single" w:color="auto" w:sz="4" w:space="0"/>
              <w:left w:val="single" w:color="auto" w:sz="4" w:space="0"/>
              <w:bottom w:val="single" w:color="auto" w:sz="4" w:space="0"/>
              <w:right w:val="single" w:color="auto" w:sz="4" w:space="0"/>
            </w:tcBorders>
            <w:vAlign w:val="center"/>
          </w:tcPr>
          <w:p>
            <w:pPr>
              <w:spacing w:line="456" w:lineRule="auto"/>
              <w:rPr>
                <w:rFonts w:ascii="宋体" w:hAnsi="宋体"/>
                <w:color w:val="000000" w:themeColor="text1"/>
                <w:szCs w:val="21"/>
                <w:u w:val="single"/>
                <w14:textFill>
                  <w14:solidFill>
                    <w14:schemeClr w14:val="tx1"/>
                  </w14:solidFill>
                </w14:textFill>
              </w:rPr>
            </w:pPr>
            <w:r>
              <w:rPr>
                <w:rFonts w:hint="eastAsia" w:ascii="宋体" w:hAnsi="宋体"/>
                <w:color w:val="000000" w:themeColor="text1"/>
                <w:szCs w:val="21"/>
                <w:u w:val="single"/>
                <w14:textFill>
                  <w14:solidFill>
                    <w14:schemeClr w14:val="tx1"/>
                  </w14:solidFill>
                </w14:textFill>
              </w:rPr>
              <w:t>合格（符合国家强制标准），全新原厂原件</w:t>
            </w:r>
          </w:p>
        </w:tc>
        <w:tc>
          <w:tcPr>
            <w:tcW w:w="1559" w:type="dxa"/>
            <w:tcBorders>
              <w:top w:val="single" w:color="auto" w:sz="4" w:space="0"/>
              <w:left w:val="single" w:color="auto" w:sz="4" w:space="0"/>
              <w:bottom w:val="single" w:color="auto" w:sz="4" w:space="0"/>
              <w:right w:val="single" w:color="auto" w:sz="4" w:space="0"/>
            </w:tcBorders>
            <w:vAlign w:val="center"/>
          </w:tcPr>
          <w:p>
            <w:pPr>
              <w:spacing w:line="456" w:lineRule="auto"/>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58" w:type="dxa"/>
            <w:tcBorders>
              <w:top w:val="single" w:color="auto" w:sz="4" w:space="0"/>
              <w:left w:val="single" w:color="auto" w:sz="4" w:space="0"/>
              <w:bottom w:val="single" w:color="auto" w:sz="4" w:space="0"/>
              <w:right w:val="single" w:color="auto" w:sz="4" w:space="0"/>
            </w:tcBorders>
            <w:vAlign w:val="center"/>
          </w:tcPr>
          <w:p>
            <w:pPr>
              <w:spacing w:line="456"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w:t>
            </w:r>
          </w:p>
        </w:tc>
        <w:tc>
          <w:tcPr>
            <w:tcW w:w="2711" w:type="dxa"/>
            <w:tcBorders>
              <w:top w:val="single" w:color="auto" w:sz="4" w:space="0"/>
              <w:left w:val="single" w:color="auto" w:sz="4" w:space="0"/>
              <w:bottom w:val="single" w:color="auto" w:sz="4" w:space="0"/>
              <w:right w:val="single" w:color="auto" w:sz="4" w:space="0"/>
            </w:tcBorders>
            <w:vAlign w:val="center"/>
          </w:tcPr>
          <w:p>
            <w:pPr>
              <w:spacing w:line="456" w:lineRule="auto"/>
              <w:jc w:val="center"/>
              <w:rPr>
                <w:rFonts w:ascii="宋体" w:hAnsi="宋体" w:cs="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免费质量保证期</w:t>
            </w:r>
          </w:p>
        </w:tc>
        <w:tc>
          <w:tcPr>
            <w:tcW w:w="4536" w:type="dxa"/>
            <w:tcBorders>
              <w:top w:val="single" w:color="auto" w:sz="4" w:space="0"/>
              <w:left w:val="single" w:color="auto" w:sz="4" w:space="0"/>
              <w:bottom w:val="single" w:color="auto" w:sz="4" w:space="0"/>
              <w:right w:val="single" w:color="auto" w:sz="4" w:space="0"/>
            </w:tcBorders>
            <w:vAlign w:val="center"/>
          </w:tcPr>
          <w:p>
            <w:pPr>
              <w:spacing w:line="456" w:lineRule="auto"/>
              <w:jc w:val="left"/>
              <w:rPr>
                <w:rFonts w:ascii="宋体" w:hAnsi="宋体" w:cs="宋体"/>
                <w:color w:val="000000" w:themeColor="text1"/>
                <w:szCs w:val="21"/>
                <w:u w:val="single"/>
                <w14:textFill>
                  <w14:solidFill>
                    <w14:schemeClr w14:val="tx1"/>
                  </w14:solidFill>
                </w14:textFill>
              </w:rPr>
            </w:pPr>
            <w:r>
              <w:rPr>
                <w:rFonts w:hint="eastAsia" w:ascii="宋体" w:hAnsi="宋体"/>
                <w:color w:val="000000" w:themeColor="text1"/>
                <w:szCs w:val="21"/>
                <w:u w:val="single"/>
                <w14:textFill>
                  <w14:solidFill>
                    <w14:schemeClr w14:val="tx1"/>
                  </w14:solidFill>
                </w14:textFill>
              </w:rPr>
              <w:t>提供       年免费原厂质保（均须为原厂原件</w:t>
            </w:r>
            <w:r>
              <w:rPr>
                <w:rFonts w:hint="eastAsia" w:ascii="宋体" w:hAnsi="宋体" w:cs="宋体"/>
                <w:color w:val="000000" w:themeColor="text1"/>
                <w:szCs w:val="21"/>
                <w14:textFill>
                  <w14:solidFill>
                    <w14:schemeClr w14:val="tx1"/>
                  </w14:solidFill>
                </w14:textFill>
              </w:rPr>
              <w:t>）</w:t>
            </w:r>
          </w:p>
        </w:tc>
        <w:tc>
          <w:tcPr>
            <w:tcW w:w="1559" w:type="dxa"/>
            <w:tcBorders>
              <w:top w:val="single" w:color="auto" w:sz="4" w:space="0"/>
              <w:left w:val="single" w:color="auto" w:sz="4" w:space="0"/>
              <w:bottom w:val="single" w:color="auto" w:sz="4" w:space="0"/>
              <w:right w:val="single" w:color="auto" w:sz="4" w:space="0"/>
            </w:tcBorders>
            <w:vAlign w:val="center"/>
          </w:tcPr>
          <w:p>
            <w:pPr>
              <w:spacing w:line="456" w:lineRule="auto"/>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58" w:type="dxa"/>
            <w:tcBorders>
              <w:top w:val="single" w:color="auto" w:sz="4" w:space="0"/>
              <w:left w:val="single" w:color="auto" w:sz="4" w:space="0"/>
              <w:bottom w:val="single" w:color="auto" w:sz="4" w:space="0"/>
              <w:right w:val="single" w:color="auto" w:sz="4" w:space="0"/>
            </w:tcBorders>
            <w:vAlign w:val="center"/>
          </w:tcPr>
          <w:p>
            <w:pPr>
              <w:spacing w:line="456"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w:t>
            </w:r>
          </w:p>
        </w:tc>
        <w:tc>
          <w:tcPr>
            <w:tcW w:w="2711" w:type="dxa"/>
            <w:tcBorders>
              <w:top w:val="single" w:color="auto" w:sz="4" w:space="0"/>
              <w:left w:val="single" w:color="auto" w:sz="4" w:space="0"/>
              <w:bottom w:val="single" w:color="auto" w:sz="4" w:space="0"/>
              <w:right w:val="single" w:color="auto" w:sz="4" w:space="0"/>
            </w:tcBorders>
            <w:vAlign w:val="center"/>
          </w:tcPr>
          <w:p>
            <w:pPr>
              <w:spacing w:line="456" w:lineRule="auto"/>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交付或者实施的时间</w:t>
            </w:r>
          </w:p>
        </w:tc>
        <w:tc>
          <w:tcPr>
            <w:tcW w:w="4536" w:type="dxa"/>
            <w:tcBorders>
              <w:top w:val="single" w:color="auto" w:sz="4" w:space="0"/>
              <w:left w:val="single" w:color="auto" w:sz="4" w:space="0"/>
              <w:bottom w:val="single" w:color="auto" w:sz="4" w:space="0"/>
              <w:right w:val="single" w:color="auto" w:sz="4" w:space="0"/>
            </w:tcBorders>
            <w:vAlign w:val="center"/>
          </w:tcPr>
          <w:p>
            <w:pPr>
              <w:spacing w:line="456" w:lineRule="auto"/>
              <w:rPr>
                <w:rFonts w:ascii="宋体" w:hAnsi="宋体"/>
                <w:color w:val="000000" w:themeColor="text1"/>
                <w:szCs w:val="21"/>
                <w:u w:val="single"/>
                <w14:textFill>
                  <w14:solidFill>
                    <w14:schemeClr w14:val="tx1"/>
                  </w14:solidFill>
                </w14:textFill>
              </w:rPr>
            </w:pPr>
            <w:r>
              <w:rPr>
                <w:rFonts w:hint="eastAsia" w:ascii="宋体" w:hAnsi="宋体"/>
                <w:color w:val="000000" w:themeColor="text1"/>
                <w:szCs w:val="21"/>
                <w:u w:val="single"/>
                <w14:textFill>
                  <w14:solidFill>
                    <w14:schemeClr w14:val="tx1"/>
                  </w14:solidFill>
                </w14:textFill>
              </w:rPr>
              <w:t xml:space="preserve">        天（日历天）内供货（送达）、安装调试完毕并达到采购人的验收标准。</w:t>
            </w:r>
          </w:p>
        </w:tc>
        <w:tc>
          <w:tcPr>
            <w:tcW w:w="1559" w:type="dxa"/>
            <w:tcBorders>
              <w:top w:val="single" w:color="auto" w:sz="4" w:space="0"/>
              <w:left w:val="single" w:color="auto" w:sz="4" w:space="0"/>
              <w:bottom w:val="single" w:color="auto" w:sz="4" w:space="0"/>
              <w:right w:val="single" w:color="auto" w:sz="4" w:space="0"/>
            </w:tcBorders>
            <w:vAlign w:val="center"/>
          </w:tcPr>
          <w:p>
            <w:pPr>
              <w:spacing w:line="456" w:lineRule="auto"/>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58" w:type="dxa"/>
            <w:tcBorders>
              <w:top w:val="single" w:color="auto" w:sz="4" w:space="0"/>
              <w:left w:val="single" w:color="auto" w:sz="4" w:space="0"/>
              <w:bottom w:val="single" w:color="auto" w:sz="4" w:space="0"/>
              <w:right w:val="single" w:color="auto" w:sz="4" w:space="0"/>
            </w:tcBorders>
            <w:vAlign w:val="center"/>
          </w:tcPr>
          <w:p>
            <w:pPr>
              <w:spacing w:line="456" w:lineRule="auto"/>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5</w:t>
            </w:r>
          </w:p>
        </w:tc>
        <w:tc>
          <w:tcPr>
            <w:tcW w:w="2711" w:type="dxa"/>
            <w:tcBorders>
              <w:top w:val="single" w:color="auto" w:sz="4" w:space="0"/>
              <w:left w:val="single" w:color="auto" w:sz="4" w:space="0"/>
              <w:bottom w:val="single" w:color="auto" w:sz="4" w:space="0"/>
              <w:right w:val="single" w:color="auto" w:sz="4" w:space="0"/>
            </w:tcBorders>
            <w:vAlign w:val="center"/>
          </w:tcPr>
          <w:p>
            <w:pPr>
              <w:spacing w:line="456" w:lineRule="auto"/>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交付或者实施的地点</w:t>
            </w:r>
          </w:p>
        </w:tc>
        <w:tc>
          <w:tcPr>
            <w:tcW w:w="4536" w:type="dxa"/>
            <w:tcBorders>
              <w:top w:val="single" w:color="auto" w:sz="4" w:space="0"/>
              <w:left w:val="single" w:color="auto" w:sz="4" w:space="0"/>
              <w:bottom w:val="single" w:color="auto" w:sz="4" w:space="0"/>
              <w:right w:val="single" w:color="auto" w:sz="4" w:space="0"/>
            </w:tcBorders>
            <w:vAlign w:val="center"/>
          </w:tcPr>
          <w:p>
            <w:pPr>
              <w:spacing w:line="456" w:lineRule="auto"/>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江苏盐城（具体地点服从采购人的另行通知）</w:t>
            </w:r>
          </w:p>
        </w:tc>
        <w:tc>
          <w:tcPr>
            <w:tcW w:w="1559" w:type="dxa"/>
            <w:tcBorders>
              <w:top w:val="single" w:color="auto" w:sz="4" w:space="0"/>
              <w:left w:val="single" w:color="auto" w:sz="4" w:space="0"/>
              <w:bottom w:val="single" w:color="auto" w:sz="4" w:space="0"/>
              <w:right w:val="single" w:color="auto" w:sz="4" w:space="0"/>
            </w:tcBorders>
            <w:vAlign w:val="center"/>
          </w:tcPr>
          <w:p>
            <w:pPr>
              <w:spacing w:line="456" w:lineRule="auto"/>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58" w:type="dxa"/>
            <w:tcBorders>
              <w:top w:val="single" w:color="auto" w:sz="4" w:space="0"/>
              <w:left w:val="single" w:color="auto" w:sz="4" w:space="0"/>
              <w:bottom w:val="single" w:color="auto" w:sz="4" w:space="0"/>
              <w:right w:val="single" w:color="auto" w:sz="4" w:space="0"/>
            </w:tcBorders>
            <w:vAlign w:val="center"/>
          </w:tcPr>
          <w:p>
            <w:pPr>
              <w:spacing w:line="456"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w:t>
            </w:r>
          </w:p>
        </w:tc>
        <w:tc>
          <w:tcPr>
            <w:tcW w:w="271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是否接受招标文件的</w:t>
            </w:r>
          </w:p>
          <w:p>
            <w:pPr>
              <w:jc w:val="center"/>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采购资金的支付方式、时间、条件（付款条件）</w:t>
            </w:r>
          </w:p>
        </w:tc>
        <w:tc>
          <w:tcPr>
            <w:tcW w:w="4536" w:type="dxa"/>
            <w:tcBorders>
              <w:top w:val="single" w:color="auto" w:sz="4" w:space="0"/>
              <w:left w:val="single" w:color="auto" w:sz="4" w:space="0"/>
              <w:bottom w:val="single" w:color="auto" w:sz="4" w:space="0"/>
              <w:right w:val="single" w:color="auto" w:sz="4" w:space="0"/>
            </w:tcBorders>
            <w:vAlign w:val="center"/>
          </w:tcPr>
          <w:p>
            <w:pPr>
              <w:widowControl/>
              <w:spacing w:line="456" w:lineRule="auto"/>
              <w:jc w:val="center"/>
              <w:rPr>
                <w:rFonts w:ascii="宋体" w:hAnsi="宋体"/>
                <w:i/>
                <w:color w:val="000000" w:themeColor="text1"/>
                <w:szCs w:val="21"/>
                <w:u w:val="single"/>
                <w14:textFill>
                  <w14:solidFill>
                    <w14:schemeClr w14:val="tx1"/>
                  </w14:solidFill>
                </w14:textFill>
              </w:rPr>
            </w:pPr>
            <w:r>
              <w:rPr>
                <w:rFonts w:hint="eastAsia" w:ascii="宋体" w:hAnsi="宋体" w:cs="宋体"/>
                <w:i/>
                <w:color w:val="000000" w:themeColor="text1"/>
                <w:szCs w:val="21"/>
                <w:u w:val="single"/>
                <w14:textFill>
                  <w14:solidFill>
                    <w14:schemeClr w14:val="tx1"/>
                  </w14:solidFill>
                </w14:textFill>
              </w:rPr>
              <w:t>（“</w:t>
            </w:r>
            <w:r>
              <w:rPr>
                <w:rFonts w:hint="eastAsia" w:ascii="宋体" w:hAnsi="宋体"/>
                <w:i/>
                <w:color w:val="000000" w:themeColor="text1"/>
                <w:szCs w:val="21"/>
                <w:u w:val="single"/>
                <w14:textFill>
                  <w14:solidFill>
                    <w14:schemeClr w14:val="tx1"/>
                  </w14:solidFill>
                </w14:textFill>
              </w:rPr>
              <w:t>接受”或“不接受”</w:t>
            </w:r>
            <w:r>
              <w:rPr>
                <w:rFonts w:hint="eastAsia" w:ascii="宋体" w:hAnsi="宋体" w:cs="宋体"/>
                <w:i/>
                <w:color w:val="000000" w:themeColor="text1"/>
                <w:szCs w:val="21"/>
                <w:u w:val="single"/>
                <w14:textFill>
                  <w14:solidFill>
                    <w14:schemeClr w14:val="tx1"/>
                  </w14:solidFill>
                </w14:textFill>
              </w:rPr>
              <w:t>）</w:t>
            </w:r>
          </w:p>
        </w:tc>
        <w:tc>
          <w:tcPr>
            <w:tcW w:w="1559" w:type="dxa"/>
            <w:tcBorders>
              <w:top w:val="single" w:color="auto" w:sz="4" w:space="0"/>
              <w:left w:val="single" w:color="auto" w:sz="4" w:space="0"/>
              <w:bottom w:val="single" w:color="auto" w:sz="4" w:space="0"/>
              <w:right w:val="single" w:color="auto" w:sz="4" w:space="0"/>
            </w:tcBorders>
            <w:vAlign w:val="center"/>
          </w:tcPr>
          <w:p>
            <w:pPr>
              <w:spacing w:line="456" w:lineRule="auto"/>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58" w:type="dxa"/>
            <w:tcBorders>
              <w:top w:val="single" w:color="auto" w:sz="4" w:space="0"/>
              <w:left w:val="single" w:color="auto" w:sz="4" w:space="0"/>
              <w:bottom w:val="single" w:color="auto" w:sz="4" w:space="0"/>
              <w:right w:val="single" w:color="auto" w:sz="4" w:space="0"/>
            </w:tcBorders>
            <w:vAlign w:val="center"/>
          </w:tcPr>
          <w:p>
            <w:pPr>
              <w:spacing w:line="456"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w:t>
            </w:r>
          </w:p>
        </w:tc>
        <w:tc>
          <w:tcPr>
            <w:tcW w:w="271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是否接受招标文件的</w:t>
            </w:r>
          </w:p>
          <w:p>
            <w:pPr>
              <w:jc w:val="center"/>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包装和运输要求</w:t>
            </w:r>
          </w:p>
        </w:tc>
        <w:tc>
          <w:tcPr>
            <w:tcW w:w="4536" w:type="dxa"/>
            <w:tcBorders>
              <w:top w:val="single" w:color="auto" w:sz="4" w:space="0"/>
              <w:left w:val="single" w:color="auto" w:sz="4" w:space="0"/>
              <w:bottom w:val="single" w:color="auto" w:sz="4" w:space="0"/>
              <w:right w:val="single" w:color="auto" w:sz="4" w:space="0"/>
            </w:tcBorders>
            <w:vAlign w:val="center"/>
          </w:tcPr>
          <w:p>
            <w:pPr>
              <w:widowControl/>
              <w:spacing w:line="456" w:lineRule="auto"/>
              <w:jc w:val="center"/>
              <w:rPr>
                <w:rFonts w:ascii="宋体" w:hAnsi="宋体"/>
                <w:i/>
                <w:color w:val="000000" w:themeColor="text1"/>
                <w:szCs w:val="21"/>
                <w:u w:val="single"/>
                <w14:textFill>
                  <w14:solidFill>
                    <w14:schemeClr w14:val="tx1"/>
                  </w14:solidFill>
                </w14:textFill>
              </w:rPr>
            </w:pPr>
            <w:r>
              <w:rPr>
                <w:rFonts w:hint="eastAsia" w:ascii="宋体" w:hAnsi="宋体" w:cs="宋体"/>
                <w:i/>
                <w:color w:val="000000" w:themeColor="text1"/>
                <w:szCs w:val="21"/>
                <w:u w:val="single"/>
                <w14:textFill>
                  <w14:solidFill>
                    <w14:schemeClr w14:val="tx1"/>
                  </w14:solidFill>
                </w14:textFill>
              </w:rPr>
              <w:t>（“</w:t>
            </w:r>
            <w:r>
              <w:rPr>
                <w:rFonts w:hint="eastAsia" w:ascii="宋体" w:hAnsi="宋体"/>
                <w:i/>
                <w:color w:val="000000" w:themeColor="text1"/>
                <w:szCs w:val="21"/>
                <w:u w:val="single"/>
                <w14:textFill>
                  <w14:solidFill>
                    <w14:schemeClr w14:val="tx1"/>
                  </w14:solidFill>
                </w14:textFill>
              </w:rPr>
              <w:t>接受”或“不接受”</w:t>
            </w:r>
            <w:r>
              <w:rPr>
                <w:rFonts w:hint="eastAsia" w:ascii="宋体" w:hAnsi="宋体" w:cs="宋体"/>
                <w:i/>
                <w:color w:val="000000" w:themeColor="text1"/>
                <w:szCs w:val="21"/>
                <w:u w:val="single"/>
                <w14:textFill>
                  <w14:solidFill>
                    <w14:schemeClr w14:val="tx1"/>
                  </w14:solidFill>
                </w14:textFill>
              </w:rPr>
              <w:t>）</w:t>
            </w:r>
          </w:p>
        </w:tc>
        <w:tc>
          <w:tcPr>
            <w:tcW w:w="1559" w:type="dxa"/>
            <w:tcBorders>
              <w:top w:val="single" w:color="auto" w:sz="4" w:space="0"/>
              <w:left w:val="single" w:color="auto" w:sz="4" w:space="0"/>
              <w:bottom w:val="single" w:color="auto" w:sz="4" w:space="0"/>
              <w:right w:val="single" w:color="auto" w:sz="4" w:space="0"/>
            </w:tcBorders>
            <w:vAlign w:val="center"/>
          </w:tcPr>
          <w:p>
            <w:pPr>
              <w:spacing w:line="456" w:lineRule="auto"/>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58" w:type="dxa"/>
            <w:tcBorders>
              <w:top w:val="single" w:color="auto" w:sz="4" w:space="0"/>
              <w:left w:val="single" w:color="auto" w:sz="4" w:space="0"/>
              <w:bottom w:val="single" w:color="auto" w:sz="4" w:space="0"/>
              <w:right w:val="single" w:color="auto" w:sz="4" w:space="0"/>
            </w:tcBorders>
            <w:vAlign w:val="center"/>
          </w:tcPr>
          <w:p>
            <w:pPr>
              <w:spacing w:line="456"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w:t>
            </w:r>
          </w:p>
        </w:tc>
        <w:tc>
          <w:tcPr>
            <w:tcW w:w="271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保险</w:t>
            </w:r>
          </w:p>
        </w:tc>
        <w:tc>
          <w:tcPr>
            <w:tcW w:w="4536"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本次报价包括了与项目有关的保险费用。</w:t>
            </w:r>
          </w:p>
          <w:p>
            <w:pPr>
              <w:rPr>
                <w:rFonts w:ascii="宋体" w:hAnsi="宋体"/>
                <w:color w:val="000000" w:themeColor="text1"/>
                <w14:textFill>
                  <w14:solidFill>
                    <w14:schemeClr w14:val="tx1"/>
                  </w14:solidFill>
                </w14:textFill>
              </w:rPr>
            </w:pPr>
            <w:r>
              <w:rPr>
                <w:rFonts w:hint="eastAsia" w:ascii="宋体" w:hAnsi="宋体"/>
                <w:iCs/>
                <w:color w:val="000000" w:themeColor="text1"/>
                <w14:textFill>
                  <w14:solidFill>
                    <w14:schemeClr w14:val="tx1"/>
                  </w14:solidFill>
                </w14:textFill>
              </w:rPr>
              <w:t>其它承诺：</w:t>
            </w:r>
            <w:r>
              <w:rPr>
                <w:rFonts w:hint="eastAsia" w:ascii="宋体" w:hAnsi="宋体"/>
                <w:i/>
                <w:iCs/>
                <w:color w:val="000000" w:themeColor="text1"/>
                <w:u w:val="single"/>
                <w14:textFill>
                  <w14:solidFill>
                    <w14:schemeClr w14:val="tx1"/>
                  </w14:solidFill>
                </w14:textFill>
              </w:rPr>
              <w:t>可另页详述（应答），但须标注其所在页码</w:t>
            </w:r>
          </w:p>
        </w:tc>
        <w:tc>
          <w:tcPr>
            <w:tcW w:w="155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9</w:t>
            </w:r>
          </w:p>
        </w:tc>
        <w:tc>
          <w:tcPr>
            <w:tcW w:w="2711" w:type="dxa"/>
            <w:tcBorders>
              <w:top w:val="single" w:color="auto" w:sz="4" w:space="0"/>
              <w:left w:val="single" w:color="auto" w:sz="4" w:space="0"/>
              <w:bottom w:val="single" w:color="auto" w:sz="4" w:space="0"/>
              <w:right w:val="single" w:color="auto" w:sz="4" w:space="0"/>
            </w:tcBorders>
            <w:vAlign w:val="center"/>
          </w:tcPr>
          <w:p>
            <w:pPr>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具体的售后服务等其它要求</w:t>
            </w:r>
            <w:r>
              <w:rPr>
                <w:rFonts w:hint="eastAsia" w:ascii="宋体" w:hAnsi="宋体"/>
                <w:b/>
                <w:i/>
                <w:color w:val="000000" w:themeColor="text1"/>
                <w:u w:val="single"/>
                <w14:textFill>
                  <w14:solidFill>
                    <w14:schemeClr w14:val="tx1"/>
                  </w14:solidFill>
                </w14:textFill>
              </w:rPr>
              <w:t>（可根据招标文件要求自行添加）</w:t>
            </w:r>
          </w:p>
        </w:tc>
        <w:tc>
          <w:tcPr>
            <w:tcW w:w="4536"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14:textFill>
                  <w14:solidFill>
                    <w14:schemeClr w14:val="tx1"/>
                  </w14:solidFill>
                </w14:textFill>
              </w:rPr>
            </w:pPr>
            <w:r>
              <w:rPr>
                <w:rFonts w:hint="eastAsia" w:ascii="宋体" w:hAnsi="宋体"/>
                <w:i/>
                <w:iCs/>
                <w:color w:val="000000" w:themeColor="text1"/>
                <w:u w:val="single"/>
                <w14:textFill>
                  <w14:solidFill>
                    <w14:schemeClr w14:val="tx1"/>
                  </w14:solidFill>
                </w14:textFill>
              </w:rPr>
              <w:t>可另页详述（应答），但须标注其所在页码</w:t>
            </w:r>
          </w:p>
        </w:tc>
        <w:tc>
          <w:tcPr>
            <w:tcW w:w="155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58" w:type="dxa"/>
            <w:tcBorders>
              <w:top w:val="single" w:color="auto" w:sz="4" w:space="0"/>
              <w:left w:val="single" w:color="auto" w:sz="4" w:space="0"/>
              <w:bottom w:val="single" w:color="auto" w:sz="4" w:space="0"/>
              <w:right w:val="single" w:color="auto" w:sz="4" w:space="0"/>
            </w:tcBorders>
            <w:vAlign w:val="center"/>
          </w:tcPr>
          <w:p>
            <w:pPr>
              <w:spacing w:line="456" w:lineRule="auto"/>
              <w:jc w:val="center"/>
              <w:rPr>
                <w:rFonts w:ascii="宋体" w:hAnsi="宋体" w:cs="宋体"/>
                <w:color w:val="000000" w:themeColor="text1"/>
                <w:szCs w:val="21"/>
                <w14:textFill>
                  <w14:solidFill>
                    <w14:schemeClr w14:val="tx1"/>
                  </w14:solidFill>
                </w14:textFill>
              </w:rPr>
            </w:pPr>
          </w:p>
        </w:tc>
        <w:tc>
          <w:tcPr>
            <w:tcW w:w="2711" w:type="dxa"/>
            <w:tcBorders>
              <w:top w:val="single" w:color="auto" w:sz="4" w:space="0"/>
              <w:left w:val="single" w:color="auto" w:sz="4" w:space="0"/>
              <w:bottom w:val="single" w:color="auto" w:sz="4" w:space="0"/>
              <w:right w:val="single" w:color="auto" w:sz="4" w:space="0"/>
            </w:tcBorders>
            <w:vAlign w:val="center"/>
          </w:tcPr>
          <w:p>
            <w:pPr>
              <w:spacing w:line="456" w:lineRule="auto"/>
              <w:jc w:val="center"/>
              <w:rPr>
                <w:rFonts w:ascii="宋体" w:hAnsi="宋体"/>
                <w:i/>
                <w:color w:val="000000" w:themeColor="text1"/>
                <w:szCs w:val="21"/>
                <w:u w:val="single"/>
                <w14:textFill>
                  <w14:solidFill>
                    <w14:schemeClr w14:val="tx1"/>
                  </w14:solidFill>
                </w14:textFill>
              </w:rPr>
            </w:pPr>
          </w:p>
        </w:tc>
        <w:tc>
          <w:tcPr>
            <w:tcW w:w="4536" w:type="dxa"/>
            <w:tcBorders>
              <w:top w:val="single" w:color="auto" w:sz="4" w:space="0"/>
              <w:left w:val="single" w:color="auto" w:sz="4" w:space="0"/>
              <w:bottom w:val="single" w:color="auto" w:sz="4" w:space="0"/>
              <w:right w:val="single" w:color="auto" w:sz="4" w:space="0"/>
            </w:tcBorders>
            <w:vAlign w:val="center"/>
          </w:tcPr>
          <w:p>
            <w:pPr>
              <w:spacing w:line="456" w:lineRule="auto"/>
              <w:jc w:val="center"/>
              <w:rPr>
                <w:rFonts w:ascii="宋体" w:hAnsi="宋体"/>
                <w:b/>
                <w:color w:val="000000" w:themeColor="text1"/>
                <w:szCs w:val="21"/>
                <w:u w:val="single"/>
                <w14:textFill>
                  <w14:solidFill>
                    <w14:schemeClr w14:val="tx1"/>
                  </w14:solidFill>
                </w14:textFill>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456" w:lineRule="auto"/>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58" w:type="dxa"/>
            <w:tcBorders>
              <w:top w:val="single" w:color="auto" w:sz="4" w:space="0"/>
              <w:left w:val="single" w:color="auto" w:sz="4" w:space="0"/>
              <w:bottom w:val="single" w:color="auto" w:sz="4" w:space="0"/>
              <w:right w:val="single" w:color="auto" w:sz="4" w:space="0"/>
            </w:tcBorders>
            <w:vAlign w:val="center"/>
          </w:tcPr>
          <w:p>
            <w:pPr>
              <w:spacing w:line="456" w:lineRule="auto"/>
              <w:jc w:val="center"/>
              <w:rPr>
                <w:rFonts w:ascii="宋体" w:hAnsi="宋体" w:cs="宋体"/>
                <w:color w:val="000000" w:themeColor="text1"/>
                <w:szCs w:val="21"/>
                <w14:textFill>
                  <w14:solidFill>
                    <w14:schemeClr w14:val="tx1"/>
                  </w14:solidFill>
                </w14:textFill>
              </w:rPr>
            </w:pPr>
          </w:p>
        </w:tc>
        <w:tc>
          <w:tcPr>
            <w:tcW w:w="2711" w:type="dxa"/>
            <w:tcBorders>
              <w:top w:val="single" w:color="auto" w:sz="4" w:space="0"/>
              <w:left w:val="single" w:color="auto" w:sz="4" w:space="0"/>
              <w:bottom w:val="single" w:color="auto" w:sz="4" w:space="0"/>
              <w:right w:val="single" w:color="auto" w:sz="4" w:space="0"/>
            </w:tcBorders>
            <w:vAlign w:val="center"/>
          </w:tcPr>
          <w:p>
            <w:pPr>
              <w:widowControl/>
              <w:spacing w:line="456" w:lineRule="auto"/>
              <w:jc w:val="center"/>
              <w:rPr>
                <w:rFonts w:ascii="宋体" w:hAnsi="宋体" w:cs="宋体"/>
                <w:b/>
                <w:i/>
                <w:color w:val="000000" w:themeColor="text1"/>
                <w:kern w:val="0"/>
                <w:szCs w:val="21"/>
                <w:u w:val="single"/>
                <w14:textFill>
                  <w14:solidFill>
                    <w14:schemeClr w14:val="tx1"/>
                  </w14:solidFill>
                </w14:textFill>
              </w:rPr>
            </w:pPr>
          </w:p>
        </w:tc>
        <w:tc>
          <w:tcPr>
            <w:tcW w:w="4536" w:type="dxa"/>
            <w:tcBorders>
              <w:top w:val="single" w:color="auto" w:sz="4" w:space="0"/>
              <w:left w:val="single" w:color="auto" w:sz="4" w:space="0"/>
              <w:bottom w:val="single" w:color="auto" w:sz="4" w:space="0"/>
              <w:right w:val="single" w:color="auto" w:sz="4" w:space="0"/>
            </w:tcBorders>
            <w:vAlign w:val="center"/>
          </w:tcPr>
          <w:p>
            <w:pPr>
              <w:spacing w:line="456" w:lineRule="auto"/>
              <w:jc w:val="center"/>
              <w:rPr>
                <w:rFonts w:ascii="宋体" w:hAnsi="宋体" w:cs="宋体"/>
                <w:color w:val="000000" w:themeColor="text1"/>
                <w:szCs w:val="21"/>
                <w14:textFill>
                  <w14:solidFill>
                    <w14:schemeClr w14:val="tx1"/>
                  </w14:solidFill>
                </w14:textFill>
              </w:rPr>
            </w:pPr>
            <w:r>
              <w:rPr>
                <w:rFonts w:hint="eastAsia" w:ascii="宋体" w:hAnsi="宋体"/>
                <w:i/>
                <w:color w:val="000000" w:themeColor="text1"/>
                <w:szCs w:val="21"/>
                <w:u w:val="single"/>
                <w14:textFill>
                  <w14:solidFill>
                    <w14:schemeClr w14:val="tx1"/>
                  </w14:solidFill>
                </w14:textFill>
              </w:rPr>
              <w:t>行数不够，可按本表格式自行添加</w:t>
            </w:r>
          </w:p>
        </w:tc>
        <w:tc>
          <w:tcPr>
            <w:tcW w:w="1559" w:type="dxa"/>
            <w:tcBorders>
              <w:top w:val="single" w:color="auto" w:sz="4" w:space="0"/>
              <w:left w:val="single" w:color="auto" w:sz="4" w:space="0"/>
              <w:bottom w:val="single" w:color="auto" w:sz="4" w:space="0"/>
              <w:right w:val="single" w:color="auto" w:sz="4" w:space="0"/>
            </w:tcBorders>
            <w:vAlign w:val="center"/>
          </w:tcPr>
          <w:p>
            <w:pPr>
              <w:spacing w:line="456" w:lineRule="auto"/>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9464" w:type="dxa"/>
            <w:gridSpan w:val="4"/>
            <w:tcBorders>
              <w:top w:val="single" w:color="auto" w:sz="4" w:space="0"/>
              <w:left w:val="single" w:color="auto" w:sz="4" w:space="0"/>
              <w:bottom w:val="single" w:color="auto" w:sz="4" w:space="0"/>
              <w:right w:val="single" w:color="auto" w:sz="4" w:space="0"/>
            </w:tcBorders>
            <w:vAlign w:val="center"/>
          </w:tcPr>
          <w:p>
            <w:pPr>
              <w:spacing w:line="456" w:lineRule="auto"/>
              <w:jc w:val="left"/>
              <w:rPr>
                <w:rFonts w:ascii="宋体" w:hAnsi="宋体"/>
                <w:b/>
                <w:color w:val="000000" w:themeColor="text1"/>
                <w:szCs w:val="21"/>
                <w:u w:val="single"/>
                <w14:textFill>
                  <w14:solidFill>
                    <w14:schemeClr w14:val="tx1"/>
                  </w14:solidFill>
                </w14:textFill>
              </w:rPr>
            </w:pPr>
            <w:r>
              <w:rPr>
                <w:rFonts w:hint="eastAsia" w:ascii="宋体" w:hAnsi="宋体"/>
                <w:b/>
                <w:color w:val="000000" w:themeColor="text1"/>
                <w:szCs w:val="21"/>
                <w:u w:val="single"/>
                <w14:textFill>
                  <w14:solidFill>
                    <w14:schemeClr w14:val="tx1"/>
                  </w14:solidFill>
                </w14:textFill>
              </w:rPr>
              <w:t>法定代表人或其委托</w:t>
            </w:r>
            <w:r>
              <w:rPr>
                <w:rFonts w:ascii="宋体" w:hAnsi="宋体"/>
                <w:b/>
                <w:color w:val="000000" w:themeColor="text1"/>
                <w:szCs w:val="21"/>
                <w:u w:val="single"/>
                <w14:textFill>
                  <w14:solidFill>
                    <w14:schemeClr w14:val="tx1"/>
                  </w14:solidFill>
                </w14:textFill>
              </w:rPr>
              <w:t>代理人</w:t>
            </w:r>
            <w:r>
              <w:rPr>
                <w:rFonts w:hint="eastAsia" w:ascii="宋体" w:hAnsi="宋体"/>
                <w:b/>
                <w:color w:val="000000" w:themeColor="text1"/>
                <w:szCs w:val="21"/>
                <w:u w:val="single"/>
                <w14:textFill>
                  <w14:solidFill>
                    <w14:schemeClr w14:val="tx1"/>
                  </w14:solidFill>
                </w14:textFill>
              </w:rPr>
              <w:t xml:space="preserve">（签字）：                  </w:t>
            </w:r>
          </w:p>
          <w:p>
            <w:pPr>
              <w:spacing w:line="456" w:lineRule="auto"/>
              <w:jc w:val="left"/>
              <w:rPr>
                <w:rFonts w:ascii="宋体" w:hAnsi="宋体" w:cs="宋体"/>
                <w:color w:val="000000" w:themeColor="text1"/>
                <w:szCs w:val="21"/>
                <w14:textFill>
                  <w14:solidFill>
                    <w14:schemeClr w14:val="tx1"/>
                  </w14:solidFill>
                </w14:textFill>
              </w:rPr>
            </w:pPr>
            <w:r>
              <w:rPr>
                <w:rFonts w:hint="eastAsia" w:ascii="宋体" w:hAnsi="宋体"/>
                <w:b/>
                <w:color w:val="000000" w:themeColor="text1"/>
                <w:szCs w:val="21"/>
                <w:u w:val="single"/>
                <w14:textFill>
                  <w14:solidFill>
                    <w14:schemeClr w14:val="tx1"/>
                  </w14:solidFill>
                </w14:textFill>
              </w:rPr>
              <w:t xml:space="preserve">投标人(盖单位章)：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9464" w:type="dxa"/>
            <w:gridSpan w:val="4"/>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注：</w:t>
            </w:r>
          </w:p>
          <w:p>
            <w:pPr>
              <w:ind w:firstLine="42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1.投标人需按</w:t>
            </w:r>
            <w:r>
              <w:rPr>
                <w:rFonts w:hint="eastAsia" w:ascii="宋体" w:hAnsi="宋体"/>
                <w:color w:val="000000" w:themeColor="text1"/>
                <w14:textFill>
                  <w14:solidFill>
                    <w14:schemeClr w14:val="tx1"/>
                  </w14:solidFill>
                </w14:textFill>
              </w:rPr>
              <w:t>招标文件中的商务要求</w:t>
            </w:r>
            <w:r>
              <w:rPr>
                <w:rFonts w:ascii="宋体" w:hAnsi="宋体"/>
                <w:color w:val="000000" w:themeColor="text1"/>
                <w14:textFill>
                  <w14:solidFill>
                    <w14:schemeClr w14:val="tx1"/>
                  </w14:solidFill>
                </w14:textFill>
              </w:rPr>
              <w:t>进行应答</w:t>
            </w: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详细描述如何满足该需求</w:t>
            </w: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w:t>
            </w:r>
          </w:p>
          <w:p>
            <w:pPr>
              <w:ind w:firstLine="42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2</w:t>
            </w:r>
            <w:r>
              <w:rPr>
                <w:rFonts w:hint="eastAsia" w:ascii="宋体" w:hAnsi="宋体"/>
                <w:color w:val="000000" w:themeColor="text1"/>
                <w14:textFill>
                  <w14:solidFill>
                    <w14:schemeClr w14:val="tx1"/>
                  </w14:solidFill>
                </w14:textFill>
              </w:rPr>
              <w:t>.如本表表格填写不便的，可以另页</w:t>
            </w:r>
            <w:r>
              <w:rPr>
                <w:rFonts w:ascii="宋体" w:hAnsi="宋体"/>
                <w:color w:val="000000" w:themeColor="text1"/>
                <w14:textFill>
                  <w14:solidFill>
                    <w14:schemeClr w14:val="tx1"/>
                  </w14:solidFill>
                </w14:textFill>
              </w:rPr>
              <w:t>详述</w:t>
            </w: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应答</w:t>
            </w: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，但必须给出确切的位置索引</w:t>
            </w:r>
            <w:r>
              <w:rPr>
                <w:rFonts w:hint="eastAsia" w:ascii="宋体" w:hAnsi="宋体"/>
                <w:color w:val="000000" w:themeColor="text1"/>
                <w14:textFill>
                  <w14:solidFill>
                    <w14:schemeClr w14:val="tx1"/>
                  </w14:solidFill>
                </w14:textFill>
              </w:rPr>
              <w:t>（标注内容的所在页码）</w:t>
            </w:r>
            <w:r>
              <w:rPr>
                <w:rFonts w:ascii="宋体" w:hAnsi="宋体"/>
                <w:color w:val="000000" w:themeColor="text1"/>
                <w14:textFill>
                  <w14:solidFill>
                    <w14:schemeClr w14:val="tx1"/>
                  </w14:solidFill>
                </w14:textFill>
              </w:rPr>
              <w:t>。</w:t>
            </w:r>
          </w:p>
          <w:p>
            <w:pPr>
              <w:ind w:firstLine="42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3</w:t>
            </w: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投标人可根据其投标内容进一步细化上述表格，并可增添其它表格或说明以便进一步明确投标内容。</w:t>
            </w:r>
          </w:p>
        </w:tc>
      </w:tr>
    </w:tbl>
    <w:p>
      <w:pPr>
        <w:spacing w:line="540" w:lineRule="atLeast"/>
        <w:jc w:val="center"/>
        <w:outlineLvl w:val="1"/>
        <w:rPr>
          <w:rFonts w:ascii="宋体" w:hAnsi="宋体"/>
          <w:b/>
          <w:color w:val="000000"/>
          <w:sz w:val="28"/>
          <w:szCs w:val="28"/>
        </w:rPr>
      </w:pPr>
      <w:bookmarkStart w:id="189" w:name="_Toc122338108"/>
      <w:r>
        <w:rPr>
          <w:rFonts w:hint="eastAsia" w:ascii="宋体" w:hAnsi="宋体"/>
          <w:b/>
          <w:color w:val="000000"/>
          <w:sz w:val="28"/>
          <w:szCs w:val="28"/>
        </w:rPr>
        <w:t>六、商务条款偏离表（格式）</w:t>
      </w:r>
      <w:bookmarkEnd w:id="189"/>
    </w:p>
    <w:p>
      <w:pPr>
        <w:spacing w:line="360" w:lineRule="auto"/>
        <w:rPr>
          <w:rFonts w:ascii="宋体" w:hAnsi="宋体"/>
          <w:b/>
          <w:color w:val="000000"/>
          <w:sz w:val="24"/>
        </w:rPr>
      </w:pPr>
    </w:p>
    <w:p>
      <w:pPr>
        <w:spacing w:line="540" w:lineRule="atLeast"/>
        <w:jc w:val="center"/>
        <w:outlineLvl w:val="1"/>
        <w:rPr>
          <w:rFonts w:ascii="宋体" w:hAnsi="宋体" w:cs="宋体"/>
          <w:b/>
          <w:color w:val="000000"/>
          <w:sz w:val="28"/>
          <w:szCs w:val="28"/>
        </w:rPr>
      </w:pPr>
      <w:bookmarkStart w:id="190" w:name="_Toc122338109"/>
      <w:r>
        <w:rPr>
          <w:rFonts w:hint="eastAsia" w:ascii="宋体" w:hAnsi="宋体"/>
          <w:b/>
          <w:color w:val="000000"/>
          <w:sz w:val="28"/>
          <w:szCs w:val="28"/>
        </w:rPr>
        <w:t>七、投标（响应）分项报价表（格式）</w:t>
      </w:r>
      <w:bookmarkEnd w:id="190"/>
    </w:p>
    <w:tbl>
      <w:tblPr>
        <w:tblStyle w:val="26"/>
        <w:tblW w:w="98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6"/>
        <w:gridCol w:w="2744"/>
        <w:gridCol w:w="962"/>
        <w:gridCol w:w="1214"/>
        <w:gridCol w:w="838"/>
        <w:gridCol w:w="804"/>
        <w:gridCol w:w="840"/>
        <w:gridCol w:w="954"/>
        <w:gridCol w:w="8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3350" w:type="dxa"/>
            <w:gridSpan w:val="2"/>
            <w:vAlign w:val="center"/>
          </w:tcPr>
          <w:p>
            <w:pPr>
              <w:jc w:val="center"/>
              <w:rPr>
                <w:rFonts w:asciiTheme="minorEastAsia" w:hAnsiTheme="minorEastAsia" w:eastAsiaTheme="minorEastAsia" w:cstheme="minorEastAsia"/>
                <w:b/>
                <w:color w:val="000000"/>
                <w:szCs w:val="21"/>
              </w:rPr>
            </w:pPr>
            <w:r>
              <w:rPr>
                <w:rFonts w:hint="eastAsia" w:asciiTheme="minorEastAsia" w:hAnsiTheme="minorEastAsia" w:eastAsiaTheme="minorEastAsia" w:cstheme="minorEastAsia"/>
                <w:b/>
                <w:color w:val="000000"/>
                <w:szCs w:val="21"/>
              </w:rPr>
              <w:t>项目编号</w:t>
            </w:r>
          </w:p>
        </w:tc>
        <w:tc>
          <w:tcPr>
            <w:tcW w:w="6485" w:type="dxa"/>
            <w:gridSpan w:val="7"/>
            <w:vAlign w:val="center"/>
          </w:tcPr>
          <w:p>
            <w:pPr>
              <w:jc w:val="center"/>
              <w:rPr>
                <w:rFonts w:asciiTheme="minorEastAsia" w:hAnsiTheme="minorEastAsia" w:eastAsiaTheme="minorEastAsia" w:cstheme="minorEastAsia"/>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3350" w:type="dxa"/>
            <w:gridSpan w:val="2"/>
            <w:vAlign w:val="center"/>
          </w:tcPr>
          <w:p>
            <w:pPr>
              <w:jc w:val="center"/>
              <w:rPr>
                <w:rFonts w:asciiTheme="minorEastAsia" w:hAnsiTheme="minorEastAsia" w:eastAsiaTheme="minorEastAsia" w:cstheme="minorEastAsia"/>
                <w:b/>
                <w:color w:val="000000"/>
                <w:szCs w:val="21"/>
              </w:rPr>
            </w:pPr>
            <w:r>
              <w:rPr>
                <w:rFonts w:hint="eastAsia" w:asciiTheme="minorEastAsia" w:hAnsiTheme="minorEastAsia" w:eastAsiaTheme="minorEastAsia" w:cstheme="minorEastAsia"/>
                <w:b/>
                <w:color w:val="000000"/>
                <w:szCs w:val="21"/>
              </w:rPr>
              <w:t>项目名称</w:t>
            </w:r>
          </w:p>
        </w:tc>
        <w:tc>
          <w:tcPr>
            <w:tcW w:w="6485" w:type="dxa"/>
            <w:gridSpan w:val="7"/>
            <w:vAlign w:val="center"/>
          </w:tcPr>
          <w:p>
            <w:pPr>
              <w:jc w:val="center"/>
              <w:rPr>
                <w:rFonts w:asciiTheme="minorEastAsia" w:hAnsiTheme="minorEastAsia" w:eastAsiaTheme="minorEastAsia" w:cstheme="minorEastAsia"/>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6" w:type="dxa"/>
            <w:vAlign w:val="center"/>
          </w:tcPr>
          <w:p>
            <w:pPr>
              <w:jc w:val="center"/>
              <w:rPr>
                <w:rFonts w:asciiTheme="minorEastAsia" w:hAnsiTheme="minorEastAsia" w:eastAsiaTheme="minorEastAsia" w:cstheme="minorEastAsia"/>
                <w:b/>
                <w:color w:val="000000"/>
                <w:szCs w:val="21"/>
              </w:rPr>
            </w:pPr>
            <w:r>
              <w:rPr>
                <w:rFonts w:hint="eastAsia" w:asciiTheme="minorEastAsia" w:hAnsiTheme="minorEastAsia" w:eastAsiaTheme="minorEastAsia" w:cstheme="minorEastAsia"/>
                <w:b/>
                <w:color w:val="000000"/>
                <w:szCs w:val="21"/>
              </w:rPr>
              <w:t>序号</w:t>
            </w:r>
          </w:p>
        </w:tc>
        <w:tc>
          <w:tcPr>
            <w:tcW w:w="2744" w:type="dxa"/>
            <w:vAlign w:val="center"/>
          </w:tcPr>
          <w:p>
            <w:pPr>
              <w:jc w:val="center"/>
              <w:rPr>
                <w:rFonts w:asciiTheme="minorEastAsia" w:hAnsiTheme="minorEastAsia" w:eastAsiaTheme="minorEastAsia" w:cstheme="minorEastAsia"/>
                <w:b/>
                <w:color w:val="000000"/>
                <w:szCs w:val="21"/>
              </w:rPr>
            </w:pPr>
            <w:r>
              <w:rPr>
                <w:rFonts w:hint="eastAsia" w:asciiTheme="minorEastAsia" w:hAnsiTheme="minorEastAsia" w:eastAsiaTheme="minorEastAsia" w:cstheme="minorEastAsia"/>
                <w:b/>
                <w:color w:val="000000"/>
                <w:szCs w:val="21"/>
              </w:rPr>
              <w:t>采购货物名称</w:t>
            </w:r>
          </w:p>
          <w:p>
            <w:pPr>
              <w:pStyle w:val="25"/>
              <w:ind w:firstLine="0" w:firstLineChars="0"/>
              <w:rPr>
                <w:rFonts w:asciiTheme="minorEastAsia" w:hAnsiTheme="minorEastAsia" w:eastAsiaTheme="minorEastAsia" w:cstheme="minorEastAsia"/>
                <w:b/>
                <w:color w:val="000000"/>
                <w:sz w:val="21"/>
                <w:szCs w:val="21"/>
              </w:rPr>
            </w:pPr>
            <w:r>
              <w:rPr>
                <w:rFonts w:hint="eastAsia" w:asciiTheme="minorEastAsia" w:hAnsiTheme="minorEastAsia" w:eastAsiaTheme="minorEastAsia" w:cstheme="minorEastAsia"/>
                <w:b/>
                <w:color w:val="000000"/>
                <w:kern w:val="2"/>
                <w:sz w:val="21"/>
                <w:szCs w:val="21"/>
              </w:rPr>
              <w:t>（进口设备须标明英文名）</w:t>
            </w:r>
          </w:p>
        </w:tc>
        <w:tc>
          <w:tcPr>
            <w:tcW w:w="962" w:type="dxa"/>
            <w:vAlign w:val="center"/>
          </w:tcPr>
          <w:p>
            <w:pPr>
              <w:jc w:val="center"/>
              <w:rPr>
                <w:rFonts w:asciiTheme="minorEastAsia" w:hAnsiTheme="minorEastAsia" w:eastAsiaTheme="minorEastAsia" w:cstheme="minorEastAsia"/>
                <w:b/>
                <w:color w:val="000000"/>
                <w:szCs w:val="21"/>
              </w:rPr>
            </w:pPr>
            <w:r>
              <w:rPr>
                <w:rFonts w:hint="eastAsia" w:asciiTheme="minorEastAsia" w:hAnsiTheme="minorEastAsia" w:eastAsiaTheme="minorEastAsia" w:cstheme="minorEastAsia"/>
                <w:b/>
                <w:color w:val="000000"/>
                <w:szCs w:val="21"/>
              </w:rPr>
              <w:t>品牌</w:t>
            </w:r>
          </w:p>
        </w:tc>
        <w:tc>
          <w:tcPr>
            <w:tcW w:w="1214" w:type="dxa"/>
            <w:vAlign w:val="center"/>
          </w:tcPr>
          <w:p>
            <w:pPr>
              <w:jc w:val="center"/>
              <w:rPr>
                <w:rFonts w:asciiTheme="minorEastAsia" w:hAnsiTheme="minorEastAsia" w:eastAsiaTheme="minorEastAsia" w:cstheme="minorEastAsia"/>
                <w:b/>
                <w:color w:val="000000"/>
                <w:szCs w:val="21"/>
              </w:rPr>
            </w:pPr>
            <w:r>
              <w:rPr>
                <w:rFonts w:hint="eastAsia" w:asciiTheme="minorEastAsia" w:hAnsiTheme="minorEastAsia" w:eastAsiaTheme="minorEastAsia" w:cstheme="minorEastAsia"/>
                <w:b/>
                <w:color w:val="000000"/>
                <w:szCs w:val="21"/>
              </w:rPr>
              <w:t>型号/规格</w:t>
            </w:r>
          </w:p>
        </w:tc>
        <w:tc>
          <w:tcPr>
            <w:tcW w:w="838" w:type="dxa"/>
            <w:vAlign w:val="center"/>
          </w:tcPr>
          <w:p>
            <w:pPr>
              <w:jc w:val="center"/>
              <w:rPr>
                <w:rFonts w:asciiTheme="minorEastAsia" w:hAnsiTheme="minorEastAsia" w:eastAsiaTheme="minorEastAsia" w:cstheme="minorEastAsia"/>
                <w:b/>
                <w:color w:val="000000"/>
                <w:szCs w:val="21"/>
              </w:rPr>
            </w:pPr>
            <w:r>
              <w:rPr>
                <w:rFonts w:hint="eastAsia" w:asciiTheme="minorEastAsia" w:hAnsiTheme="minorEastAsia" w:eastAsiaTheme="minorEastAsia" w:cstheme="minorEastAsia"/>
                <w:b/>
                <w:color w:val="000000"/>
                <w:szCs w:val="21"/>
              </w:rPr>
              <w:t>厂商</w:t>
            </w:r>
          </w:p>
        </w:tc>
        <w:tc>
          <w:tcPr>
            <w:tcW w:w="804" w:type="dxa"/>
            <w:vAlign w:val="center"/>
          </w:tcPr>
          <w:p>
            <w:pPr>
              <w:jc w:val="center"/>
              <w:rPr>
                <w:rFonts w:asciiTheme="minorEastAsia" w:hAnsiTheme="minorEastAsia" w:eastAsiaTheme="minorEastAsia" w:cstheme="minorEastAsia"/>
                <w:b/>
                <w:color w:val="000000"/>
                <w:szCs w:val="21"/>
              </w:rPr>
            </w:pPr>
            <w:r>
              <w:rPr>
                <w:rFonts w:hint="eastAsia" w:asciiTheme="minorEastAsia" w:hAnsiTheme="minorEastAsia" w:eastAsiaTheme="minorEastAsia" w:cstheme="minorEastAsia"/>
                <w:b/>
                <w:color w:val="000000"/>
                <w:szCs w:val="21"/>
              </w:rPr>
              <w:t>产地</w:t>
            </w:r>
          </w:p>
        </w:tc>
        <w:tc>
          <w:tcPr>
            <w:tcW w:w="840" w:type="dxa"/>
            <w:vAlign w:val="center"/>
          </w:tcPr>
          <w:p>
            <w:pPr>
              <w:jc w:val="center"/>
              <w:rPr>
                <w:rFonts w:asciiTheme="minorEastAsia" w:hAnsiTheme="minorEastAsia" w:eastAsiaTheme="minorEastAsia" w:cstheme="minorEastAsia"/>
                <w:b/>
                <w:color w:val="000000"/>
                <w:szCs w:val="21"/>
              </w:rPr>
            </w:pPr>
            <w:r>
              <w:rPr>
                <w:rFonts w:hint="eastAsia" w:asciiTheme="minorEastAsia" w:hAnsiTheme="minorEastAsia" w:eastAsiaTheme="minorEastAsia" w:cstheme="minorEastAsia"/>
                <w:b/>
                <w:color w:val="000000"/>
                <w:szCs w:val="21"/>
              </w:rPr>
              <w:t>数量</w:t>
            </w:r>
          </w:p>
        </w:tc>
        <w:tc>
          <w:tcPr>
            <w:tcW w:w="954" w:type="dxa"/>
            <w:vAlign w:val="center"/>
          </w:tcPr>
          <w:p>
            <w:pPr>
              <w:jc w:val="center"/>
              <w:rPr>
                <w:rFonts w:asciiTheme="minorEastAsia" w:hAnsiTheme="minorEastAsia" w:eastAsiaTheme="minorEastAsia" w:cstheme="minorEastAsia"/>
                <w:b/>
                <w:color w:val="000000"/>
                <w:szCs w:val="21"/>
              </w:rPr>
            </w:pPr>
            <w:r>
              <w:rPr>
                <w:rFonts w:hint="eastAsia" w:asciiTheme="minorEastAsia" w:hAnsiTheme="minorEastAsia" w:eastAsiaTheme="minorEastAsia" w:cstheme="minorEastAsia"/>
                <w:b/>
                <w:color w:val="000000"/>
                <w:szCs w:val="21"/>
              </w:rPr>
              <w:t>单价</w:t>
            </w:r>
          </w:p>
          <w:p>
            <w:pPr>
              <w:jc w:val="center"/>
              <w:rPr>
                <w:rFonts w:asciiTheme="minorEastAsia" w:hAnsiTheme="minorEastAsia" w:eastAsiaTheme="minorEastAsia" w:cstheme="minorEastAsia"/>
                <w:b/>
                <w:color w:val="000000"/>
                <w:szCs w:val="21"/>
              </w:rPr>
            </w:pPr>
            <w:r>
              <w:rPr>
                <w:rFonts w:hint="eastAsia" w:asciiTheme="minorEastAsia" w:hAnsiTheme="minorEastAsia" w:eastAsiaTheme="minorEastAsia" w:cstheme="minorEastAsia"/>
                <w:b/>
                <w:color w:val="000000"/>
                <w:szCs w:val="21"/>
              </w:rPr>
              <w:t>（元）</w:t>
            </w:r>
          </w:p>
        </w:tc>
        <w:tc>
          <w:tcPr>
            <w:tcW w:w="873" w:type="dxa"/>
            <w:vAlign w:val="center"/>
          </w:tcPr>
          <w:p>
            <w:pPr>
              <w:jc w:val="center"/>
              <w:rPr>
                <w:rFonts w:asciiTheme="minorEastAsia" w:hAnsiTheme="minorEastAsia" w:eastAsiaTheme="minorEastAsia" w:cstheme="minorEastAsia"/>
                <w:b/>
                <w:color w:val="000000"/>
                <w:szCs w:val="21"/>
              </w:rPr>
            </w:pPr>
            <w:r>
              <w:rPr>
                <w:rFonts w:hint="eastAsia" w:asciiTheme="minorEastAsia" w:hAnsiTheme="minorEastAsia" w:eastAsiaTheme="minorEastAsia" w:cstheme="minorEastAsia"/>
                <w:b/>
                <w:color w:val="000000"/>
                <w:szCs w:val="21"/>
              </w:rPr>
              <w:t>总价</w:t>
            </w:r>
          </w:p>
          <w:p>
            <w:pPr>
              <w:jc w:val="center"/>
              <w:rPr>
                <w:rFonts w:asciiTheme="minorEastAsia" w:hAnsiTheme="minorEastAsia" w:eastAsiaTheme="minorEastAsia" w:cstheme="minorEastAsia"/>
                <w:b/>
                <w:color w:val="000000"/>
                <w:szCs w:val="21"/>
              </w:rPr>
            </w:pPr>
            <w:r>
              <w:rPr>
                <w:rFonts w:hint="eastAsia" w:asciiTheme="minorEastAsia" w:hAnsiTheme="minorEastAsia" w:eastAsiaTheme="minorEastAsia" w:cstheme="minorEastAsia"/>
                <w:b/>
                <w:color w:val="000000"/>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606" w:type="dxa"/>
            <w:vAlign w:val="center"/>
          </w:tcPr>
          <w:p>
            <w:pPr>
              <w:spacing w:line="360" w:lineRule="auto"/>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w:t>
            </w:r>
          </w:p>
        </w:tc>
        <w:tc>
          <w:tcPr>
            <w:tcW w:w="2744" w:type="dxa"/>
            <w:vAlign w:val="center"/>
          </w:tcPr>
          <w:p>
            <w:pPr>
              <w:spacing w:line="360" w:lineRule="auto"/>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 xml:space="preserve"> </w:t>
            </w:r>
          </w:p>
        </w:tc>
        <w:tc>
          <w:tcPr>
            <w:tcW w:w="962" w:type="dxa"/>
            <w:vAlign w:val="center"/>
          </w:tcPr>
          <w:p>
            <w:pPr>
              <w:spacing w:line="360" w:lineRule="auto"/>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 xml:space="preserve">  </w:t>
            </w:r>
          </w:p>
        </w:tc>
        <w:tc>
          <w:tcPr>
            <w:tcW w:w="1214" w:type="dxa"/>
          </w:tcPr>
          <w:p>
            <w:pPr>
              <w:spacing w:line="360" w:lineRule="auto"/>
              <w:jc w:val="center"/>
              <w:rPr>
                <w:rFonts w:asciiTheme="minorEastAsia" w:hAnsiTheme="minorEastAsia" w:eastAsiaTheme="minorEastAsia" w:cstheme="minorEastAsia"/>
                <w:color w:val="000000"/>
                <w:szCs w:val="21"/>
              </w:rPr>
            </w:pPr>
          </w:p>
        </w:tc>
        <w:tc>
          <w:tcPr>
            <w:tcW w:w="838" w:type="dxa"/>
            <w:vAlign w:val="center"/>
          </w:tcPr>
          <w:p>
            <w:pPr>
              <w:spacing w:line="360" w:lineRule="auto"/>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 xml:space="preserve"> </w:t>
            </w:r>
          </w:p>
        </w:tc>
        <w:tc>
          <w:tcPr>
            <w:tcW w:w="804" w:type="dxa"/>
            <w:vAlign w:val="center"/>
          </w:tcPr>
          <w:p>
            <w:pPr>
              <w:spacing w:line="360" w:lineRule="auto"/>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 xml:space="preserve"> </w:t>
            </w:r>
          </w:p>
        </w:tc>
        <w:tc>
          <w:tcPr>
            <w:tcW w:w="840" w:type="dxa"/>
          </w:tcPr>
          <w:p>
            <w:pPr>
              <w:spacing w:line="360" w:lineRule="auto"/>
              <w:jc w:val="center"/>
              <w:rPr>
                <w:rFonts w:asciiTheme="minorEastAsia" w:hAnsiTheme="minorEastAsia" w:eastAsiaTheme="minorEastAsia" w:cstheme="minorEastAsia"/>
                <w:color w:val="000000"/>
                <w:szCs w:val="21"/>
              </w:rPr>
            </w:pPr>
          </w:p>
        </w:tc>
        <w:tc>
          <w:tcPr>
            <w:tcW w:w="954" w:type="dxa"/>
            <w:vAlign w:val="center"/>
          </w:tcPr>
          <w:p>
            <w:pPr>
              <w:spacing w:line="360" w:lineRule="auto"/>
              <w:jc w:val="center"/>
              <w:rPr>
                <w:rFonts w:asciiTheme="minorEastAsia" w:hAnsiTheme="minorEastAsia" w:eastAsiaTheme="minorEastAsia" w:cstheme="minorEastAsia"/>
                <w:color w:val="000000"/>
                <w:szCs w:val="21"/>
                <w:lang w:val="zh-CN"/>
              </w:rPr>
            </w:pPr>
          </w:p>
        </w:tc>
        <w:tc>
          <w:tcPr>
            <w:tcW w:w="873" w:type="dxa"/>
            <w:vAlign w:val="center"/>
          </w:tcPr>
          <w:p>
            <w:pPr>
              <w:spacing w:line="360" w:lineRule="auto"/>
              <w:jc w:val="center"/>
              <w:rPr>
                <w:rFonts w:asciiTheme="minorEastAsia" w:hAnsiTheme="minorEastAsia" w:eastAsiaTheme="minorEastAsia" w:cstheme="minorEastAsia"/>
                <w:color w:val="00000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6" w:type="dxa"/>
            <w:vAlign w:val="center"/>
          </w:tcPr>
          <w:p>
            <w:pPr>
              <w:spacing w:line="360" w:lineRule="auto"/>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2</w:t>
            </w:r>
          </w:p>
        </w:tc>
        <w:tc>
          <w:tcPr>
            <w:tcW w:w="2744" w:type="dxa"/>
            <w:vAlign w:val="center"/>
          </w:tcPr>
          <w:p>
            <w:pPr>
              <w:spacing w:line="360" w:lineRule="auto"/>
              <w:jc w:val="center"/>
              <w:rPr>
                <w:rFonts w:asciiTheme="minorEastAsia" w:hAnsiTheme="minorEastAsia" w:eastAsiaTheme="minorEastAsia" w:cstheme="minorEastAsia"/>
                <w:color w:val="000000"/>
                <w:szCs w:val="21"/>
              </w:rPr>
            </w:pPr>
          </w:p>
        </w:tc>
        <w:tc>
          <w:tcPr>
            <w:tcW w:w="962" w:type="dxa"/>
            <w:vAlign w:val="center"/>
          </w:tcPr>
          <w:p>
            <w:pPr>
              <w:spacing w:line="360" w:lineRule="auto"/>
              <w:jc w:val="center"/>
              <w:rPr>
                <w:rFonts w:asciiTheme="minorEastAsia" w:hAnsiTheme="minorEastAsia" w:eastAsiaTheme="minorEastAsia" w:cstheme="minorEastAsia"/>
                <w:color w:val="000000"/>
                <w:szCs w:val="21"/>
              </w:rPr>
            </w:pPr>
          </w:p>
        </w:tc>
        <w:tc>
          <w:tcPr>
            <w:tcW w:w="1214" w:type="dxa"/>
          </w:tcPr>
          <w:p>
            <w:pPr>
              <w:spacing w:line="360" w:lineRule="auto"/>
              <w:jc w:val="center"/>
              <w:rPr>
                <w:rFonts w:asciiTheme="minorEastAsia" w:hAnsiTheme="minorEastAsia" w:eastAsiaTheme="minorEastAsia" w:cstheme="minorEastAsia"/>
                <w:color w:val="000000"/>
                <w:szCs w:val="21"/>
              </w:rPr>
            </w:pPr>
          </w:p>
        </w:tc>
        <w:tc>
          <w:tcPr>
            <w:tcW w:w="838" w:type="dxa"/>
            <w:vAlign w:val="center"/>
          </w:tcPr>
          <w:p>
            <w:pPr>
              <w:spacing w:line="360" w:lineRule="auto"/>
              <w:jc w:val="center"/>
              <w:rPr>
                <w:rFonts w:asciiTheme="minorEastAsia" w:hAnsiTheme="minorEastAsia" w:eastAsiaTheme="minorEastAsia" w:cstheme="minorEastAsia"/>
                <w:color w:val="000000"/>
                <w:szCs w:val="21"/>
              </w:rPr>
            </w:pPr>
          </w:p>
        </w:tc>
        <w:tc>
          <w:tcPr>
            <w:tcW w:w="804" w:type="dxa"/>
            <w:vAlign w:val="center"/>
          </w:tcPr>
          <w:p>
            <w:pPr>
              <w:spacing w:line="360" w:lineRule="auto"/>
              <w:jc w:val="center"/>
              <w:rPr>
                <w:rFonts w:asciiTheme="minorEastAsia" w:hAnsiTheme="minorEastAsia" w:eastAsiaTheme="minorEastAsia" w:cstheme="minorEastAsia"/>
                <w:color w:val="000000"/>
                <w:szCs w:val="21"/>
              </w:rPr>
            </w:pPr>
          </w:p>
        </w:tc>
        <w:tc>
          <w:tcPr>
            <w:tcW w:w="840" w:type="dxa"/>
          </w:tcPr>
          <w:p>
            <w:pPr>
              <w:spacing w:line="360" w:lineRule="auto"/>
              <w:jc w:val="center"/>
              <w:rPr>
                <w:rFonts w:asciiTheme="minorEastAsia" w:hAnsiTheme="minorEastAsia" w:eastAsiaTheme="minorEastAsia" w:cstheme="minorEastAsia"/>
                <w:color w:val="000000"/>
                <w:szCs w:val="21"/>
              </w:rPr>
            </w:pPr>
          </w:p>
        </w:tc>
        <w:tc>
          <w:tcPr>
            <w:tcW w:w="954" w:type="dxa"/>
            <w:vAlign w:val="center"/>
          </w:tcPr>
          <w:p>
            <w:pPr>
              <w:spacing w:line="360" w:lineRule="auto"/>
              <w:jc w:val="center"/>
              <w:rPr>
                <w:rFonts w:asciiTheme="minorEastAsia" w:hAnsiTheme="minorEastAsia" w:eastAsiaTheme="minorEastAsia" w:cstheme="minorEastAsia"/>
                <w:color w:val="000000"/>
                <w:szCs w:val="21"/>
              </w:rPr>
            </w:pPr>
          </w:p>
        </w:tc>
        <w:tc>
          <w:tcPr>
            <w:tcW w:w="873" w:type="dxa"/>
            <w:vAlign w:val="center"/>
          </w:tcPr>
          <w:p>
            <w:pPr>
              <w:spacing w:line="360" w:lineRule="auto"/>
              <w:jc w:val="center"/>
              <w:rPr>
                <w:rFonts w:asciiTheme="minorEastAsia" w:hAnsiTheme="minorEastAsia" w:eastAsiaTheme="minorEastAsia" w:cs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6" w:type="dxa"/>
            <w:vAlign w:val="center"/>
          </w:tcPr>
          <w:p>
            <w:pPr>
              <w:spacing w:line="360" w:lineRule="auto"/>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3</w:t>
            </w:r>
          </w:p>
        </w:tc>
        <w:tc>
          <w:tcPr>
            <w:tcW w:w="2744" w:type="dxa"/>
            <w:vAlign w:val="center"/>
          </w:tcPr>
          <w:p>
            <w:pPr>
              <w:spacing w:line="360" w:lineRule="auto"/>
              <w:jc w:val="center"/>
              <w:rPr>
                <w:rFonts w:asciiTheme="minorEastAsia" w:hAnsiTheme="minorEastAsia" w:eastAsiaTheme="minorEastAsia" w:cstheme="minorEastAsia"/>
                <w:color w:val="000000"/>
                <w:szCs w:val="21"/>
              </w:rPr>
            </w:pPr>
          </w:p>
        </w:tc>
        <w:tc>
          <w:tcPr>
            <w:tcW w:w="962" w:type="dxa"/>
            <w:vAlign w:val="center"/>
          </w:tcPr>
          <w:p>
            <w:pPr>
              <w:spacing w:line="360" w:lineRule="auto"/>
              <w:jc w:val="center"/>
              <w:rPr>
                <w:rFonts w:asciiTheme="minorEastAsia" w:hAnsiTheme="minorEastAsia" w:eastAsiaTheme="minorEastAsia" w:cstheme="minorEastAsia"/>
                <w:color w:val="000000"/>
                <w:szCs w:val="21"/>
              </w:rPr>
            </w:pPr>
          </w:p>
        </w:tc>
        <w:tc>
          <w:tcPr>
            <w:tcW w:w="1214" w:type="dxa"/>
          </w:tcPr>
          <w:p>
            <w:pPr>
              <w:spacing w:line="360" w:lineRule="auto"/>
              <w:jc w:val="center"/>
              <w:rPr>
                <w:rFonts w:asciiTheme="minorEastAsia" w:hAnsiTheme="minorEastAsia" w:eastAsiaTheme="minorEastAsia" w:cstheme="minorEastAsia"/>
                <w:color w:val="000000"/>
                <w:szCs w:val="21"/>
              </w:rPr>
            </w:pPr>
          </w:p>
        </w:tc>
        <w:tc>
          <w:tcPr>
            <w:tcW w:w="838" w:type="dxa"/>
            <w:vAlign w:val="center"/>
          </w:tcPr>
          <w:p>
            <w:pPr>
              <w:spacing w:line="360" w:lineRule="auto"/>
              <w:jc w:val="center"/>
              <w:rPr>
                <w:rFonts w:asciiTheme="minorEastAsia" w:hAnsiTheme="minorEastAsia" w:eastAsiaTheme="minorEastAsia" w:cstheme="minorEastAsia"/>
                <w:color w:val="000000"/>
                <w:szCs w:val="21"/>
              </w:rPr>
            </w:pPr>
          </w:p>
        </w:tc>
        <w:tc>
          <w:tcPr>
            <w:tcW w:w="804" w:type="dxa"/>
            <w:vAlign w:val="center"/>
          </w:tcPr>
          <w:p>
            <w:pPr>
              <w:spacing w:line="360" w:lineRule="auto"/>
              <w:jc w:val="center"/>
              <w:rPr>
                <w:rFonts w:asciiTheme="minorEastAsia" w:hAnsiTheme="minorEastAsia" w:eastAsiaTheme="minorEastAsia" w:cstheme="minorEastAsia"/>
                <w:color w:val="000000"/>
                <w:szCs w:val="21"/>
              </w:rPr>
            </w:pPr>
          </w:p>
        </w:tc>
        <w:tc>
          <w:tcPr>
            <w:tcW w:w="840" w:type="dxa"/>
          </w:tcPr>
          <w:p>
            <w:pPr>
              <w:spacing w:line="360" w:lineRule="auto"/>
              <w:jc w:val="center"/>
              <w:rPr>
                <w:rFonts w:asciiTheme="minorEastAsia" w:hAnsiTheme="minorEastAsia" w:eastAsiaTheme="minorEastAsia" w:cstheme="minorEastAsia"/>
                <w:color w:val="000000"/>
                <w:szCs w:val="21"/>
              </w:rPr>
            </w:pPr>
          </w:p>
        </w:tc>
        <w:tc>
          <w:tcPr>
            <w:tcW w:w="954" w:type="dxa"/>
            <w:vAlign w:val="center"/>
          </w:tcPr>
          <w:p>
            <w:pPr>
              <w:spacing w:line="360" w:lineRule="auto"/>
              <w:jc w:val="center"/>
              <w:rPr>
                <w:rFonts w:asciiTheme="minorEastAsia" w:hAnsiTheme="minorEastAsia" w:eastAsiaTheme="minorEastAsia" w:cstheme="minorEastAsia"/>
                <w:color w:val="000000"/>
                <w:szCs w:val="21"/>
              </w:rPr>
            </w:pPr>
          </w:p>
        </w:tc>
        <w:tc>
          <w:tcPr>
            <w:tcW w:w="873" w:type="dxa"/>
            <w:vAlign w:val="center"/>
          </w:tcPr>
          <w:p>
            <w:pPr>
              <w:spacing w:line="360" w:lineRule="auto"/>
              <w:jc w:val="center"/>
              <w:rPr>
                <w:rFonts w:asciiTheme="minorEastAsia" w:hAnsiTheme="minorEastAsia" w:eastAsiaTheme="minorEastAsia" w:cs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6" w:type="dxa"/>
            <w:vAlign w:val="center"/>
          </w:tcPr>
          <w:p>
            <w:pPr>
              <w:spacing w:line="360" w:lineRule="auto"/>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w:t>
            </w:r>
          </w:p>
        </w:tc>
        <w:tc>
          <w:tcPr>
            <w:tcW w:w="2744" w:type="dxa"/>
            <w:vAlign w:val="center"/>
          </w:tcPr>
          <w:p>
            <w:pPr>
              <w:spacing w:line="360" w:lineRule="auto"/>
              <w:jc w:val="center"/>
              <w:rPr>
                <w:rFonts w:asciiTheme="minorEastAsia" w:hAnsiTheme="minorEastAsia" w:eastAsiaTheme="minorEastAsia" w:cstheme="minorEastAsia"/>
                <w:color w:val="000000"/>
                <w:szCs w:val="21"/>
              </w:rPr>
            </w:pPr>
          </w:p>
        </w:tc>
        <w:tc>
          <w:tcPr>
            <w:tcW w:w="962" w:type="dxa"/>
            <w:vAlign w:val="center"/>
          </w:tcPr>
          <w:p>
            <w:pPr>
              <w:spacing w:line="360" w:lineRule="auto"/>
              <w:jc w:val="center"/>
              <w:rPr>
                <w:rFonts w:asciiTheme="minorEastAsia" w:hAnsiTheme="minorEastAsia" w:eastAsiaTheme="minorEastAsia" w:cstheme="minorEastAsia"/>
                <w:color w:val="000000"/>
                <w:szCs w:val="21"/>
              </w:rPr>
            </w:pPr>
          </w:p>
        </w:tc>
        <w:tc>
          <w:tcPr>
            <w:tcW w:w="1214" w:type="dxa"/>
          </w:tcPr>
          <w:p>
            <w:pPr>
              <w:spacing w:line="360" w:lineRule="auto"/>
              <w:jc w:val="center"/>
              <w:rPr>
                <w:rFonts w:asciiTheme="minorEastAsia" w:hAnsiTheme="minorEastAsia" w:eastAsiaTheme="minorEastAsia" w:cstheme="minorEastAsia"/>
                <w:color w:val="000000"/>
                <w:szCs w:val="21"/>
              </w:rPr>
            </w:pPr>
          </w:p>
        </w:tc>
        <w:tc>
          <w:tcPr>
            <w:tcW w:w="838" w:type="dxa"/>
            <w:vAlign w:val="center"/>
          </w:tcPr>
          <w:p>
            <w:pPr>
              <w:spacing w:line="360" w:lineRule="auto"/>
              <w:jc w:val="center"/>
              <w:rPr>
                <w:rFonts w:asciiTheme="minorEastAsia" w:hAnsiTheme="minorEastAsia" w:eastAsiaTheme="minorEastAsia" w:cstheme="minorEastAsia"/>
                <w:color w:val="000000"/>
                <w:szCs w:val="21"/>
              </w:rPr>
            </w:pPr>
          </w:p>
        </w:tc>
        <w:tc>
          <w:tcPr>
            <w:tcW w:w="804" w:type="dxa"/>
            <w:vAlign w:val="center"/>
          </w:tcPr>
          <w:p>
            <w:pPr>
              <w:spacing w:line="360" w:lineRule="auto"/>
              <w:jc w:val="center"/>
              <w:rPr>
                <w:rFonts w:asciiTheme="minorEastAsia" w:hAnsiTheme="minorEastAsia" w:eastAsiaTheme="minorEastAsia" w:cstheme="minorEastAsia"/>
                <w:color w:val="000000"/>
                <w:szCs w:val="21"/>
              </w:rPr>
            </w:pPr>
          </w:p>
        </w:tc>
        <w:tc>
          <w:tcPr>
            <w:tcW w:w="840" w:type="dxa"/>
          </w:tcPr>
          <w:p>
            <w:pPr>
              <w:spacing w:line="360" w:lineRule="auto"/>
              <w:jc w:val="center"/>
              <w:rPr>
                <w:rFonts w:asciiTheme="minorEastAsia" w:hAnsiTheme="minorEastAsia" w:eastAsiaTheme="minorEastAsia" w:cstheme="minorEastAsia"/>
                <w:color w:val="000000"/>
                <w:szCs w:val="21"/>
              </w:rPr>
            </w:pPr>
          </w:p>
        </w:tc>
        <w:tc>
          <w:tcPr>
            <w:tcW w:w="954" w:type="dxa"/>
            <w:vAlign w:val="center"/>
          </w:tcPr>
          <w:p>
            <w:pPr>
              <w:spacing w:line="360" w:lineRule="auto"/>
              <w:jc w:val="center"/>
              <w:rPr>
                <w:rFonts w:asciiTheme="minorEastAsia" w:hAnsiTheme="minorEastAsia" w:eastAsiaTheme="minorEastAsia" w:cstheme="minorEastAsia"/>
                <w:color w:val="000000"/>
                <w:szCs w:val="21"/>
              </w:rPr>
            </w:pPr>
          </w:p>
        </w:tc>
        <w:tc>
          <w:tcPr>
            <w:tcW w:w="873" w:type="dxa"/>
            <w:vAlign w:val="center"/>
          </w:tcPr>
          <w:p>
            <w:pPr>
              <w:spacing w:line="360" w:lineRule="auto"/>
              <w:jc w:val="center"/>
              <w:rPr>
                <w:rFonts w:asciiTheme="minorEastAsia" w:hAnsiTheme="minorEastAsia" w:eastAsiaTheme="minorEastAsia" w:cs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6" w:type="dxa"/>
            <w:vAlign w:val="center"/>
          </w:tcPr>
          <w:p>
            <w:pPr>
              <w:spacing w:line="360" w:lineRule="auto"/>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w:t>
            </w:r>
          </w:p>
        </w:tc>
        <w:tc>
          <w:tcPr>
            <w:tcW w:w="2744" w:type="dxa"/>
            <w:vAlign w:val="center"/>
          </w:tcPr>
          <w:p>
            <w:pPr>
              <w:spacing w:line="360" w:lineRule="auto"/>
              <w:jc w:val="center"/>
              <w:rPr>
                <w:rFonts w:asciiTheme="minorEastAsia" w:hAnsiTheme="minorEastAsia" w:eastAsiaTheme="minorEastAsia" w:cstheme="minorEastAsia"/>
                <w:color w:val="000000"/>
                <w:szCs w:val="21"/>
              </w:rPr>
            </w:pPr>
          </w:p>
        </w:tc>
        <w:tc>
          <w:tcPr>
            <w:tcW w:w="962" w:type="dxa"/>
            <w:vAlign w:val="center"/>
          </w:tcPr>
          <w:p>
            <w:pPr>
              <w:spacing w:line="360" w:lineRule="auto"/>
              <w:jc w:val="center"/>
              <w:rPr>
                <w:rFonts w:asciiTheme="minorEastAsia" w:hAnsiTheme="minorEastAsia" w:eastAsiaTheme="minorEastAsia" w:cstheme="minorEastAsia"/>
                <w:color w:val="000000"/>
                <w:szCs w:val="21"/>
              </w:rPr>
            </w:pPr>
          </w:p>
        </w:tc>
        <w:tc>
          <w:tcPr>
            <w:tcW w:w="1214" w:type="dxa"/>
          </w:tcPr>
          <w:p>
            <w:pPr>
              <w:spacing w:line="360" w:lineRule="auto"/>
              <w:jc w:val="center"/>
              <w:rPr>
                <w:rFonts w:asciiTheme="minorEastAsia" w:hAnsiTheme="minorEastAsia" w:eastAsiaTheme="minorEastAsia" w:cstheme="minorEastAsia"/>
                <w:color w:val="000000"/>
                <w:szCs w:val="21"/>
              </w:rPr>
            </w:pPr>
          </w:p>
        </w:tc>
        <w:tc>
          <w:tcPr>
            <w:tcW w:w="838" w:type="dxa"/>
            <w:vAlign w:val="center"/>
          </w:tcPr>
          <w:p>
            <w:pPr>
              <w:spacing w:line="360" w:lineRule="auto"/>
              <w:jc w:val="center"/>
              <w:rPr>
                <w:rFonts w:asciiTheme="minorEastAsia" w:hAnsiTheme="minorEastAsia" w:eastAsiaTheme="minorEastAsia" w:cstheme="minorEastAsia"/>
                <w:color w:val="000000"/>
                <w:szCs w:val="21"/>
              </w:rPr>
            </w:pPr>
          </w:p>
        </w:tc>
        <w:tc>
          <w:tcPr>
            <w:tcW w:w="804" w:type="dxa"/>
            <w:vAlign w:val="center"/>
          </w:tcPr>
          <w:p>
            <w:pPr>
              <w:spacing w:line="360" w:lineRule="auto"/>
              <w:jc w:val="center"/>
              <w:rPr>
                <w:rFonts w:asciiTheme="minorEastAsia" w:hAnsiTheme="minorEastAsia" w:eastAsiaTheme="minorEastAsia" w:cstheme="minorEastAsia"/>
                <w:color w:val="000000"/>
                <w:szCs w:val="21"/>
              </w:rPr>
            </w:pPr>
          </w:p>
        </w:tc>
        <w:tc>
          <w:tcPr>
            <w:tcW w:w="840" w:type="dxa"/>
          </w:tcPr>
          <w:p>
            <w:pPr>
              <w:spacing w:line="360" w:lineRule="auto"/>
              <w:jc w:val="center"/>
              <w:rPr>
                <w:rFonts w:asciiTheme="minorEastAsia" w:hAnsiTheme="minorEastAsia" w:eastAsiaTheme="minorEastAsia" w:cstheme="minorEastAsia"/>
                <w:color w:val="000000"/>
                <w:szCs w:val="21"/>
              </w:rPr>
            </w:pPr>
          </w:p>
        </w:tc>
        <w:tc>
          <w:tcPr>
            <w:tcW w:w="954" w:type="dxa"/>
            <w:vAlign w:val="center"/>
          </w:tcPr>
          <w:p>
            <w:pPr>
              <w:spacing w:line="360" w:lineRule="auto"/>
              <w:jc w:val="center"/>
              <w:rPr>
                <w:rFonts w:asciiTheme="minorEastAsia" w:hAnsiTheme="minorEastAsia" w:eastAsiaTheme="minorEastAsia" w:cstheme="minorEastAsia"/>
                <w:color w:val="000000"/>
                <w:szCs w:val="21"/>
              </w:rPr>
            </w:pPr>
          </w:p>
        </w:tc>
        <w:tc>
          <w:tcPr>
            <w:tcW w:w="873" w:type="dxa"/>
            <w:vAlign w:val="center"/>
          </w:tcPr>
          <w:p>
            <w:pPr>
              <w:spacing w:line="360" w:lineRule="auto"/>
              <w:jc w:val="center"/>
              <w:rPr>
                <w:rFonts w:asciiTheme="minorEastAsia" w:hAnsiTheme="minorEastAsia" w:eastAsiaTheme="minorEastAsia" w:cs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6" w:type="dxa"/>
            <w:vAlign w:val="center"/>
          </w:tcPr>
          <w:p>
            <w:pPr>
              <w:spacing w:line="360" w:lineRule="auto"/>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w:t>
            </w:r>
          </w:p>
        </w:tc>
        <w:tc>
          <w:tcPr>
            <w:tcW w:w="2744" w:type="dxa"/>
            <w:vAlign w:val="center"/>
          </w:tcPr>
          <w:p>
            <w:pPr>
              <w:spacing w:line="360" w:lineRule="auto"/>
              <w:jc w:val="center"/>
              <w:rPr>
                <w:rFonts w:asciiTheme="minorEastAsia" w:hAnsiTheme="minorEastAsia" w:eastAsiaTheme="minorEastAsia" w:cstheme="minorEastAsia"/>
                <w:color w:val="000000"/>
                <w:szCs w:val="21"/>
              </w:rPr>
            </w:pPr>
          </w:p>
        </w:tc>
        <w:tc>
          <w:tcPr>
            <w:tcW w:w="962" w:type="dxa"/>
            <w:vAlign w:val="center"/>
          </w:tcPr>
          <w:p>
            <w:pPr>
              <w:spacing w:line="360" w:lineRule="auto"/>
              <w:jc w:val="center"/>
              <w:rPr>
                <w:rFonts w:asciiTheme="minorEastAsia" w:hAnsiTheme="minorEastAsia" w:eastAsiaTheme="minorEastAsia" w:cstheme="minorEastAsia"/>
                <w:color w:val="000000"/>
                <w:szCs w:val="21"/>
              </w:rPr>
            </w:pPr>
          </w:p>
        </w:tc>
        <w:tc>
          <w:tcPr>
            <w:tcW w:w="1214" w:type="dxa"/>
          </w:tcPr>
          <w:p>
            <w:pPr>
              <w:spacing w:line="360" w:lineRule="auto"/>
              <w:jc w:val="center"/>
              <w:rPr>
                <w:rFonts w:asciiTheme="minorEastAsia" w:hAnsiTheme="minorEastAsia" w:eastAsiaTheme="minorEastAsia" w:cstheme="minorEastAsia"/>
                <w:color w:val="000000"/>
                <w:szCs w:val="21"/>
              </w:rPr>
            </w:pPr>
          </w:p>
        </w:tc>
        <w:tc>
          <w:tcPr>
            <w:tcW w:w="838" w:type="dxa"/>
            <w:vAlign w:val="center"/>
          </w:tcPr>
          <w:p>
            <w:pPr>
              <w:spacing w:line="360" w:lineRule="auto"/>
              <w:jc w:val="center"/>
              <w:rPr>
                <w:rFonts w:asciiTheme="minorEastAsia" w:hAnsiTheme="minorEastAsia" w:eastAsiaTheme="minorEastAsia" w:cstheme="minorEastAsia"/>
                <w:color w:val="000000"/>
                <w:szCs w:val="21"/>
              </w:rPr>
            </w:pPr>
          </w:p>
        </w:tc>
        <w:tc>
          <w:tcPr>
            <w:tcW w:w="804" w:type="dxa"/>
            <w:vAlign w:val="center"/>
          </w:tcPr>
          <w:p>
            <w:pPr>
              <w:spacing w:line="360" w:lineRule="auto"/>
              <w:jc w:val="center"/>
              <w:rPr>
                <w:rFonts w:asciiTheme="minorEastAsia" w:hAnsiTheme="minorEastAsia" w:eastAsiaTheme="minorEastAsia" w:cstheme="minorEastAsia"/>
                <w:color w:val="000000"/>
                <w:szCs w:val="21"/>
              </w:rPr>
            </w:pPr>
          </w:p>
        </w:tc>
        <w:tc>
          <w:tcPr>
            <w:tcW w:w="840" w:type="dxa"/>
          </w:tcPr>
          <w:p>
            <w:pPr>
              <w:spacing w:line="360" w:lineRule="auto"/>
              <w:jc w:val="center"/>
              <w:rPr>
                <w:rFonts w:asciiTheme="minorEastAsia" w:hAnsiTheme="minorEastAsia" w:eastAsiaTheme="minorEastAsia" w:cstheme="minorEastAsia"/>
                <w:color w:val="000000"/>
                <w:szCs w:val="21"/>
              </w:rPr>
            </w:pPr>
          </w:p>
        </w:tc>
        <w:tc>
          <w:tcPr>
            <w:tcW w:w="954" w:type="dxa"/>
            <w:vAlign w:val="center"/>
          </w:tcPr>
          <w:p>
            <w:pPr>
              <w:spacing w:line="360" w:lineRule="auto"/>
              <w:jc w:val="center"/>
              <w:rPr>
                <w:rFonts w:asciiTheme="minorEastAsia" w:hAnsiTheme="minorEastAsia" w:eastAsiaTheme="minorEastAsia" w:cstheme="minorEastAsia"/>
                <w:color w:val="000000"/>
                <w:szCs w:val="21"/>
              </w:rPr>
            </w:pPr>
          </w:p>
        </w:tc>
        <w:tc>
          <w:tcPr>
            <w:tcW w:w="873" w:type="dxa"/>
            <w:vAlign w:val="center"/>
          </w:tcPr>
          <w:p>
            <w:pPr>
              <w:spacing w:line="360" w:lineRule="auto"/>
              <w:jc w:val="center"/>
              <w:rPr>
                <w:rFonts w:asciiTheme="minorEastAsia" w:hAnsiTheme="minorEastAsia" w:eastAsiaTheme="minorEastAsia" w:cs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6" w:type="dxa"/>
            <w:vAlign w:val="center"/>
          </w:tcPr>
          <w:p>
            <w:pPr>
              <w:spacing w:line="360" w:lineRule="auto"/>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w:t>
            </w:r>
          </w:p>
        </w:tc>
        <w:tc>
          <w:tcPr>
            <w:tcW w:w="2744" w:type="dxa"/>
            <w:vAlign w:val="center"/>
          </w:tcPr>
          <w:p>
            <w:pPr>
              <w:spacing w:line="360" w:lineRule="auto"/>
              <w:jc w:val="center"/>
              <w:rPr>
                <w:rFonts w:asciiTheme="minorEastAsia" w:hAnsiTheme="minorEastAsia" w:eastAsiaTheme="minorEastAsia" w:cstheme="minorEastAsia"/>
                <w:color w:val="000000"/>
                <w:szCs w:val="21"/>
              </w:rPr>
            </w:pPr>
          </w:p>
        </w:tc>
        <w:tc>
          <w:tcPr>
            <w:tcW w:w="962" w:type="dxa"/>
            <w:vAlign w:val="center"/>
          </w:tcPr>
          <w:p>
            <w:pPr>
              <w:spacing w:line="360" w:lineRule="auto"/>
              <w:jc w:val="center"/>
              <w:rPr>
                <w:rFonts w:asciiTheme="minorEastAsia" w:hAnsiTheme="minorEastAsia" w:eastAsiaTheme="minorEastAsia" w:cstheme="minorEastAsia"/>
                <w:color w:val="000000"/>
                <w:szCs w:val="21"/>
              </w:rPr>
            </w:pPr>
          </w:p>
        </w:tc>
        <w:tc>
          <w:tcPr>
            <w:tcW w:w="1214" w:type="dxa"/>
          </w:tcPr>
          <w:p>
            <w:pPr>
              <w:spacing w:line="360" w:lineRule="auto"/>
              <w:jc w:val="center"/>
              <w:rPr>
                <w:rFonts w:asciiTheme="minorEastAsia" w:hAnsiTheme="minorEastAsia" w:eastAsiaTheme="minorEastAsia" w:cstheme="minorEastAsia"/>
                <w:color w:val="000000"/>
                <w:szCs w:val="21"/>
              </w:rPr>
            </w:pPr>
          </w:p>
        </w:tc>
        <w:tc>
          <w:tcPr>
            <w:tcW w:w="838" w:type="dxa"/>
            <w:vAlign w:val="center"/>
          </w:tcPr>
          <w:p>
            <w:pPr>
              <w:spacing w:line="360" w:lineRule="auto"/>
              <w:jc w:val="center"/>
              <w:rPr>
                <w:rFonts w:asciiTheme="minorEastAsia" w:hAnsiTheme="minorEastAsia" w:eastAsiaTheme="minorEastAsia" w:cstheme="minorEastAsia"/>
                <w:color w:val="000000"/>
                <w:szCs w:val="21"/>
              </w:rPr>
            </w:pPr>
          </w:p>
        </w:tc>
        <w:tc>
          <w:tcPr>
            <w:tcW w:w="804" w:type="dxa"/>
            <w:vAlign w:val="center"/>
          </w:tcPr>
          <w:p>
            <w:pPr>
              <w:spacing w:line="360" w:lineRule="auto"/>
              <w:jc w:val="center"/>
              <w:rPr>
                <w:rFonts w:asciiTheme="minorEastAsia" w:hAnsiTheme="minorEastAsia" w:eastAsiaTheme="minorEastAsia" w:cstheme="minorEastAsia"/>
                <w:color w:val="000000"/>
                <w:szCs w:val="21"/>
              </w:rPr>
            </w:pPr>
          </w:p>
        </w:tc>
        <w:tc>
          <w:tcPr>
            <w:tcW w:w="840" w:type="dxa"/>
          </w:tcPr>
          <w:p>
            <w:pPr>
              <w:spacing w:line="360" w:lineRule="auto"/>
              <w:jc w:val="center"/>
              <w:rPr>
                <w:rFonts w:asciiTheme="minorEastAsia" w:hAnsiTheme="minorEastAsia" w:eastAsiaTheme="minorEastAsia" w:cstheme="minorEastAsia"/>
                <w:color w:val="000000"/>
                <w:szCs w:val="21"/>
              </w:rPr>
            </w:pPr>
          </w:p>
        </w:tc>
        <w:tc>
          <w:tcPr>
            <w:tcW w:w="954" w:type="dxa"/>
            <w:vAlign w:val="center"/>
          </w:tcPr>
          <w:p>
            <w:pPr>
              <w:spacing w:line="360" w:lineRule="auto"/>
              <w:jc w:val="center"/>
              <w:rPr>
                <w:rFonts w:asciiTheme="minorEastAsia" w:hAnsiTheme="minorEastAsia" w:eastAsiaTheme="minorEastAsia" w:cstheme="minorEastAsia"/>
                <w:color w:val="000000"/>
                <w:szCs w:val="21"/>
              </w:rPr>
            </w:pPr>
          </w:p>
        </w:tc>
        <w:tc>
          <w:tcPr>
            <w:tcW w:w="873" w:type="dxa"/>
            <w:vAlign w:val="center"/>
          </w:tcPr>
          <w:p>
            <w:pPr>
              <w:spacing w:line="360" w:lineRule="auto"/>
              <w:jc w:val="center"/>
              <w:rPr>
                <w:rFonts w:asciiTheme="minorEastAsia" w:hAnsiTheme="minorEastAsia" w:eastAsiaTheme="minorEastAsia" w:cs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6" w:type="dxa"/>
            <w:vAlign w:val="center"/>
          </w:tcPr>
          <w:p>
            <w:pPr>
              <w:spacing w:line="360" w:lineRule="auto"/>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w:t>
            </w:r>
          </w:p>
        </w:tc>
        <w:tc>
          <w:tcPr>
            <w:tcW w:w="2744" w:type="dxa"/>
            <w:vAlign w:val="center"/>
          </w:tcPr>
          <w:p>
            <w:pPr>
              <w:spacing w:line="360" w:lineRule="auto"/>
              <w:jc w:val="center"/>
              <w:rPr>
                <w:rFonts w:asciiTheme="minorEastAsia" w:hAnsiTheme="minorEastAsia" w:eastAsiaTheme="minorEastAsia" w:cstheme="minorEastAsia"/>
                <w:color w:val="000000"/>
                <w:szCs w:val="21"/>
              </w:rPr>
            </w:pPr>
          </w:p>
        </w:tc>
        <w:tc>
          <w:tcPr>
            <w:tcW w:w="962" w:type="dxa"/>
            <w:vAlign w:val="center"/>
          </w:tcPr>
          <w:p>
            <w:pPr>
              <w:spacing w:line="360" w:lineRule="auto"/>
              <w:jc w:val="center"/>
              <w:rPr>
                <w:rFonts w:asciiTheme="minorEastAsia" w:hAnsiTheme="minorEastAsia" w:eastAsiaTheme="minorEastAsia" w:cstheme="minorEastAsia"/>
                <w:color w:val="000000"/>
                <w:szCs w:val="21"/>
              </w:rPr>
            </w:pPr>
          </w:p>
        </w:tc>
        <w:tc>
          <w:tcPr>
            <w:tcW w:w="1214" w:type="dxa"/>
          </w:tcPr>
          <w:p>
            <w:pPr>
              <w:spacing w:line="360" w:lineRule="auto"/>
              <w:jc w:val="center"/>
              <w:rPr>
                <w:rFonts w:asciiTheme="minorEastAsia" w:hAnsiTheme="minorEastAsia" w:eastAsiaTheme="minorEastAsia" w:cstheme="minorEastAsia"/>
                <w:color w:val="000000"/>
                <w:szCs w:val="21"/>
              </w:rPr>
            </w:pPr>
          </w:p>
        </w:tc>
        <w:tc>
          <w:tcPr>
            <w:tcW w:w="838" w:type="dxa"/>
            <w:vAlign w:val="center"/>
          </w:tcPr>
          <w:p>
            <w:pPr>
              <w:spacing w:line="360" w:lineRule="auto"/>
              <w:jc w:val="center"/>
              <w:rPr>
                <w:rFonts w:asciiTheme="minorEastAsia" w:hAnsiTheme="minorEastAsia" w:eastAsiaTheme="minorEastAsia" w:cstheme="minorEastAsia"/>
                <w:color w:val="000000"/>
                <w:szCs w:val="21"/>
              </w:rPr>
            </w:pPr>
          </w:p>
        </w:tc>
        <w:tc>
          <w:tcPr>
            <w:tcW w:w="804" w:type="dxa"/>
            <w:vAlign w:val="center"/>
          </w:tcPr>
          <w:p>
            <w:pPr>
              <w:spacing w:line="360" w:lineRule="auto"/>
              <w:jc w:val="center"/>
              <w:rPr>
                <w:rFonts w:asciiTheme="minorEastAsia" w:hAnsiTheme="minorEastAsia" w:eastAsiaTheme="minorEastAsia" w:cstheme="minorEastAsia"/>
                <w:color w:val="000000"/>
                <w:szCs w:val="21"/>
              </w:rPr>
            </w:pPr>
          </w:p>
        </w:tc>
        <w:tc>
          <w:tcPr>
            <w:tcW w:w="840" w:type="dxa"/>
          </w:tcPr>
          <w:p>
            <w:pPr>
              <w:spacing w:line="360" w:lineRule="auto"/>
              <w:jc w:val="center"/>
              <w:rPr>
                <w:rFonts w:asciiTheme="minorEastAsia" w:hAnsiTheme="minorEastAsia" w:eastAsiaTheme="minorEastAsia" w:cstheme="minorEastAsia"/>
                <w:color w:val="000000"/>
                <w:szCs w:val="21"/>
              </w:rPr>
            </w:pPr>
          </w:p>
        </w:tc>
        <w:tc>
          <w:tcPr>
            <w:tcW w:w="954" w:type="dxa"/>
            <w:vAlign w:val="center"/>
          </w:tcPr>
          <w:p>
            <w:pPr>
              <w:spacing w:line="360" w:lineRule="auto"/>
              <w:jc w:val="center"/>
              <w:rPr>
                <w:rFonts w:asciiTheme="minorEastAsia" w:hAnsiTheme="minorEastAsia" w:eastAsiaTheme="minorEastAsia" w:cstheme="minorEastAsia"/>
                <w:color w:val="000000"/>
                <w:szCs w:val="21"/>
              </w:rPr>
            </w:pPr>
          </w:p>
        </w:tc>
        <w:tc>
          <w:tcPr>
            <w:tcW w:w="873" w:type="dxa"/>
            <w:vAlign w:val="center"/>
          </w:tcPr>
          <w:p>
            <w:pPr>
              <w:spacing w:line="360" w:lineRule="auto"/>
              <w:jc w:val="center"/>
              <w:rPr>
                <w:rFonts w:asciiTheme="minorEastAsia" w:hAnsiTheme="minorEastAsia" w:eastAsiaTheme="minorEastAsia" w:cs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6" w:type="dxa"/>
            <w:vAlign w:val="center"/>
          </w:tcPr>
          <w:p>
            <w:pPr>
              <w:spacing w:line="360" w:lineRule="auto"/>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w:t>
            </w:r>
          </w:p>
        </w:tc>
        <w:tc>
          <w:tcPr>
            <w:tcW w:w="2744" w:type="dxa"/>
            <w:vAlign w:val="center"/>
          </w:tcPr>
          <w:p>
            <w:pPr>
              <w:spacing w:line="360" w:lineRule="auto"/>
              <w:jc w:val="center"/>
              <w:rPr>
                <w:rFonts w:asciiTheme="minorEastAsia" w:hAnsiTheme="minorEastAsia" w:eastAsiaTheme="minorEastAsia" w:cstheme="minorEastAsia"/>
                <w:color w:val="000000"/>
                <w:szCs w:val="21"/>
              </w:rPr>
            </w:pPr>
          </w:p>
        </w:tc>
        <w:tc>
          <w:tcPr>
            <w:tcW w:w="962" w:type="dxa"/>
            <w:vAlign w:val="center"/>
          </w:tcPr>
          <w:p>
            <w:pPr>
              <w:spacing w:line="360" w:lineRule="auto"/>
              <w:jc w:val="center"/>
              <w:rPr>
                <w:rFonts w:asciiTheme="minorEastAsia" w:hAnsiTheme="minorEastAsia" w:eastAsiaTheme="minorEastAsia" w:cstheme="minorEastAsia"/>
                <w:color w:val="000000"/>
                <w:szCs w:val="21"/>
              </w:rPr>
            </w:pPr>
          </w:p>
        </w:tc>
        <w:tc>
          <w:tcPr>
            <w:tcW w:w="1214" w:type="dxa"/>
          </w:tcPr>
          <w:p>
            <w:pPr>
              <w:spacing w:line="360" w:lineRule="auto"/>
              <w:jc w:val="center"/>
              <w:rPr>
                <w:rFonts w:asciiTheme="minorEastAsia" w:hAnsiTheme="minorEastAsia" w:eastAsiaTheme="minorEastAsia" w:cstheme="minorEastAsia"/>
                <w:color w:val="000000"/>
                <w:szCs w:val="21"/>
              </w:rPr>
            </w:pPr>
          </w:p>
        </w:tc>
        <w:tc>
          <w:tcPr>
            <w:tcW w:w="838" w:type="dxa"/>
            <w:vAlign w:val="center"/>
          </w:tcPr>
          <w:p>
            <w:pPr>
              <w:spacing w:line="360" w:lineRule="auto"/>
              <w:jc w:val="center"/>
              <w:rPr>
                <w:rFonts w:asciiTheme="minorEastAsia" w:hAnsiTheme="minorEastAsia" w:eastAsiaTheme="minorEastAsia" w:cstheme="minorEastAsia"/>
                <w:color w:val="000000"/>
                <w:szCs w:val="21"/>
              </w:rPr>
            </w:pPr>
          </w:p>
        </w:tc>
        <w:tc>
          <w:tcPr>
            <w:tcW w:w="804" w:type="dxa"/>
            <w:vAlign w:val="center"/>
          </w:tcPr>
          <w:p>
            <w:pPr>
              <w:spacing w:line="360" w:lineRule="auto"/>
              <w:jc w:val="center"/>
              <w:rPr>
                <w:rFonts w:asciiTheme="minorEastAsia" w:hAnsiTheme="minorEastAsia" w:eastAsiaTheme="minorEastAsia" w:cstheme="minorEastAsia"/>
                <w:color w:val="000000"/>
                <w:szCs w:val="21"/>
              </w:rPr>
            </w:pPr>
          </w:p>
        </w:tc>
        <w:tc>
          <w:tcPr>
            <w:tcW w:w="840" w:type="dxa"/>
          </w:tcPr>
          <w:p>
            <w:pPr>
              <w:spacing w:line="360" w:lineRule="auto"/>
              <w:jc w:val="center"/>
              <w:rPr>
                <w:rFonts w:asciiTheme="minorEastAsia" w:hAnsiTheme="minorEastAsia" w:eastAsiaTheme="minorEastAsia" w:cstheme="minorEastAsia"/>
                <w:color w:val="000000"/>
                <w:szCs w:val="21"/>
              </w:rPr>
            </w:pPr>
          </w:p>
        </w:tc>
        <w:tc>
          <w:tcPr>
            <w:tcW w:w="954" w:type="dxa"/>
            <w:vAlign w:val="center"/>
          </w:tcPr>
          <w:p>
            <w:pPr>
              <w:spacing w:line="360" w:lineRule="auto"/>
              <w:jc w:val="center"/>
              <w:rPr>
                <w:rFonts w:asciiTheme="minorEastAsia" w:hAnsiTheme="minorEastAsia" w:eastAsiaTheme="minorEastAsia" w:cstheme="minorEastAsia"/>
                <w:color w:val="000000"/>
                <w:szCs w:val="21"/>
              </w:rPr>
            </w:pPr>
          </w:p>
        </w:tc>
        <w:tc>
          <w:tcPr>
            <w:tcW w:w="873" w:type="dxa"/>
            <w:vAlign w:val="center"/>
          </w:tcPr>
          <w:p>
            <w:pPr>
              <w:spacing w:line="360" w:lineRule="auto"/>
              <w:jc w:val="center"/>
              <w:rPr>
                <w:rFonts w:asciiTheme="minorEastAsia" w:hAnsiTheme="minorEastAsia" w:eastAsiaTheme="minorEastAsia" w:cs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35" w:type="dxa"/>
            <w:gridSpan w:val="9"/>
            <w:vAlign w:val="center"/>
          </w:tcPr>
          <w:p>
            <w:pPr>
              <w:spacing w:line="360" w:lineRule="auto"/>
              <w:jc w:val="center"/>
              <w:rPr>
                <w:b/>
                <w:i/>
                <w:u w:val="single"/>
              </w:rPr>
            </w:pPr>
            <w:r>
              <w:rPr>
                <w:rFonts w:hint="eastAsia"/>
                <w:b/>
                <w:i/>
                <w:u w:val="single"/>
              </w:rPr>
              <w:t>行数不够，可按本表格式自行添加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835" w:type="dxa"/>
            <w:gridSpan w:val="9"/>
          </w:tcPr>
          <w:p>
            <w:pPr>
              <w:spacing w:line="360" w:lineRule="auto"/>
              <w:jc w:val="left"/>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 xml:space="preserve">合计：（大写）                                   小写：￥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835" w:type="dxa"/>
            <w:gridSpan w:val="9"/>
            <w:vAlign w:val="center"/>
          </w:tcPr>
          <w:p>
            <w:pPr>
              <w:spacing w:line="360" w:lineRule="auto"/>
              <w:rPr>
                <w:rFonts w:ascii="宋体" w:hAnsi="宋体" w:cs="宋体"/>
              </w:rPr>
            </w:pPr>
            <w:r>
              <w:rPr>
                <w:rFonts w:hint="eastAsia" w:ascii="宋体" w:hAnsi="宋体" w:cs="宋体"/>
              </w:rPr>
              <w:t>法定代表人或</w:t>
            </w:r>
            <w:r>
              <w:rPr>
                <w:rFonts w:hint="eastAsia" w:ascii="宋体" w:hAnsi="宋体"/>
                <w:szCs w:val="21"/>
              </w:rPr>
              <w:t>其委托</w:t>
            </w:r>
            <w:r>
              <w:rPr>
                <w:rFonts w:ascii="宋体" w:hAnsi="宋体"/>
                <w:szCs w:val="21"/>
              </w:rPr>
              <w:t>代理人</w:t>
            </w:r>
            <w:r>
              <w:rPr>
                <w:rFonts w:hint="eastAsia" w:ascii="宋体" w:hAnsi="宋体" w:cs="宋体"/>
              </w:rPr>
              <w:t>（签字）</w:t>
            </w:r>
            <w:r>
              <w:rPr>
                <w:rFonts w:hint="eastAsia" w:ascii="宋体" w:hAnsi="宋体" w:cs="宋体"/>
                <w:u w:val="single"/>
              </w:rPr>
              <w:t xml:space="preserve">：                     </w:t>
            </w:r>
          </w:p>
          <w:p>
            <w:pPr>
              <w:spacing w:line="360" w:lineRule="auto"/>
              <w:rPr>
                <w:rFonts w:ascii="宋体" w:hAnsi="宋体" w:cs="宋体"/>
              </w:rPr>
            </w:pPr>
            <w:r>
              <w:rPr>
                <w:rFonts w:hint="eastAsia" w:ascii="宋体" w:hAnsi="宋体" w:cs="宋体"/>
              </w:rPr>
              <w:t>投标人(盖单位章)</w:t>
            </w:r>
            <w:r>
              <w:rPr>
                <w:rFonts w:hint="eastAsia" w:ascii="宋体" w:hAnsi="宋体" w:cs="宋体"/>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835" w:type="dxa"/>
            <w:gridSpan w:val="9"/>
            <w:vAlign w:val="center"/>
          </w:tcPr>
          <w:p>
            <w:pPr>
              <w:spacing w:line="360" w:lineRule="auto"/>
              <w:ind w:firstLine="420" w:firstLineChars="200"/>
            </w:pPr>
            <w:r>
              <w:rPr>
                <w:rFonts w:hint="eastAsia"/>
              </w:rPr>
              <w:t>注：1.如果本表与报价一览表（报价表）内容不一致的，以报价一览表（报价表）内容为准。</w:t>
            </w:r>
          </w:p>
          <w:p>
            <w:pPr>
              <w:spacing w:line="360" w:lineRule="auto"/>
              <w:ind w:firstLine="840" w:firstLineChars="400"/>
            </w:pPr>
            <w:r>
              <w:rPr>
                <w:rFonts w:hint="eastAsia"/>
              </w:rPr>
              <w:t>2.如果不提供详细分项报价将视为没有实质性响应招标文件。</w:t>
            </w:r>
          </w:p>
          <w:p>
            <w:pPr>
              <w:spacing w:line="360" w:lineRule="auto"/>
              <w:ind w:firstLine="840" w:firstLineChars="400"/>
            </w:pPr>
            <w:r>
              <w:rPr>
                <w:rFonts w:hint="eastAsia"/>
              </w:rPr>
              <w:t>3.上述各项的详细分项报价，可以另页描述。</w:t>
            </w:r>
          </w:p>
          <w:p>
            <w:pPr>
              <w:spacing w:line="360" w:lineRule="auto"/>
              <w:ind w:firstLine="840" w:firstLineChars="400"/>
            </w:pPr>
            <w:r>
              <w:rPr>
                <w:rFonts w:hint="eastAsia"/>
              </w:rPr>
              <w:t>4.如果投标人认为需要，可以每种品目填写一份该表。</w:t>
            </w:r>
          </w:p>
          <w:p>
            <w:pPr>
              <w:spacing w:line="360" w:lineRule="auto"/>
              <w:ind w:firstLine="840" w:firstLineChars="400"/>
            </w:pPr>
            <w:r>
              <w:rPr>
                <w:rFonts w:hint="eastAsia"/>
              </w:rPr>
              <w:t>5.</w:t>
            </w:r>
            <w:r>
              <w:rPr>
                <w:rFonts w:hint="eastAsia" w:ascii="宋体" w:hAnsi="宋体" w:cs="宋体"/>
                <w:szCs w:val="21"/>
              </w:rPr>
              <w:t>最后报价低于首次报价的，所有</w:t>
            </w:r>
            <w:r>
              <w:rPr>
                <w:rFonts w:hint="eastAsia" w:ascii="宋体" w:hAnsi="宋体"/>
                <w:szCs w:val="21"/>
              </w:rPr>
              <w:t>分项报价按总价下浮比同比下浮。</w:t>
            </w:r>
          </w:p>
        </w:tc>
      </w:tr>
    </w:tbl>
    <w:p>
      <w:pPr>
        <w:pStyle w:val="25"/>
        <w:ind w:firstLine="640"/>
        <w:sectPr>
          <w:headerReference r:id="rId4" w:type="default"/>
          <w:footerReference r:id="rId5" w:type="default"/>
          <w:pgSz w:w="11906" w:h="16838"/>
          <w:pgMar w:top="1134" w:right="1077" w:bottom="1418" w:left="1191" w:header="851" w:footer="992" w:gutter="0"/>
          <w:cols w:space="720" w:num="1"/>
          <w:docGrid w:type="lines" w:linePitch="312" w:charSpace="0"/>
        </w:sectPr>
      </w:pPr>
    </w:p>
    <w:tbl>
      <w:tblPr>
        <w:tblStyle w:val="26"/>
        <w:tblpPr w:leftFromText="180" w:rightFromText="180" w:vertAnchor="text" w:horzAnchor="margin" w:tblpY="99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8"/>
        <w:gridCol w:w="2241"/>
        <w:gridCol w:w="2454"/>
        <w:gridCol w:w="2835"/>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289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项目编号</w:t>
            </w:r>
          </w:p>
        </w:tc>
        <w:tc>
          <w:tcPr>
            <w:tcW w:w="6848"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289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项目名称</w:t>
            </w:r>
          </w:p>
        </w:tc>
        <w:tc>
          <w:tcPr>
            <w:tcW w:w="6848"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序号</w:t>
            </w:r>
          </w:p>
        </w:tc>
        <w:tc>
          <w:tcPr>
            <w:tcW w:w="22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名称（品目）</w:t>
            </w:r>
          </w:p>
        </w:tc>
        <w:tc>
          <w:tcPr>
            <w:tcW w:w="245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招标文件要求</w:t>
            </w:r>
          </w:p>
        </w:tc>
        <w:tc>
          <w:tcPr>
            <w:tcW w:w="28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投标人响应（承诺）</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Cs w:val="21"/>
                <w14:textFill>
                  <w14:solidFill>
                    <w14:schemeClr w14:val="tx1"/>
                  </w14:solidFill>
                </w14:textFill>
              </w:rPr>
            </w:pPr>
          </w:p>
        </w:tc>
        <w:tc>
          <w:tcPr>
            <w:tcW w:w="2241" w:type="dxa"/>
            <w:tcBorders>
              <w:top w:val="single" w:color="auto" w:sz="4" w:space="0"/>
              <w:left w:val="single" w:color="auto" w:sz="4" w:space="0"/>
              <w:bottom w:val="single" w:color="auto" w:sz="4" w:space="0"/>
              <w:right w:val="single" w:color="auto" w:sz="4" w:space="0"/>
            </w:tcBorders>
            <w:vAlign w:val="center"/>
          </w:tcPr>
          <w:p>
            <w:pPr>
              <w:pStyle w:val="13"/>
              <w:spacing w:line="360" w:lineRule="auto"/>
              <w:jc w:val="center"/>
              <w:rPr>
                <w:rFonts w:hAnsi="宋体" w:cs="Courier New"/>
                <w:i/>
                <w:color w:val="000000" w:themeColor="text1"/>
                <w:u w:val="single"/>
                <w14:textFill>
                  <w14:solidFill>
                    <w14:schemeClr w14:val="tx1"/>
                  </w14:solidFill>
                </w14:textFill>
              </w:rPr>
            </w:pPr>
            <w:r>
              <w:rPr>
                <w:rFonts w:hAnsi="宋体" w:cs="Courier New"/>
                <w:i/>
                <w:color w:val="000000" w:themeColor="text1"/>
                <w:u w:val="single"/>
                <w14:textFill>
                  <w14:solidFill>
                    <w14:schemeClr w14:val="tx1"/>
                  </w14:solidFill>
                </w14:textFill>
              </w:rPr>
              <w:t>例：“显示屏”</w:t>
            </w:r>
          </w:p>
          <w:p>
            <w:pPr>
              <w:pStyle w:val="13"/>
              <w:spacing w:line="360" w:lineRule="auto"/>
              <w:jc w:val="center"/>
              <w:rPr>
                <w:rFonts w:hAnsi="宋体" w:cs="Courier New"/>
                <w:i/>
                <w:color w:val="000000" w:themeColor="text1"/>
                <w:u w:val="single"/>
                <w14:textFill>
                  <w14:solidFill>
                    <w14:schemeClr w14:val="tx1"/>
                  </w14:solidFill>
                </w14:textFill>
              </w:rPr>
            </w:pPr>
            <w:r>
              <w:rPr>
                <w:rFonts w:hAnsi="宋体" w:cs="Courier New"/>
                <w:i/>
                <w:color w:val="000000" w:themeColor="text1"/>
                <w:u w:val="single"/>
                <w14:textFill>
                  <w14:solidFill>
                    <w14:schemeClr w14:val="tx1"/>
                  </w14:solidFill>
                </w14:textFill>
              </w:rPr>
              <w:t>（注：仅示例如何填写，与投标内容无关）</w:t>
            </w:r>
          </w:p>
        </w:tc>
        <w:tc>
          <w:tcPr>
            <w:tcW w:w="2454"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i/>
                <w:color w:val="000000" w:themeColor="text1"/>
                <w:szCs w:val="21"/>
                <w:u w:val="single"/>
                <w14:textFill>
                  <w14:solidFill>
                    <w14:schemeClr w14:val="tx1"/>
                  </w14:solidFill>
                </w14:textFill>
              </w:rPr>
            </w:pPr>
            <w:r>
              <w:rPr>
                <w:rFonts w:hint="eastAsia" w:ascii="宋体" w:hAnsi="宋体" w:cs="Courier New"/>
                <w:i/>
                <w:color w:val="000000" w:themeColor="text1"/>
                <w:szCs w:val="21"/>
                <w:u w:val="single"/>
                <w14:textFill>
                  <w14:solidFill>
                    <w14:schemeClr w14:val="tx1"/>
                  </w14:solidFill>
                </w14:textFill>
              </w:rPr>
              <w:t>例：</w:t>
            </w:r>
            <w:r>
              <w:rPr>
                <w:rFonts w:hint="eastAsia" w:ascii="宋体" w:hAnsi="宋体" w:cs="宋体"/>
                <w:i/>
                <w:color w:val="000000" w:themeColor="text1"/>
                <w:szCs w:val="21"/>
                <w:u w:val="single"/>
                <w14:textFill>
                  <w14:solidFill>
                    <w14:schemeClr w14:val="tx1"/>
                  </w14:solidFill>
                </w14:textFill>
              </w:rPr>
              <w:t>“LED</w:t>
            </w:r>
            <w:r>
              <w:rPr>
                <w:rFonts w:ascii="宋体" w:hAnsi="宋体"/>
                <w:i/>
                <w:color w:val="000000" w:themeColor="text1"/>
                <w:szCs w:val="21"/>
                <w:u w:val="single"/>
                <w14:textFill>
                  <w14:solidFill>
                    <w14:schemeClr w14:val="tx1"/>
                  </w14:solidFill>
                </w14:textFill>
              </w:rPr>
              <w:t>显示屏</w:t>
            </w:r>
            <w:r>
              <w:rPr>
                <w:rFonts w:hint="eastAsia" w:ascii="宋体" w:hAnsi="宋体"/>
                <w:i/>
                <w:color w:val="000000" w:themeColor="text1"/>
                <w:szCs w:val="21"/>
                <w:u w:val="single"/>
                <w14:textFill>
                  <w14:solidFill>
                    <w14:schemeClr w14:val="tx1"/>
                  </w14:solidFill>
                </w14:textFill>
              </w:rPr>
              <w:t>，</w:t>
            </w:r>
            <w:r>
              <w:rPr>
                <w:rFonts w:ascii="宋体" w:hAnsi="宋体" w:cs="Arial"/>
                <w:i/>
                <w:color w:val="000000" w:themeColor="text1"/>
                <w:szCs w:val="21"/>
                <w:u w:val="single"/>
                <w:shd w:val="clear" w:color="auto" w:fill="FFFFFF"/>
                <w14:textFill>
                  <w14:solidFill>
                    <w14:schemeClr w14:val="tx1"/>
                  </w14:solidFill>
                </w14:textFill>
              </w:rPr>
              <w:t>p2.5</w:t>
            </w:r>
            <w:r>
              <w:rPr>
                <w:rFonts w:hint="eastAsia" w:ascii="宋体" w:hAnsi="宋体" w:cs="Arial"/>
                <w:i/>
                <w:color w:val="000000" w:themeColor="text1"/>
                <w:szCs w:val="21"/>
                <w:u w:val="single"/>
                <w:shd w:val="clear" w:color="auto" w:fill="FFFFFF"/>
                <w14:textFill>
                  <w14:solidFill>
                    <w14:schemeClr w14:val="tx1"/>
                  </w14:solidFill>
                </w14:textFill>
              </w:rPr>
              <w:t>，</w:t>
            </w:r>
            <w:r>
              <w:rPr>
                <w:rFonts w:ascii="宋体" w:hAnsi="宋体" w:cs="Arial"/>
                <w:i/>
                <w:color w:val="000000" w:themeColor="text1"/>
                <w:szCs w:val="21"/>
                <w:u w:val="single"/>
                <w:shd w:val="clear" w:color="auto" w:fill="FFFFFF"/>
                <w14:textFill>
                  <w14:solidFill>
                    <w14:schemeClr w14:val="tx1"/>
                  </w14:solidFill>
                </w14:textFill>
              </w:rPr>
              <w:t>模组</w:t>
            </w:r>
            <w:r>
              <w:rPr>
                <w:rFonts w:hint="eastAsia" w:ascii="宋体" w:hAnsi="宋体" w:cs="Arial"/>
                <w:i/>
                <w:color w:val="000000" w:themeColor="text1"/>
                <w:szCs w:val="21"/>
                <w:u w:val="single"/>
                <w:shd w:val="clear" w:color="auto" w:fill="FFFFFF"/>
                <w14:textFill>
                  <w14:solidFill>
                    <w14:schemeClr w14:val="tx1"/>
                  </w14:solidFill>
                </w14:textFill>
              </w:rPr>
              <w:t>尺寸</w:t>
            </w:r>
            <w:r>
              <w:rPr>
                <w:rFonts w:ascii="宋体" w:hAnsi="宋体" w:cs="Arial"/>
                <w:i/>
                <w:color w:val="000000" w:themeColor="text1"/>
                <w:szCs w:val="21"/>
                <w:u w:val="single"/>
                <w:shd w:val="clear" w:color="auto" w:fill="FFFFFF"/>
                <w14:textFill>
                  <w14:solidFill>
                    <w14:schemeClr w14:val="tx1"/>
                  </w14:solidFill>
                </w14:textFill>
              </w:rPr>
              <w:t>160*160</w:t>
            </w:r>
            <w:r>
              <w:rPr>
                <w:rFonts w:hint="eastAsia" w:ascii="宋体" w:hAnsi="宋体" w:cs="宋体"/>
                <w:i/>
                <w:color w:val="000000" w:themeColor="text1"/>
                <w:szCs w:val="21"/>
                <w:u w:val="single"/>
                <w14:textFill>
                  <w14:solidFill>
                    <w14:schemeClr w14:val="tx1"/>
                  </w14:solidFill>
                </w14:textFill>
              </w:rPr>
              <w:t>……”</w:t>
            </w:r>
          </w:p>
        </w:tc>
        <w:tc>
          <w:tcPr>
            <w:tcW w:w="2835"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Courier New"/>
                <w:i/>
                <w:color w:val="000000" w:themeColor="text1"/>
                <w:szCs w:val="21"/>
                <w:u w:val="single"/>
                <w14:textFill>
                  <w14:solidFill>
                    <w14:schemeClr w14:val="tx1"/>
                  </w14:solidFill>
                </w14:textFill>
              </w:rPr>
            </w:pPr>
            <w:r>
              <w:rPr>
                <w:rFonts w:hint="eastAsia" w:ascii="宋体" w:hAnsi="宋体" w:cs="Courier New"/>
                <w:i/>
                <w:color w:val="000000" w:themeColor="text1"/>
                <w:szCs w:val="21"/>
                <w:u w:val="single"/>
                <w14:textFill>
                  <w14:solidFill>
                    <w14:schemeClr w14:val="tx1"/>
                  </w14:solidFill>
                </w14:textFill>
              </w:rPr>
              <w:t>例1：</w:t>
            </w:r>
            <w:r>
              <w:rPr>
                <w:rFonts w:hint="eastAsia" w:ascii="宋体" w:hAnsi="宋体" w:cs="宋体"/>
                <w:i/>
                <w:color w:val="000000" w:themeColor="text1"/>
                <w:szCs w:val="21"/>
                <w:u w:val="single"/>
                <w14:textFill>
                  <w14:solidFill>
                    <w14:schemeClr w14:val="tx1"/>
                  </w14:solidFill>
                </w14:textFill>
              </w:rPr>
              <w:t>“LED</w:t>
            </w:r>
            <w:r>
              <w:rPr>
                <w:rFonts w:ascii="宋体" w:hAnsi="宋体"/>
                <w:i/>
                <w:color w:val="000000" w:themeColor="text1"/>
                <w:szCs w:val="21"/>
                <w:u w:val="single"/>
                <w14:textFill>
                  <w14:solidFill>
                    <w14:schemeClr w14:val="tx1"/>
                  </w14:solidFill>
                </w14:textFill>
              </w:rPr>
              <w:t>显示屏</w:t>
            </w:r>
            <w:r>
              <w:rPr>
                <w:rFonts w:hint="eastAsia" w:ascii="宋体" w:hAnsi="宋体"/>
                <w:i/>
                <w:color w:val="000000" w:themeColor="text1"/>
                <w:szCs w:val="21"/>
                <w:u w:val="single"/>
                <w14:textFill>
                  <w14:solidFill>
                    <w14:schemeClr w14:val="tx1"/>
                  </w14:solidFill>
                </w14:textFill>
              </w:rPr>
              <w:t>，</w:t>
            </w:r>
            <w:r>
              <w:rPr>
                <w:rFonts w:ascii="宋体" w:hAnsi="宋体" w:cs="Arial"/>
                <w:i/>
                <w:color w:val="000000" w:themeColor="text1"/>
                <w:szCs w:val="21"/>
                <w:u w:val="single"/>
                <w:shd w:val="clear" w:color="auto" w:fill="FFFFFF"/>
                <w14:textFill>
                  <w14:solidFill>
                    <w14:schemeClr w14:val="tx1"/>
                  </w14:solidFill>
                </w14:textFill>
              </w:rPr>
              <w:t>p2.5</w:t>
            </w:r>
            <w:r>
              <w:rPr>
                <w:rFonts w:hint="eastAsia" w:ascii="宋体" w:hAnsi="宋体" w:cs="Arial"/>
                <w:i/>
                <w:color w:val="000000" w:themeColor="text1"/>
                <w:szCs w:val="21"/>
                <w:u w:val="single"/>
                <w:shd w:val="clear" w:color="auto" w:fill="FFFFFF"/>
                <w14:textFill>
                  <w14:solidFill>
                    <w14:schemeClr w14:val="tx1"/>
                  </w14:solidFill>
                </w14:textFill>
              </w:rPr>
              <w:t>，</w:t>
            </w:r>
            <w:r>
              <w:rPr>
                <w:rFonts w:ascii="宋体" w:hAnsi="宋体" w:cs="Arial"/>
                <w:i/>
                <w:color w:val="000000" w:themeColor="text1"/>
                <w:szCs w:val="21"/>
                <w:u w:val="single"/>
                <w:shd w:val="clear" w:color="auto" w:fill="FFFFFF"/>
                <w14:textFill>
                  <w14:solidFill>
                    <w14:schemeClr w14:val="tx1"/>
                  </w14:solidFill>
                </w14:textFill>
              </w:rPr>
              <w:t>模组</w:t>
            </w:r>
            <w:r>
              <w:rPr>
                <w:rFonts w:hint="eastAsia" w:ascii="宋体" w:hAnsi="宋体" w:cs="Arial"/>
                <w:i/>
                <w:color w:val="000000" w:themeColor="text1"/>
                <w:szCs w:val="21"/>
                <w:u w:val="single"/>
                <w:shd w:val="clear" w:color="auto" w:fill="FFFFFF"/>
                <w14:textFill>
                  <w14:solidFill>
                    <w14:schemeClr w14:val="tx1"/>
                  </w14:solidFill>
                </w14:textFill>
              </w:rPr>
              <w:t>尺寸</w:t>
            </w:r>
            <w:r>
              <w:rPr>
                <w:rFonts w:ascii="宋体" w:hAnsi="宋体" w:cs="Arial"/>
                <w:i/>
                <w:color w:val="000000" w:themeColor="text1"/>
                <w:szCs w:val="21"/>
                <w:u w:val="single"/>
                <w:shd w:val="clear" w:color="auto" w:fill="FFFFFF"/>
                <w14:textFill>
                  <w14:solidFill>
                    <w14:schemeClr w14:val="tx1"/>
                  </w14:solidFill>
                </w14:textFill>
              </w:rPr>
              <w:t>160*160</w:t>
            </w:r>
            <w:r>
              <w:rPr>
                <w:rFonts w:hint="eastAsia" w:ascii="宋体" w:hAnsi="宋体" w:cs="宋体"/>
                <w:i/>
                <w:color w:val="000000" w:themeColor="text1"/>
                <w:szCs w:val="21"/>
                <w:u w:val="single"/>
                <w14:textFill>
                  <w14:solidFill>
                    <w14:schemeClr w14:val="tx1"/>
                  </w14:solidFill>
                </w14:textFill>
              </w:rPr>
              <w:t>……；</w:t>
            </w:r>
          </w:p>
          <w:p>
            <w:pPr>
              <w:spacing w:line="360" w:lineRule="auto"/>
              <w:jc w:val="left"/>
              <w:rPr>
                <w:rFonts w:ascii="宋体" w:hAnsi="宋体" w:cs="宋体"/>
                <w:i/>
                <w:color w:val="000000" w:themeColor="text1"/>
                <w:szCs w:val="21"/>
                <w:u w:val="single"/>
                <w14:textFill>
                  <w14:solidFill>
                    <w14:schemeClr w14:val="tx1"/>
                  </w14:solidFill>
                </w14:textFill>
              </w:rPr>
            </w:pPr>
            <w:r>
              <w:rPr>
                <w:rFonts w:hint="eastAsia" w:ascii="宋体" w:hAnsi="宋体" w:cs="Courier New"/>
                <w:i/>
                <w:color w:val="000000" w:themeColor="text1"/>
                <w:szCs w:val="21"/>
                <w:u w:val="single"/>
                <w14:textFill>
                  <w14:solidFill>
                    <w14:schemeClr w14:val="tx1"/>
                  </w14:solidFill>
                </w14:textFill>
              </w:rPr>
              <w:t>例2：</w:t>
            </w:r>
            <w:r>
              <w:rPr>
                <w:rFonts w:hint="eastAsia" w:ascii="宋体" w:hAnsi="宋体" w:cs="宋体"/>
                <w:i/>
                <w:color w:val="000000" w:themeColor="text1"/>
                <w:szCs w:val="21"/>
                <w:u w:val="single"/>
                <w14:textFill>
                  <w14:solidFill>
                    <w14:schemeClr w14:val="tx1"/>
                  </w14:solidFill>
                </w14:textFill>
              </w:rPr>
              <w:t>“详见投标文件第55页”</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i/>
                <w:color w:val="000000" w:themeColor="text1"/>
                <w:u w:val="single"/>
                <w14:textFill>
                  <w14:solidFill>
                    <w14:schemeClr w14:val="tx1"/>
                  </w14:solidFill>
                </w14:textFill>
              </w:rPr>
            </w:pPr>
            <w:r>
              <w:rPr>
                <w:rFonts w:ascii="宋体" w:hAnsi="宋体"/>
                <w:i/>
                <w:color w:val="000000" w:themeColor="text1"/>
                <w:u w:val="single"/>
                <w14:textFill>
                  <w14:solidFill>
                    <w14:schemeClr w14:val="tx1"/>
                  </w14:solidFill>
                </w14:textFill>
              </w:rPr>
              <w:t>满足/不满足/</w:t>
            </w:r>
          </w:p>
          <w:p>
            <w:pPr>
              <w:spacing w:line="360" w:lineRule="auto"/>
              <w:jc w:val="center"/>
              <w:rPr>
                <w:rFonts w:ascii="宋体" w:hAnsi="宋体" w:cs="宋体"/>
                <w:i/>
                <w:color w:val="000000" w:themeColor="text1"/>
                <w:szCs w:val="21"/>
                <w:u w:val="single"/>
                <w14:textFill>
                  <w14:solidFill>
                    <w14:schemeClr w14:val="tx1"/>
                  </w14:solidFill>
                </w14:textFill>
              </w:rPr>
            </w:pPr>
            <w:r>
              <w:rPr>
                <w:rFonts w:ascii="宋体" w:hAnsi="宋体"/>
                <w:i/>
                <w:color w:val="000000" w:themeColor="text1"/>
                <w:u w:val="single"/>
                <w14:textFill>
                  <w14:solidFill>
                    <w14:schemeClr w14:val="tx1"/>
                  </w14:solidFill>
                </w14:textFill>
              </w:rPr>
              <w:t>部分满足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Cs w:val="21"/>
                <w14:textFill>
                  <w14:solidFill>
                    <w14:schemeClr w14:val="tx1"/>
                  </w14:solidFill>
                </w14:textFill>
              </w:rPr>
            </w:pPr>
          </w:p>
        </w:tc>
        <w:tc>
          <w:tcPr>
            <w:tcW w:w="2241" w:type="dxa"/>
            <w:tcBorders>
              <w:top w:val="single" w:color="auto" w:sz="4" w:space="0"/>
              <w:left w:val="single" w:color="auto" w:sz="4" w:space="0"/>
              <w:bottom w:val="single" w:color="auto" w:sz="4" w:space="0"/>
              <w:right w:val="single" w:color="auto" w:sz="4" w:space="0"/>
            </w:tcBorders>
            <w:vAlign w:val="center"/>
          </w:tcPr>
          <w:p>
            <w:pPr>
              <w:pStyle w:val="13"/>
              <w:spacing w:line="360" w:lineRule="auto"/>
              <w:jc w:val="center"/>
              <w:rPr>
                <w:rFonts w:hAnsi="宋体" w:cs="Courier New"/>
                <w:color w:val="000000" w:themeColor="text1"/>
                <w14:textFill>
                  <w14:solidFill>
                    <w14:schemeClr w14:val="tx1"/>
                  </w14:solidFill>
                </w14:textFill>
              </w:rPr>
            </w:pPr>
          </w:p>
        </w:tc>
        <w:tc>
          <w:tcPr>
            <w:tcW w:w="245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Cs w:val="21"/>
                <w14:textFill>
                  <w14:solidFill>
                    <w14:schemeClr w14:val="tx1"/>
                  </w14:solidFill>
                </w14:textFill>
              </w:rPr>
            </w:pPr>
          </w:p>
        </w:tc>
        <w:tc>
          <w:tcPr>
            <w:tcW w:w="28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i/>
                <w:color w:val="000000" w:themeColor="text1"/>
                <w:u w:val="single"/>
                <w14:textFill>
                  <w14:solidFill>
                    <w14:schemeClr w14:val="tx1"/>
                  </w14:solidFill>
                </w14:textFill>
              </w:rPr>
            </w:pPr>
            <w:r>
              <w:rPr>
                <w:rFonts w:hint="eastAsia" w:ascii="宋体" w:hAnsi="宋体"/>
                <w:i/>
                <w:color w:val="000000" w:themeColor="text1"/>
                <w:u w:val="single"/>
                <w14:textFill>
                  <w14:solidFill>
                    <w14:schemeClr w14:val="tx1"/>
                  </w14:solidFill>
                </w14:textFill>
              </w:rPr>
              <w:t>可另页详述（应答），</w:t>
            </w:r>
          </w:p>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i/>
                <w:color w:val="000000" w:themeColor="text1"/>
                <w:u w:val="single"/>
                <w14:textFill>
                  <w14:solidFill>
                    <w14:schemeClr w14:val="tx1"/>
                  </w14:solidFill>
                </w14:textFill>
              </w:rPr>
              <w:t>但须标注其所在页码</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Cs w:val="21"/>
                <w14:textFill>
                  <w14:solidFill>
                    <w14:schemeClr w14:val="tx1"/>
                  </w14:solidFill>
                </w14:textFill>
              </w:rPr>
            </w:pPr>
          </w:p>
        </w:tc>
        <w:tc>
          <w:tcPr>
            <w:tcW w:w="2241" w:type="dxa"/>
            <w:tcBorders>
              <w:top w:val="single" w:color="auto" w:sz="4" w:space="0"/>
              <w:left w:val="single" w:color="auto" w:sz="4" w:space="0"/>
              <w:bottom w:val="single" w:color="auto" w:sz="4" w:space="0"/>
              <w:right w:val="single" w:color="auto" w:sz="4" w:space="0"/>
            </w:tcBorders>
            <w:vAlign w:val="center"/>
          </w:tcPr>
          <w:p>
            <w:pPr>
              <w:pStyle w:val="13"/>
              <w:spacing w:line="360" w:lineRule="auto"/>
              <w:jc w:val="center"/>
              <w:rPr>
                <w:rFonts w:hAnsi="宋体" w:cs="Courier New"/>
                <w:color w:val="000000" w:themeColor="text1"/>
                <w14:textFill>
                  <w14:solidFill>
                    <w14:schemeClr w14:val="tx1"/>
                  </w14:solidFill>
                </w14:textFill>
              </w:rPr>
            </w:pPr>
          </w:p>
        </w:tc>
        <w:tc>
          <w:tcPr>
            <w:tcW w:w="245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Cs w:val="21"/>
                <w14:textFill>
                  <w14:solidFill>
                    <w14:schemeClr w14:val="tx1"/>
                  </w14:solidFill>
                </w14:textFill>
              </w:rPr>
            </w:pPr>
          </w:p>
        </w:tc>
        <w:tc>
          <w:tcPr>
            <w:tcW w:w="28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Cs w:val="21"/>
                <w14:textFill>
                  <w14:solidFill>
                    <w14:schemeClr w14:val="tx1"/>
                  </w14:solidFill>
                </w14:textFill>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Cs w:val="21"/>
                <w14:textFill>
                  <w14:solidFill>
                    <w14:schemeClr w14:val="tx1"/>
                  </w14:solidFill>
                </w14:textFill>
              </w:rPr>
            </w:pPr>
          </w:p>
        </w:tc>
        <w:tc>
          <w:tcPr>
            <w:tcW w:w="2241" w:type="dxa"/>
            <w:tcBorders>
              <w:top w:val="single" w:color="auto" w:sz="4" w:space="0"/>
              <w:left w:val="single" w:color="auto" w:sz="4" w:space="0"/>
              <w:bottom w:val="single" w:color="auto" w:sz="4" w:space="0"/>
              <w:right w:val="single" w:color="auto" w:sz="4" w:space="0"/>
            </w:tcBorders>
            <w:vAlign w:val="center"/>
          </w:tcPr>
          <w:p>
            <w:pPr>
              <w:pStyle w:val="13"/>
              <w:spacing w:line="360" w:lineRule="auto"/>
              <w:jc w:val="center"/>
              <w:rPr>
                <w:rFonts w:hAnsi="宋体" w:cs="Courier New"/>
                <w:color w:val="000000" w:themeColor="text1"/>
                <w14:textFill>
                  <w14:solidFill>
                    <w14:schemeClr w14:val="tx1"/>
                  </w14:solidFill>
                </w14:textFill>
              </w:rPr>
            </w:pPr>
          </w:p>
        </w:tc>
        <w:tc>
          <w:tcPr>
            <w:tcW w:w="245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000000" w:themeColor="text1"/>
                <w:szCs w:val="21"/>
                <w:u w:val="single"/>
                <w14:textFill>
                  <w14:solidFill>
                    <w14:schemeClr w14:val="tx1"/>
                  </w14:solidFill>
                </w14:textFill>
              </w:rPr>
            </w:pPr>
          </w:p>
        </w:tc>
        <w:tc>
          <w:tcPr>
            <w:tcW w:w="28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Cs w:val="21"/>
                <w14:textFill>
                  <w14:solidFill>
                    <w14:schemeClr w14:val="tx1"/>
                  </w14:solidFill>
                </w14:textFill>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Cs w:val="21"/>
                <w14:textFill>
                  <w14:solidFill>
                    <w14:schemeClr w14:val="tx1"/>
                  </w14:solidFill>
                </w14:textFill>
              </w:rPr>
            </w:pPr>
          </w:p>
        </w:tc>
        <w:tc>
          <w:tcPr>
            <w:tcW w:w="2241" w:type="dxa"/>
            <w:tcBorders>
              <w:top w:val="single" w:color="auto" w:sz="4" w:space="0"/>
              <w:left w:val="single" w:color="auto" w:sz="4" w:space="0"/>
              <w:bottom w:val="single" w:color="auto" w:sz="4" w:space="0"/>
              <w:right w:val="single" w:color="auto" w:sz="4" w:space="0"/>
            </w:tcBorders>
            <w:vAlign w:val="center"/>
          </w:tcPr>
          <w:p>
            <w:pPr>
              <w:pStyle w:val="13"/>
              <w:spacing w:line="360" w:lineRule="auto"/>
              <w:jc w:val="center"/>
              <w:rPr>
                <w:rFonts w:hAnsi="宋体" w:cs="Courier New"/>
                <w:color w:val="000000" w:themeColor="text1"/>
                <w14:textFill>
                  <w14:solidFill>
                    <w14:schemeClr w14:val="tx1"/>
                  </w14:solidFill>
                </w14:textFill>
              </w:rPr>
            </w:pPr>
          </w:p>
        </w:tc>
        <w:tc>
          <w:tcPr>
            <w:tcW w:w="245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000000" w:themeColor="text1"/>
                <w:szCs w:val="21"/>
                <w:u w:val="single"/>
                <w14:textFill>
                  <w14:solidFill>
                    <w14:schemeClr w14:val="tx1"/>
                  </w14:solidFill>
                </w14:textFill>
              </w:rPr>
            </w:pPr>
          </w:p>
        </w:tc>
        <w:tc>
          <w:tcPr>
            <w:tcW w:w="28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Cs w:val="21"/>
                <w14:textFill>
                  <w14:solidFill>
                    <w14:schemeClr w14:val="tx1"/>
                  </w14:solidFill>
                </w14:textFill>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Cs w:val="21"/>
                <w14:textFill>
                  <w14:solidFill>
                    <w14:schemeClr w14:val="tx1"/>
                  </w14:solidFill>
                </w14:textFill>
              </w:rPr>
            </w:pPr>
          </w:p>
        </w:tc>
        <w:tc>
          <w:tcPr>
            <w:tcW w:w="2241" w:type="dxa"/>
            <w:tcBorders>
              <w:top w:val="single" w:color="auto" w:sz="4" w:space="0"/>
              <w:left w:val="single" w:color="auto" w:sz="4" w:space="0"/>
              <w:bottom w:val="single" w:color="auto" w:sz="4" w:space="0"/>
              <w:right w:val="single" w:color="auto" w:sz="4" w:space="0"/>
            </w:tcBorders>
            <w:vAlign w:val="center"/>
          </w:tcPr>
          <w:p>
            <w:pPr>
              <w:pStyle w:val="13"/>
              <w:spacing w:line="360" w:lineRule="auto"/>
              <w:jc w:val="center"/>
              <w:rPr>
                <w:rFonts w:hAnsi="宋体" w:cs="Courier New"/>
                <w:color w:val="000000" w:themeColor="text1"/>
                <w14:textFill>
                  <w14:solidFill>
                    <w14:schemeClr w14:val="tx1"/>
                  </w14:solidFill>
                </w14:textFill>
              </w:rPr>
            </w:pPr>
          </w:p>
        </w:tc>
        <w:tc>
          <w:tcPr>
            <w:tcW w:w="245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000000" w:themeColor="text1"/>
                <w:szCs w:val="21"/>
                <w:u w:val="single"/>
                <w14:textFill>
                  <w14:solidFill>
                    <w14:schemeClr w14:val="tx1"/>
                  </w14:solidFill>
                </w14:textFill>
              </w:rPr>
            </w:pPr>
          </w:p>
        </w:tc>
        <w:tc>
          <w:tcPr>
            <w:tcW w:w="28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Cs w:val="21"/>
                <w14:textFill>
                  <w14:solidFill>
                    <w14:schemeClr w14:val="tx1"/>
                  </w14:solidFill>
                </w14:textFill>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Cs w:val="21"/>
                <w14:textFill>
                  <w14:solidFill>
                    <w14:schemeClr w14:val="tx1"/>
                  </w14:solidFill>
                </w14:textFill>
              </w:rPr>
            </w:pPr>
          </w:p>
        </w:tc>
        <w:tc>
          <w:tcPr>
            <w:tcW w:w="2241" w:type="dxa"/>
            <w:tcBorders>
              <w:top w:val="single" w:color="auto" w:sz="4" w:space="0"/>
              <w:left w:val="single" w:color="auto" w:sz="4" w:space="0"/>
              <w:bottom w:val="single" w:color="auto" w:sz="4" w:space="0"/>
              <w:right w:val="single" w:color="auto" w:sz="4" w:space="0"/>
            </w:tcBorders>
            <w:vAlign w:val="center"/>
          </w:tcPr>
          <w:p>
            <w:pPr>
              <w:pStyle w:val="13"/>
              <w:spacing w:line="360" w:lineRule="auto"/>
              <w:jc w:val="center"/>
              <w:rPr>
                <w:rFonts w:hAnsi="宋体" w:cs="Courier New"/>
                <w:color w:val="000000" w:themeColor="text1"/>
                <w14:textFill>
                  <w14:solidFill>
                    <w14:schemeClr w14:val="tx1"/>
                  </w14:solidFill>
                </w14:textFill>
              </w:rPr>
            </w:pPr>
          </w:p>
        </w:tc>
        <w:tc>
          <w:tcPr>
            <w:tcW w:w="245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000000" w:themeColor="text1"/>
                <w:szCs w:val="21"/>
                <w:u w:val="single"/>
                <w14:textFill>
                  <w14:solidFill>
                    <w14:schemeClr w14:val="tx1"/>
                  </w14:solidFill>
                </w14:textFill>
              </w:rPr>
            </w:pPr>
          </w:p>
        </w:tc>
        <w:tc>
          <w:tcPr>
            <w:tcW w:w="28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Cs w:val="21"/>
                <w14:textFill>
                  <w14:solidFill>
                    <w14:schemeClr w14:val="tx1"/>
                  </w14:solidFill>
                </w14:textFill>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Cs w:val="21"/>
                <w14:textFill>
                  <w14:solidFill>
                    <w14:schemeClr w14:val="tx1"/>
                  </w14:solidFill>
                </w14:textFill>
              </w:rPr>
            </w:pPr>
          </w:p>
        </w:tc>
        <w:tc>
          <w:tcPr>
            <w:tcW w:w="2241" w:type="dxa"/>
            <w:tcBorders>
              <w:top w:val="single" w:color="auto" w:sz="4" w:space="0"/>
              <w:left w:val="single" w:color="auto" w:sz="4" w:space="0"/>
              <w:bottom w:val="single" w:color="auto" w:sz="4" w:space="0"/>
              <w:right w:val="single" w:color="auto" w:sz="4" w:space="0"/>
            </w:tcBorders>
            <w:vAlign w:val="center"/>
          </w:tcPr>
          <w:p>
            <w:pPr>
              <w:pStyle w:val="13"/>
              <w:spacing w:line="360" w:lineRule="auto"/>
              <w:jc w:val="center"/>
              <w:rPr>
                <w:rFonts w:hAnsi="宋体" w:cs="Courier New"/>
                <w:color w:val="000000" w:themeColor="text1"/>
                <w14:textFill>
                  <w14:solidFill>
                    <w14:schemeClr w14:val="tx1"/>
                  </w14:solidFill>
                </w14:textFill>
              </w:rPr>
            </w:pPr>
          </w:p>
        </w:tc>
        <w:tc>
          <w:tcPr>
            <w:tcW w:w="245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000000" w:themeColor="text1"/>
                <w:szCs w:val="21"/>
                <w:u w:val="single"/>
                <w14:textFill>
                  <w14:solidFill>
                    <w14:schemeClr w14:val="tx1"/>
                  </w14:solidFill>
                </w14:textFill>
              </w:rPr>
            </w:pPr>
          </w:p>
        </w:tc>
        <w:tc>
          <w:tcPr>
            <w:tcW w:w="28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Cs w:val="21"/>
                <w14:textFill>
                  <w14:solidFill>
                    <w14:schemeClr w14:val="tx1"/>
                  </w14:solidFill>
                </w14:textFill>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Cs w:val="21"/>
                <w14:textFill>
                  <w14:solidFill>
                    <w14:schemeClr w14:val="tx1"/>
                  </w14:solidFill>
                </w14:textFill>
              </w:rPr>
            </w:pPr>
          </w:p>
        </w:tc>
        <w:tc>
          <w:tcPr>
            <w:tcW w:w="2241" w:type="dxa"/>
            <w:tcBorders>
              <w:top w:val="single" w:color="auto" w:sz="4" w:space="0"/>
              <w:left w:val="single" w:color="auto" w:sz="4" w:space="0"/>
              <w:bottom w:val="single" w:color="auto" w:sz="4" w:space="0"/>
              <w:right w:val="single" w:color="auto" w:sz="4" w:space="0"/>
            </w:tcBorders>
            <w:vAlign w:val="center"/>
          </w:tcPr>
          <w:p>
            <w:pPr>
              <w:pStyle w:val="13"/>
              <w:spacing w:line="360" w:lineRule="auto"/>
              <w:jc w:val="center"/>
              <w:rPr>
                <w:rFonts w:hAnsi="宋体" w:cs="Courier New"/>
                <w:color w:val="000000" w:themeColor="text1"/>
                <w14:textFill>
                  <w14:solidFill>
                    <w14:schemeClr w14:val="tx1"/>
                  </w14:solidFill>
                </w14:textFill>
              </w:rPr>
            </w:pPr>
          </w:p>
        </w:tc>
        <w:tc>
          <w:tcPr>
            <w:tcW w:w="24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i/>
                <w:color w:val="000000" w:themeColor="text1"/>
                <w:szCs w:val="21"/>
                <w:u w:val="single"/>
                <w14:textFill>
                  <w14:solidFill>
                    <w14:schemeClr w14:val="tx1"/>
                  </w14:solidFill>
                </w14:textFill>
              </w:rPr>
            </w:pPr>
            <w:r>
              <w:rPr>
                <w:rFonts w:hint="eastAsia" w:ascii="宋体" w:hAnsi="宋体"/>
                <w:i/>
                <w:color w:val="000000" w:themeColor="text1"/>
                <w:szCs w:val="21"/>
                <w:u w:val="single"/>
                <w14:textFill>
                  <w14:solidFill>
                    <w14:schemeClr w14:val="tx1"/>
                  </w14:solidFill>
                </w14:textFill>
              </w:rPr>
              <w:t>行数不够，可按本表格式自行添加</w:t>
            </w:r>
          </w:p>
        </w:tc>
        <w:tc>
          <w:tcPr>
            <w:tcW w:w="28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Cs w:val="21"/>
                <w14:textFill>
                  <w14:solidFill>
                    <w14:schemeClr w14:val="tx1"/>
                  </w14:solidFill>
                </w14:textFill>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9747"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jc w:val="lef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我公司确认，除以上“偏离说明”栏中列明的偏差外，我公司无条件接受招标文件规定的所有</w:t>
            </w:r>
            <w:r>
              <w:rPr>
                <w:rFonts w:hint="eastAsia" w:ascii="宋体" w:hAnsi="宋体"/>
                <w:color w:val="000000" w:themeColor="text1"/>
                <w14:textFill>
                  <w14:solidFill>
                    <w14:schemeClr w14:val="tx1"/>
                  </w14:solidFill>
                </w14:textFill>
              </w:rPr>
              <w:t>技术要求（技术规格</w:t>
            </w:r>
            <w:r>
              <w:rPr>
                <w:rFonts w:hint="eastAsia" w:ascii="宋体" w:hAnsi="宋体"/>
                <w:color w:val="000000" w:themeColor="text1"/>
                <w:szCs w:val="21"/>
                <w14:textFill>
                  <w14:solidFill>
                    <w14:schemeClr w14:val="tx1"/>
                  </w14:solidFill>
                </w14:textFill>
              </w:rPr>
              <w:t>）等</w:t>
            </w:r>
            <w:r>
              <w:rPr>
                <w:rFonts w:ascii="宋体" w:hAnsi="宋体"/>
                <w:color w:val="000000" w:themeColor="text1"/>
                <w:szCs w:val="21"/>
                <w14:textFill>
                  <w14:solidFill>
                    <w14:schemeClr w14:val="tx1"/>
                  </w14:solidFill>
                </w14:textFill>
              </w:rPr>
              <w:t>。</w:t>
            </w:r>
          </w:p>
          <w:p>
            <w:pPr>
              <w:spacing w:line="360" w:lineRule="auto"/>
              <w:jc w:val="left"/>
              <w:rPr>
                <w:rFonts w:ascii="宋体" w:hAnsi="宋体"/>
                <w:b/>
                <w:color w:val="000000" w:themeColor="text1"/>
                <w:szCs w:val="21"/>
                <w:u w:val="single"/>
                <w14:textFill>
                  <w14:solidFill>
                    <w14:schemeClr w14:val="tx1"/>
                  </w14:solidFill>
                </w14:textFill>
              </w:rPr>
            </w:pPr>
            <w:r>
              <w:rPr>
                <w:rFonts w:hint="eastAsia" w:ascii="宋体" w:hAnsi="宋体"/>
                <w:b/>
                <w:color w:val="000000" w:themeColor="text1"/>
                <w:szCs w:val="21"/>
                <w:u w:val="single"/>
                <w14:textFill>
                  <w14:solidFill>
                    <w14:schemeClr w14:val="tx1"/>
                  </w14:solidFill>
                </w14:textFill>
              </w:rPr>
              <w:t>法定代表人或其委托</w:t>
            </w:r>
            <w:r>
              <w:rPr>
                <w:rFonts w:ascii="宋体" w:hAnsi="宋体"/>
                <w:b/>
                <w:color w:val="000000" w:themeColor="text1"/>
                <w:szCs w:val="21"/>
                <w:u w:val="single"/>
                <w14:textFill>
                  <w14:solidFill>
                    <w14:schemeClr w14:val="tx1"/>
                  </w14:solidFill>
                </w14:textFill>
              </w:rPr>
              <w:t>代理人</w:t>
            </w:r>
            <w:r>
              <w:rPr>
                <w:rFonts w:hint="eastAsia" w:ascii="宋体" w:hAnsi="宋体"/>
                <w:b/>
                <w:color w:val="000000" w:themeColor="text1"/>
                <w:szCs w:val="21"/>
                <w:u w:val="single"/>
                <w14:textFill>
                  <w14:solidFill>
                    <w14:schemeClr w14:val="tx1"/>
                  </w14:solidFill>
                </w14:textFill>
              </w:rPr>
              <w:t xml:space="preserve">（签字）：                  </w:t>
            </w:r>
          </w:p>
          <w:p>
            <w:pPr>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b/>
                <w:color w:val="000000" w:themeColor="text1"/>
                <w:szCs w:val="21"/>
                <w:u w:val="single"/>
                <w14:textFill>
                  <w14:solidFill>
                    <w14:schemeClr w14:val="tx1"/>
                  </w14:solidFill>
                </w14:textFill>
              </w:rPr>
              <w:t xml:space="preserve">投标人(盖单位章)：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9747" w:type="dxa"/>
            <w:gridSpan w:val="5"/>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注：</w:t>
            </w:r>
          </w:p>
          <w:p>
            <w:pPr>
              <w:ind w:firstLine="42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1.投标人需按</w:t>
            </w:r>
            <w:r>
              <w:rPr>
                <w:rFonts w:hint="eastAsia" w:ascii="宋体" w:hAnsi="宋体"/>
                <w:color w:val="000000" w:themeColor="text1"/>
                <w14:textFill>
                  <w14:solidFill>
                    <w14:schemeClr w14:val="tx1"/>
                  </w14:solidFill>
                </w14:textFill>
              </w:rPr>
              <w:t>招标</w:t>
            </w:r>
            <w:r>
              <w:rPr>
                <w:rFonts w:ascii="宋体" w:hAnsi="宋体"/>
                <w:color w:val="000000" w:themeColor="text1"/>
                <w14:textFill>
                  <w14:solidFill>
                    <w14:schemeClr w14:val="tx1"/>
                  </w14:solidFill>
                </w14:textFill>
              </w:rPr>
              <w:t>文件对</w:t>
            </w:r>
            <w:r>
              <w:rPr>
                <w:rFonts w:hint="eastAsia" w:ascii="宋体" w:hAnsi="宋体"/>
                <w:color w:val="000000" w:themeColor="text1"/>
                <w14:textFill>
                  <w14:solidFill>
                    <w14:schemeClr w14:val="tx1"/>
                  </w14:solidFill>
                </w14:textFill>
              </w:rPr>
              <w:t>技术要求（技术规格）</w:t>
            </w:r>
            <w:r>
              <w:rPr>
                <w:rFonts w:ascii="宋体" w:hAnsi="宋体"/>
                <w:color w:val="000000" w:themeColor="text1"/>
                <w14:textFill>
                  <w14:solidFill>
                    <w14:schemeClr w14:val="tx1"/>
                  </w14:solidFill>
                </w14:textFill>
              </w:rPr>
              <w:t>进行应答</w:t>
            </w: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详细描述如何满足该需求</w:t>
            </w:r>
            <w:r>
              <w:rPr>
                <w:rFonts w:hint="eastAsia" w:ascii="宋体" w:hAnsi="宋体"/>
                <w:color w:val="000000" w:themeColor="text1"/>
                <w14:textFill>
                  <w14:solidFill>
                    <w14:schemeClr w14:val="tx1"/>
                  </w14:solidFill>
                </w14:textFill>
              </w:rPr>
              <w:t>）</w:t>
            </w:r>
            <w:r>
              <w:rPr>
                <w:rFonts w:hint="eastAsia" w:ascii="宋体" w:hAnsi="宋体"/>
                <w:b/>
                <w:color w:val="000000" w:themeColor="text1"/>
                <w14:textFill>
                  <w14:solidFill>
                    <w14:schemeClr w14:val="tx1"/>
                  </w14:solidFill>
                </w14:textFill>
              </w:rPr>
              <w:t>不得直接复制粘贴采购要求，否则将视同为未实质性响应</w:t>
            </w:r>
            <w:r>
              <w:rPr>
                <w:rFonts w:ascii="宋体" w:hAns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如本表表格填写不便的，可以另页</w:t>
            </w:r>
            <w:r>
              <w:rPr>
                <w:rFonts w:ascii="宋体" w:hAnsi="宋体"/>
                <w:color w:val="000000" w:themeColor="text1"/>
                <w14:textFill>
                  <w14:solidFill>
                    <w14:schemeClr w14:val="tx1"/>
                  </w14:solidFill>
                </w14:textFill>
              </w:rPr>
              <w:t>详述</w:t>
            </w: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应答</w:t>
            </w: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，但必须给出确切的位置索引</w:t>
            </w:r>
            <w:r>
              <w:rPr>
                <w:rFonts w:hint="eastAsia" w:ascii="宋体" w:hAnsi="宋体"/>
                <w:color w:val="000000" w:themeColor="text1"/>
                <w14:textFill>
                  <w14:solidFill>
                    <w14:schemeClr w14:val="tx1"/>
                  </w14:solidFill>
                </w14:textFill>
              </w:rPr>
              <w:t>（标注具体内容的所在页码）</w:t>
            </w:r>
            <w:r>
              <w:rPr>
                <w:rFonts w:ascii="宋体" w:hAnsi="宋体"/>
                <w:color w:val="000000" w:themeColor="text1"/>
                <w14:textFill>
                  <w14:solidFill>
                    <w14:schemeClr w14:val="tx1"/>
                  </w14:solidFill>
                </w14:textFill>
              </w:rPr>
              <w:t>。</w:t>
            </w:r>
          </w:p>
          <w:p>
            <w:pPr>
              <w:ind w:firstLine="42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2</w:t>
            </w: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用“满足/不满足/部分满足”响应来表明该需求是否被满足，不得使用“明白”、“理解”等词语。</w:t>
            </w:r>
            <w:r>
              <w:rPr>
                <w:rFonts w:hint="eastAsia" w:ascii="宋体" w:hAnsi="宋体"/>
                <w:color w:val="000000" w:themeColor="text1"/>
                <w14:textFill>
                  <w14:solidFill>
                    <w14:schemeClr w14:val="tx1"/>
                  </w14:solidFill>
                </w14:textFill>
              </w:rPr>
              <w:t>如</w:t>
            </w:r>
            <w:r>
              <w:rPr>
                <w:rFonts w:ascii="宋体" w:hAnsi="宋体"/>
                <w:color w:val="000000" w:themeColor="text1"/>
                <w14:textFill>
                  <w14:solidFill>
                    <w14:schemeClr w14:val="tx1"/>
                  </w14:solidFill>
                </w14:textFill>
              </w:rPr>
              <w:t>与</w:t>
            </w:r>
            <w:r>
              <w:rPr>
                <w:rFonts w:hint="eastAsia" w:ascii="宋体" w:hAnsi="宋体"/>
                <w:color w:val="000000" w:themeColor="text1"/>
                <w14:textFill>
                  <w14:solidFill>
                    <w14:schemeClr w14:val="tx1"/>
                  </w14:solidFill>
                </w14:textFill>
              </w:rPr>
              <w:t>采购</w:t>
            </w:r>
            <w:r>
              <w:rPr>
                <w:rFonts w:ascii="宋体" w:hAnsi="宋体"/>
                <w:color w:val="000000" w:themeColor="text1"/>
                <w14:textFill>
                  <w14:solidFill>
                    <w14:schemeClr w14:val="tx1"/>
                  </w14:solidFill>
                </w14:textFill>
              </w:rPr>
              <w:t>需求之间有偏差时必须用“部分满足”响应来表明该需求未被完全满足的情况，并用确切的描述解释如何规避该偏差。</w:t>
            </w:r>
            <w:r>
              <w:rPr>
                <w:rFonts w:hint="eastAsia" w:ascii="宋体" w:hAnsi="宋体"/>
                <w:color w:val="000000" w:themeColor="text1"/>
                <w14:textFill>
                  <w14:solidFill>
                    <w14:schemeClr w14:val="tx1"/>
                  </w14:solidFill>
                </w14:textFill>
              </w:rPr>
              <w:t>如</w:t>
            </w:r>
            <w:r>
              <w:rPr>
                <w:rFonts w:ascii="宋体" w:hAnsi="宋体"/>
                <w:color w:val="000000" w:themeColor="text1"/>
                <w14:textFill>
                  <w14:solidFill>
                    <w14:schemeClr w14:val="tx1"/>
                  </w14:solidFill>
                </w14:textFill>
              </w:rPr>
              <w:t>不能实现</w:t>
            </w:r>
            <w:r>
              <w:rPr>
                <w:rFonts w:hint="eastAsia" w:ascii="宋体" w:hAnsi="宋体"/>
                <w:color w:val="000000" w:themeColor="text1"/>
                <w14:textFill>
                  <w14:solidFill>
                    <w14:schemeClr w14:val="tx1"/>
                  </w14:solidFill>
                </w14:textFill>
              </w:rPr>
              <w:t>采购</w:t>
            </w:r>
            <w:r>
              <w:rPr>
                <w:rFonts w:ascii="宋体" w:hAnsi="宋体"/>
                <w:color w:val="000000" w:themeColor="text1"/>
                <w14:textFill>
                  <w14:solidFill>
                    <w14:schemeClr w14:val="tx1"/>
                  </w14:solidFill>
                </w14:textFill>
              </w:rPr>
              <w:t>需求时必须用“不满足”来响应。</w:t>
            </w:r>
          </w:p>
          <w:p>
            <w:pPr>
              <w:ind w:firstLine="420" w:firstLineChars="200"/>
              <w:jc w:val="left"/>
              <w:rPr>
                <w:rFonts w:ascii="宋体" w:hAnsi="宋体"/>
                <w:color w:val="000000" w:themeColor="text1"/>
                <w:szCs w:val="21"/>
                <w14:textFill>
                  <w14:solidFill>
                    <w14:schemeClr w14:val="tx1"/>
                  </w14:solidFill>
                </w14:textFill>
              </w:rPr>
            </w:pPr>
            <w:r>
              <w:rPr>
                <w:rFonts w:ascii="宋体" w:hAnsi="宋体"/>
                <w:color w:val="000000" w:themeColor="text1"/>
                <w14:textFill>
                  <w14:solidFill>
                    <w14:schemeClr w14:val="tx1"/>
                  </w14:solidFill>
                </w14:textFill>
              </w:rPr>
              <w:t>3</w:t>
            </w:r>
            <w:r>
              <w:rPr>
                <w:rFonts w:hint="eastAsia" w:ascii="宋体" w:hAnsi="宋体"/>
                <w:color w:val="000000" w:themeColor="text1"/>
                <w14:textFill>
                  <w14:solidFill>
                    <w14:schemeClr w14:val="tx1"/>
                  </w14:solidFill>
                </w14:textFill>
              </w:rPr>
              <w:t>.</w:t>
            </w:r>
            <w:r>
              <w:rPr>
                <w:rFonts w:ascii="宋体" w:hAnsi="宋体"/>
                <w:color w:val="000000" w:themeColor="text1"/>
                <w:szCs w:val="21"/>
                <w14:textFill>
                  <w14:solidFill>
                    <w14:schemeClr w14:val="tx1"/>
                  </w14:solidFill>
                </w14:textFill>
              </w:rPr>
              <w:t>投标人可根据其投标内容进一步细化上述表格，并可增添其它表格或说明以便进一步明确投标内容。</w:t>
            </w:r>
          </w:p>
        </w:tc>
      </w:tr>
    </w:tbl>
    <w:p>
      <w:pPr>
        <w:pStyle w:val="34"/>
        <w:ind w:firstLine="0"/>
        <w:jc w:val="center"/>
        <w:outlineLvl w:val="1"/>
        <w:sectPr>
          <w:pgSz w:w="11906" w:h="16838"/>
          <w:pgMar w:top="1440" w:right="1080" w:bottom="1440" w:left="1080" w:header="851" w:footer="992" w:gutter="0"/>
          <w:cols w:space="720" w:num="1"/>
          <w:docGrid w:type="lines" w:linePitch="312" w:charSpace="0"/>
        </w:sectPr>
      </w:pPr>
      <w:bookmarkStart w:id="191" w:name="_Toc122338112"/>
      <w:r>
        <w:rPr>
          <w:rFonts w:hint="eastAsia"/>
          <w:b/>
          <w:sz w:val="28"/>
          <w:szCs w:val="28"/>
        </w:rPr>
        <w:t>八、技术规格（采购需求）偏离表</w:t>
      </w:r>
      <w:bookmarkEnd w:id="191"/>
    </w:p>
    <w:p>
      <w:pPr>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九、投标文件的其它内容</w:t>
      </w:r>
    </w:p>
    <w:p>
      <w:pPr>
        <w:spacing w:line="360" w:lineRule="auto"/>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证明投标标的的合格性和符合招标文件规定的技术文件等</w:t>
      </w:r>
    </w:p>
    <w:p>
      <w:pPr>
        <w:spacing w:line="360" w:lineRule="auto"/>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（包括但不限于:招标文件要求及投标人认为应当提供相关文件等）</w:t>
      </w:r>
    </w:p>
    <w:p>
      <w:pPr>
        <w:spacing w:line="360" w:lineRule="auto"/>
        <w:jc w:val="center"/>
        <w:rPr>
          <w:rFonts w:asciiTheme="minorEastAsia" w:hAnsiTheme="minorEastAsia" w:eastAsiaTheme="minorEastAsia" w:cstheme="minorEastAsia"/>
          <w:b/>
          <w:spacing w:val="6"/>
          <w:szCs w:val="21"/>
        </w:rPr>
      </w:pPr>
      <w:r>
        <w:rPr>
          <w:rFonts w:hint="eastAsia" w:asciiTheme="minorEastAsia" w:hAnsiTheme="minorEastAsia" w:eastAsiaTheme="minorEastAsia" w:cstheme="minorEastAsia"/>
          <w:b/>
          <w:color w:val="000000"/>
          <w:spacing w:val="6"/>
          <w:szCs w:val="21"/>
        </w:rPr>
        <w:t>1.</w:t>
      </w:r>
      <w:r>
        <w:rPr>
          <w:rFonts w:hint="eastAsia" w:asciiTheme="minorEastAsia" w:hAnsiTheme="minorEastAsia" w:eastAsiaTheme="minorEastAsia" w:cstheme="minorEastAsia"/>
          <w:b/>
          <w:spacing w:val="6"/>
          <w:szCs w:val="21"/>
        </w:rPr>
        <w:t>《中小企业声明函》</w:t>
      </w:r>
    </w:p>
    <w:p>
      <w:pPr>
        <w:autoSpaceDE w:val="0"/>
        <w:autoSpaceDN w:val="0"/>
        <w:adjustRightInd w:val="0"/>
        <w:spacing w:line="360" w:lineRule="auto"/>
        <w:ind w:firstLine="420" w:firstLineChars="20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本公司（联合体）郑重声明,根据《政府采购促进中小企业发展管理办法》（财库﹝2020﹞46 号）的规定，本公司（联合体）参加</w:t>
      </w:r>
      <w:r>
        <w:rPr>
          <w:rFonts w:hint="eastAsia" w:asciiTheme="minorEastAsia" w:hAnsiTheme="minorEastAsia" w:eastAsiaTheme="minorEastAsia" w:cstheme="minorEastAsia"/>
          <w:i/>
          <w:kern w:val="0"/>
          <w:szCs w:val="21"/>
          <w:u w:val="single"/>
        </w:rPr>
        <w:t>（单位名称）</w:t>
      </w:r>
      <w:r>
        <w:rPr>
          <w:rFonts w:hint="eastAsia" w:asciiTheme="minorEastAsia" w:hAnsiTheme="minorEastAsia" w:eastAsiaTheme="minorEastAsia" w:cstheme="minorEastAsia"/>
          <w:kern w:val="0"/>
          <w:szCs w:val="21"/>
        </w:rPr>
        <w:t>的</w:t>
      </w:r>
      <w:r>
        <w:rPr>
          <w:rFonts w:hint="eastAsia" w:asciiTheme="minorEastAsia" w:hAnsiTheme="minorEastAsia" w:eastAsiaTheme="minorEastAsia" w:cstheme="minorEastAsia"/>
          <w:i/>
          <w:kern w:val="0"/>
          <w:szCs w:val="21"/>
          <w:u w:val="single"/>
        </w:rPr>
        <w:t>（项目名称）</w:t>
      </w:r>
      <w:r>
        <w:rPr>
          <w:rFonts w:hint="eastAsia" w:asciiTheme="minorEastAsia" w:hAnsiTheme="minorEastAsia" w:eastAsiaTheme="minorEastAsia" w:cstheme="minorEastAsia"/>
          <w:kern w:val="0"/>
          <w:szCs w:val="21"/>
        </w:rPr>
        <w:t>采购活动，提供的货物全部由符合政策要求的中小企业制造。相关企业（含联合体中的中小企业、签订分包意向协议的中小企业）的具体情况如下：</w:t>
      </w:r>
    </w:p>
    <w:p>
      <w:pPr>
        <w:autoSpaceDE w:val="0"/>
        <w:autoSpaceDN w:val="0"/>
        <w:adjustRightInd w:val="0"/>
        <w:spacing w:line="360" w:lineRule="auto"/>
        <w:ind w:firstLine="315" w:firstLineChars="15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xml:space="preserve">1. </w:t>
      </w:r>
      <w:r>
        <w:rPr>
          <w:rFonts w:hint="eastAsia" w:asciiTheme="minorEastAsia" w:hAnsiTheme="minorEastAsia" w:eastAsiaTheme="minorEastAsia" w:cstheme="minorEastAsia"/>
          <w:i/>
          <w:kern w:val="0"/>
          <w:szCs w:val="21"/>
          <w:u w:val="single"/>
        </w:rPr>
        <w:t xml:space="preserve">（标的名称） </w:t>
      </w:r>
      <w:r>
        <w:rPr>
          <w:rFonts w:hint="eastAsia" w:asciiTheme="minorEastAsia" w:hAnsiTheme="minorEastAsia" w:eastAsiaTheme="minorEastAsia" w:cstheme="minorEastAsia"/>
          <w:kern w:val="0"/>
          <w:szCs w:val="21"/>
        </w:rPr>
        <w:t>，属于</w:t>
      </w:r>
      <w:r>
        <w:rPr>
          <w:rFonts w:hint="eastAsia" w:asciiTheme="minorEastAsia" w:hAnsiTheme="minorEastAsia" w:eastAsiaTheme="minorEastAsia" w:cstheme="minorEastAsia"/>
          <w:i/>
          <w:kern w:val="0"/>
          <w:szCs w:val="21"/>
          <w:u w:val="single"/>
        </w:rPr>
        <w:t>（采购文件中明确的所属行业）</w:t>
      </w:r>
      <w:r>
        <w:rPr>
          <w:rFonts w:hint="eastAsia" w:asciiTheme="minorEastAsia" w:hAnsiTheme="minorEastAsia" w:eastAsiaTheme="minorEastAsia" w:cstheme="minorEastAsia"/>
          <w:kern w:val="0"/>
          <w:szCs w:val="21"/>
        </w:rPr>
        <w:t>行业；制造商为</w:t>
      </w:r>
      <w:r>
        <w:rPr>
          <w:rFonts w:hint="eastAsia" w:asciiTheme="minorEastAsia" w:hAnsiTheme="minorEastAsia" w:eastAsiaTheme="minorEastAsia" w:cstheme="minorEastAsia"/>
          <w:i/>
          <w:kern w:val="0"/>
          <w:szCs w:val="21"/>
          <w:u w:val="single"/>
        </w:rPr>
        <w:t>（企业名称）</w:t>
      </w:r>
      <w:r>
        <w:rPr>
          <w:rFonts w:hint="eastAsia" w:asciiTheme="minorEastAsia" w:hAnsiTheme="minorEastAsia" w:eastAsiaTheme="minorEastAsia" w:cstheme="minorEastAsia"/>
          <w:kern w:val="0"/>
          <w:szCs w:val="21"/>
        </w:rPr>
        <w:t>，从业人员</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人，营业收入为</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万元，资产总额为</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万元①，属于</w:t>
      </w:r>
      <w:r>
        <w:rPr>
          <w:rFonts w:hint="eastAsia" w:asciiTheme="minorEastAsia" w:hAnsiTheme="minorEastAsia" w:eastAsiaTheme="minorEastAsia" w:cstheme="minorEastAsia"/>
          <w:i/>
          <w:kern w:val="0"/>
          <w:szCs w:val="21"/>
          <w:u w:val="single"/>
        </w:rPr>
        <w:t>（中型企业、小型企业、微型企业）</w:t>
      </w:r>
      <w:r>
        <w:rPr>
          <w:rFonts w:hint="eastAsia" w:asciiTheme="minorEastAsia" w:hAnsiTheme="minorEastAsia" w:eastAsiaTheme="minorEastAsia" w:cstheme="minorEastAsia"/>
          <w:kern w:val="0"/>
          <w:szCs w:val="21"/>
        </w:rPr>
        <w:t>；</w:t>
      </w:r>
    </w:p>
    <w:p>
      <w:pPr>
        <w:autoSpaceDE w:val="0"/>
        <w:autoSpaceDN w:val="0"/>
        <w:adjustRightInd w:val="0"/>
        <w:spacing w:line="360" w:lineRule="auto"/>
        <w:ind w:firstLine="420" w:firstLineChars="20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xml:space="preserve">2. </w:t>
      </w:r>
      <w:r>
        <w:rPr>
          <w:rFonts w:hint="eastAsia" w:asciiTheme="minorEastAsia" w:hAnsiTheme="minorEastAsia" w:eastAsiaTheme="minorEastAsia" w:cstheme="minorEastAsia"/>
          <w:i/>
          <w:kern w:val="0"/>
          <w:szCs w:val="21"/>
          <w:u w:val="single"/>
        </w:rPr>
        <w:t>（标的名称）</w:t>
      </w:r>
      <w:r>
        <w:rPr>
          <w:rFonts w:hint="eastAsia" w:asciiTheme="minorEastAsia" w:hAnsiTheme="minorEastAsia" w:eastAsiaTheme="minorEastAsia" w:cstheme="minorEastAsia"/>
          <w:kern w:val="0"/>
          <w:szCs w:val="21"/>
        </w:rPr>
        <w:t xml:space="preserve"> ，属于</w:t>
      </w:r>
      <w:r>
        <w:rPr>
          <w:rFonts w:hint="eastAsia" w:asciiTheme="minorEastAsia" w:hAnsiTheme="minorEastAsia" w:eastAsiaTheme="minorEastAsia" w:cstheme="minorEastAsia"/>
          <w:i/>
          <w:kern w:val="0"/>
          <w:szCs w:val="21"/>
          <w:u w:val="single"/>
        </w:rPr>
        <w:t>（采购文件中明确的所属行业）</w:t>
      </w:r>
      <w:r>
        <w:rPr>
          <w:rFonts w:hint="eastAsia" w:asciiTheme="minorEastAsia" w:hAnsiTheme="minorEastAsia" w:eastAsiaTheme="minorEastAsia" w:cstheme="minorEastAsia"/>
          <w:kern w:val="0"/>
          <w:szCs w:val="21"/>
        </w:rPr>
        <w:t>行业；制造商为</w:t>
      </w:r>
      <w:r>
        <w:rPr>
          <w:rFonts w:hint="eastAsia" w:asciiTheme="minorEastAsia" w:hAnsiTheme="minorEastAsia" w:eastAsiaTheme="minorEastAsia" w:cstheme="minorEastAsia"/>
          <w:i/>
          <w:kern w:val="0"/>
          <w:szCs w:val="21"/>
          <w:u w:val="single"/>
        </w:rPr>
        <w:t>（企业名称）</w:t>
      </w:r>
      <w:r>
        <w:rPr>
          <w:rFonts w:hint="eastAsia" w:asciiTheme="minorEastAsia" w:hAnsiTheme="minorEastAsia" w:eastAsiaTheme="minorEastAsia" w:cstheme="minorEastAsia"/>
          <w:kern w:val="0"/>
          <w:szCs w:val="21"/>
        </w:rPr>
        <w:t>，从业人员</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人，营业收入为</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万元，资产总额为</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万元①，属于</w:t>
      </w:r>
      <w:r>
        <w:rPr>
          <w:rFonts w:hint="eastAsia" w:asciiTheme="minorEastAsia" w:hAnsiTheme="minorEastAsia" w:eastAsiaTheme="minorEastAsia" w:cstheme="minorEastAsia"/>
          <w:i/>
          <w:kern w:val="0"/>
          <w:szCs w:val="21"/>
          <w:u w:val="single"/>
        </w:rPr>
        <w:t>（中型企业、小型企业、微型企业）</w:t>
      </w:r>
      <w:r>
        <w:rPr>
          <w:rFonts w:hint="eastAsia" w:asciiTheme="minorEastAsia" w:hAnsiTheme="minorEastAsia" w:eastAsiaTheme="minorEastAsia" w:cstheme="minorEastAsia"/>
          <w:kern w:val="0"/>
          <w:szCs w:val="21"/>
        </w:rPr>
        <w:t>；</w:t>
      </w:r>
    </w:p>
    <w:p>
      <w:pPr>
        <w:autoSpaceDE w:val="0"/>
        <w:autoSpaceDN w:val="0"/>
        <w:adjustRightInd w:val="0"/>
        <w:spacing w:line="360" w:lineRule="auto"/>
        <w:ind w:firstLine="420" w:firstLineChars="20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p>
      <w:pPr>
        <w:autoSpaceDE w:val="0"/>
        <w:autoSpaceDN w:val="0"/>
        <w:adjustRightInd w:val="0"/>
        <w:spacing w:line="360" w:lineRule="auto"/>
        <w:ind w:firstLine="420" w:firstLineChars="20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以上企业，不属于大企业的分支机构，不存在控股股东为大企业的情形，也不存在与大企业的负责人为同一人的情形。</w:t>
      </w:r>
    </w:p>
    <w:p>
      <w:pPr>
        <w:autoSpaceDE w:val="0"/>
        <w:autoSpaceDN w:val="0"/>
        <w:adjustRightInd w:val="0"/>
        <w:spacing w:line="360" w:lineRule="auto"/>
        <w:ind w:firstLine="420" w:firstLineChars="20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本企业对上述声明内容的真实性负责。如有虚假，将依法承担相应责任。</w:t>
      </w:r>
    </w:p>
    <w:p>
      <w:pPr>
        <w:autoSpaceDE w:val="0"/>
        <w:autoSpaceDN w:val="0"/>
        <w:adjustRightInd w:val="0"/>
        <w:spacing w:line="360" w:lineRule="auto"/>
        <w:ind w:firstLine="4329" w:firstLineChars="195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pacing w:val="6"/>
          <w:szCs w:val="21"/>
        </w:rPr>
        <w:t>企业名称（盖章）：</w:t>
      </w:r>
      <w:r>
        <w:rPr>
          <w:rFonts w:hint="eastAsia" w:asciiTheme="minorEastAsia" w:hAnsiTheme="minorEastAsia" w:eastAsiaTheme="minorEastAsia" w:cstheme="minorEastAsia"/>
          <w:szCs w:val="21"/>
          <w:u w:val="single"/>
        </w:rPr>
        <w:t xml:space="preserve">                </w:t>
      </w:r>
    </w:p>
    <w:p>
      <w:pPr>
        <w:autoSpaceDE w:val="0"/>
        <w:autoSpaceDN w:val="0"/>
        <w:adjustRightInd w:val="0"/>
        <w:spacing w:line="360" w:lineRule="auto"/>
        <w:ind w:firstLine="4305" w:firstLineChars="205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日期：</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年</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月</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日</w:t>
      </w:r>
    </w:p>
    <w:p>
      <w:pPr>
        <w:autoSpaceDE w:val="0"/>
        <w:autoSpaceDN w:val="0"/>
        <w:adjustRightInd w:val="0"/>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①从业人员、营业收入、资产总额填报上一年度数据，无上一年度数据的新成立企业可不填报</w:t>
      </w:r>
    </w:p>
    <w:p>
      <w:pPr>
        <w:pStyle w:val="2"/>
        <w:spacing w:line="360" w:lineRule="auto"/>
        <w:rPr>
          <w:rFonts w:asciiTheme="minorEastAsia" w:hAnsiTheme="minorEastAsia" w:eastAsiaTheme="minorEastAsia" w:cstheme="minorEastAsia"/>
          <w:sz w:val="21"/>
          <w:szCs w:val="21"/>
        </w:rPr>
      </w:pPr>
    </w:p>
    <w:p>
      <w:pPr>
        <w:keepNext/>
        <w:keepLines/>
        <w:spacing w:line="360" w:lineRule="auto"/>
        <w:jc w:val="center"/>
        <w:outlineLvl w:val="2"/>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2.《残疾人福利性单位声明函》</w:t>
      </w:r>
    </w:p>
    <w:p>
      <w:pPr>
        <w:spacing w:line="360" w:lineRule="auto"/>
        <w:ind w:firstLine="444" w:firstLineChars="200"/>
        <w:rPr>
          <w:rFonts w:asciiTheme="minorEastAsia" w:hAnsiTheme="minorEastAsia" w:eastAsiaTheme="minorEastAsia" w:cstheme="minorEastAsia"/>
          <w:spacing w:val="6"/>
          <w:szCs w:val="21"/>
        </w:rPr>
      </w:pPr>
      <w:r>
        <w:rPr>
          <w:rFonts w:hint="eastAsia" w:asciiTheme="minorEastAsia" w:hAnsiTheme="minorEastAsia" w:eastAsiaTheme="minorEastAsia" w:cstheme="minorEastAsia"/>
          <w:spacing w:val="6"/>
          <w:szCs w:val="21"/>
        </w:rPr>
        <w:t>本单位郑重声明，根据《财政部 民政部 中国残疾人联合会关于促进残疾人就业政府采购政策的通知》（财库</w:t>
      </w:r>
      <w:r>
        <w:rPr>
          <w:rFonts w:hint="eastAsia" w:asciiTheme="minorEastAsia" w:hAnsiTheme="minorEastAsia" w:eastAsiaTheme="minorEastAsia" w:cstheme="minorEastAsia"/>
          <w:szCs w:val="21"/>
        </w:rPr>
        <w:t>〔2017〕 141</w:t>
      </w:r>
      <w:r>
        <w:rPr>
          <w:rFonts w:hint="eastAsia" w:asciiTheme="minorEastAsia" w:hAnsiTheme="minorEastAsia" w:eastAsiaTheme="minorEastAsia" w:cstheme="minorEastAsia"/>
          <w:spacing w:val="6"/>
          <w:szCs w:val="21"/>
        </w:rPr>
        <w:t>号）的规定，本单位为符合条件的残疾人福利性单位。本单位参加</w:t>
      </w:r>
      <w:r>
        <w:rPr>
          <w:rFonts w:hint="eastAsia" w:asciiTheme="minorEastAsia" w:hAnsiTheme="minorEastAsia" w:eastAsiaTheme="minorEastAsia" w:cstheme="minorEastAsia"/>
          <w:szCs w:val="21"/>
        </w:rPr>
        <w:t>项目编号为</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的</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单位的</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项目采购活动</w:t>
      </w:r>
      <w:r>
        <w:rPr>
          <w:rFonts w:hint="eastAsia" w:asciiTheme="minorEastAsia" w:hAnsiTheme="minorEastAsia" w:eastAsiaTheme="minorEastAsia" w:cstheme="minorEastAsia"/>
          <w:spacing w:val="6"/>
          <w:szCs w:val="21"/>
        </w:rPr>
        <w:t>提供本单位制造的货物（由本单位承担工程、提供服务），或提供其他残疾人福利性单位制造的货物。</w:t>
      </w:r>
    </w:p>
    <w:p>
      <w:pPr>
        <w:spacing w:line="360" w:lineRule="auto"/>
        <w:ind w:firstLine="444" w:firstLineChars="200"/>
        <w:rPr>
          <w:rFonts w:asciiTheme="minorEastAsia" w:hAnsiTheme="minorEastAsia" w:eastAsiaTheme="minorEastAsia" w:cstheme="minorEastAsia"/>
          <w:spacing w:val="6"/>
          <w:szCs w:val="21"/>
        </w:rPr>
      </w:pPr>
      <w:r>
        <w:rPr>
          <w:rFonts w:hint="eastAsia" w:asciiTheme="minorEastAsia" w:hAnsiTheme="minorEastAsia" w:eastAsiaTheme="minorEastAsia" w:cstheme="minorEastAsia"/>
          <w:spacing w:val="6"/>
          <w:szCs w:val="21"/>
        </w:rPr>
        <w:t>本单位对上述声明的真实性负责。如有虚假，将依法承担相应责任。</w:t>
      </w:r>
    </w:p>
    <w:p>
      <w:pPr>
        <w:snapToGrid w:val="0"/>
        <w:spacing w:line="360" w:lineRule="auto"/>
        <w:ind w:firstLine="4200" w:firstLineChars="20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单位（公章）：</w:t>
      </w:r>
      <w:r>
        <w:rPr>
          <w:rFonts w:hint="eastAsia" w:asciiTheme="minorEastAsia" w:hAnsiTheme="minorEastAsia" w:eastAsiaTheme="minorEastAsia" w:cstheme="minorEastAsia"/>
          <w:szCs w:val="21"/>
          <w:u w:val="single"/>
        </w:rPr>
        <w:t xml:space="preserve">                </w:t>
      </w:r>
    </w:p>
    <w:p>
      <w:pPr>
        <w:snapToGrid w:val="0"/>
        <w:spacing w:line="360" w:lineRule="auto"/>
        <w:ind w:firstLine="4200" w:firstLineChars="2000"/>
        <w:rPr>
          <w:rFonts w:asciiTheme="minorEastAsia" w:hAnsiTheme="minorEastAsia" w:eastAsiaTheme="minorEastAsia" w:cstheme="minorEastAsia"/>
          <w:b/>
          <w:bCs/>
          <w:szCs w:val="21"/>
          <w:u w:val="single"/>
        </w:rPr>
      </w:pPr>
      <w:r>
        <w:rPr>
          <w:rFonts w:hint="eastAsia" w:asciiTheme="minorEastAsia" w:hAnsiTheme="minorEastAsia" w:eastAsiaTheme="minorEastAsia" w:cstheme="minorEastAsia"/>
          <w:szCs w:val="21"/>
        </w:rPr>
        <w:t>日期：</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年</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月</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日</w:t>
      </w:r>
    </w:p>
    <w:p>
      <w:pPr>
        <w:spacing w:line="312" w:lineRule="auto"/>
        <w:rPr>
          <w:rFonts w:asciiTheme="minorEastAsia" w:hAnsiTheme="minorEastAsia" w:eastAsiaTheme="minorEastAsia" w:cstheme="minorEastAsia"/>
          <w:b/>
          <w:bCs/>
          <w:szCs w:val="21"/>
          <w:u w:val="single"/>
        </w:rPr>
      </w:pPr>
    </w:p>
    <w:p>
      <w:pPr>
        <w:spacing w:line="312" w:lineRule="auto"/>
        <w:jc w:val="center"/>
        <w:rPr>
          <w:rFonts w:asciiTheme="minorEastAsia" w:hAnsiTheme="minorEastAsia" w:eastAsiaTheme="minorEastAsia" w:cstheme="minorEastAsia"/>
          <w:b/>
          <w:bCs/>
          <w:szCs w:val="21"/>
          <w:u w:val="single"/>
        </w:rPr>
      </w:pPr>
    </w:p>
    <w:p>
      <w:pPr>
        <w:spacing w:line="312" w:lineRule="auto"/>
        <w:jc w:val="center"/>
        <w:rPr>
          <w:rFonts w:ascii="宋体" w:hAnsi="宋体"/>
          <w:color w:val="000000"/>
        </w:rPr>
      </w:pPr>
      <w:r>
        <w:rPr>
          <w:rFonts w:hint="eastAsia" w:asciiTheme="minorEastAsia" w:hAnsiTheme="minorEastAsia" w:eastAsiaTheme="minorEastAsia" w:cstheme="minorEastAsia"/>
          <w:b/>
          <w:bCs/>
          <w:szCs w:val="21"/>
          <w:u w:val="single"/>
        </w:rPr>
        <w:t>感谢您对携手阳光公司的支持，欢迎您向我们提出宝贵建议。</w:t>
      </w:r>
    </w:p>
    <w:p>
      <w:pPr>
        <w:rPr>
          <w:color w:val="000000"/>
        </w:rPr>
      </w:pPr>
    </w:p>
    <w:sectPr>
      <w:pgSz w:w="11906" w:h="16838"/>
      <w:pgMar w:top="1077" w:right="1077" w:bottom="1191" w:left="130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细黑">
    <w:altName w:val="微软雅黑"/>
    <w:panose1 w:val="02010600040101010101"/>
    <w:charset w:val="86"/>
    <w:family w:val="auto"/>
    <w:pitch w:val="default"/>
    <w:sig w:usb0="00000000" w:usb1="00000000" w:usb2="00000010" w:usb3="00000000" w:csb0="0004009F" w:csb1="00000000"/>
  </w:font>
  <w:font w:name="Arial">
    <w:panose1 w:val="020B0604020202020204"/>
    <w:charset w:val="00"/>
    <w:family w:val="swiss"/>
    <w:pitch w:val="default"/>
    <w:sig w:usb0="E0002EFF" w:usb1="C000785B" w:usb2="00000009" w:usb3="00000000" w:csb0="400001FF" w:csb1="FFFF0000"/>
  </w:font>
  <w:font w:name="幼圆">
    <w:altName w:val="宋体"/>
    <w:panose1 w:val="0201050906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大黑简体">
    <w:altName w:val="宋体"/>
    <w:panose1 w:val="00000000000000000000"/>
    <w:charset w:val="86"/>
    <w:family w:val="auto"/>
    <w:pitch w:val="default"/>
    <w:sig w:usb0="00000000" w:usb1="00000000" w:usb2="00000000" w:usb3="00000000" w:csb0="00040000" w:csb1="00000000"/>
  </w:font>
  <w:font w:name="汉仪粗黑简">
    <w:altName w:val="宋体"/>
    <w:panose1 w:val="00000000000000000000"/>
    <w:charset w:val="86"/>
    <w:family w:val="auto"/>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 w:name="Arial Unicode MS">
    <w:altName w:val="宋体"/>
    <w:panose1 w:val="020B0604020202020204"/>
    <w:charset w:val="86"/>
    <w:family w:val="swiss"/>
    <w:pitch w:val="default"/>
    <w:sig w:usb0="00000000" w:usb1="00000000" w:usb2="0000003F" w:usb3="00000000" w:csb0="003F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316" w:firstLineChars="150"/>
      <w:jc w:val="center"/>
      <w:rPr>
        <w:rFonts w:ascii="宋体" w:hAnsi="宋体"/>
        <w:b/>
        <w:color w:val="FF0000"/>
        <w:szCs w:val="21"/>
      </w:rPr>
    </w:pPr>
    <w:r>
      <w:rPr>
        <w:rFonts w:hint="eastAsia" w:ascii="宋体" w:hAnsi="宋体"/>
        <w:b/>
        <w:szCs w:val="21"/>
      </w:rPr>
      <w:t>盐城市携手阳光集中采购代理有限公司</w:t>
    </w:r>
    <w:r>
      <w:rPr>
        <w:rFonts w:hint="eastAsia" w:ascii="宋体" w:hAnsi="宋体"/>
        <w:b/>
        <w:color w:val="000000"/>
        <w:szCs w:val="21"/>
      </w:rPr>
      <w:t>（第</w:t>
    </w:r>
    <w:r>
      <w:rPr>
        <w:rFonts w:ascii="宋体" w:hAnsi="宋体"/>
        <w:b/>
        <w:color w:val="000000"/>
        <w:szCs w:val="21"/>
      </w:rPr>
      <w:fldChar w:fldCharType="begin"/>
    </w:r>
    <w:r>
      <w:rPr>
        <w:rFonts w:ascii="宋体" w:hAnsi="宋体"/>
        <w:b/>
        <w:color w:val="000000"/>
        <w:szCs w:val="21"/>
      </w:rPr>
      <w:instrText xml:space="preserve"> PAGE </w:instrText>
    </w:r>
    <w:r>
      <w:rPr>
        <w:rFonts w:ascii="宋体" w:hAnsi="宋体"/>
        <w:b/>
        <w:color w:val="000000"/>
        <w:szCs w:val="21"/>
      </w:rPr>
      <w:fldChar w:fldCharType="separate"/>
    </w:r>
    <w:r>
      <w:rPr>
        <w:rFonts w:ascii="宋体" w:hAnsi="宋体"/>
        <w:b/>
        <w:color w:val="000000"/>
        <w:szCs w:val="21"/>
      </w:rPr>
      <w:t>16</w:t>
    </w:r>
    <w:r>
      <w:rPr>
        <w:rFonts w:ascii="宋体" w:hAnsi="宋体"/>
        <w:b/>
        <w:color w:val="000000"/>
        <w:szCs w:val="21"/>
      </w:rPr>
      <w:fldChar w:fldCharType="end"/>
    </w:r>
    <w:r>
      <w:rPr>
        <w:rFonts w:hint="eastAsia" w:ascii="宋体" w:hAnsi="宋体"/>
        <w:b/>
        <w:color w:val="000000"/>
        <w:szCs w:val="21"/>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szCs w:val="21"/>
        <w:u w:val="single"/>
      </w:rPr>
    </w:pPr>
    <w:r>
      <w:rPr>
        <w:rFonts w:hint="eastAsia"/>
        <w:szCs w:val="21"/>
        <w:u w:val="single"/>
      </w:rPr>
      <w:t>术业有专攻、政采有阳光</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7F6829"/>
    <w:multiLevelType w:val="singleLevel"/>
    <w:tmpl w:val="B67F6829"/>
    <w:lvl w:ilvl="0" w:tentative="0">
      <w:start w:val="1"/>
      <w:numFmt w:val="chineseCounting"/>
      <w:suff w:val="space"/>
      <w:lvlText w:val="第%1项"/>
      <w:lvlJc w:val="left"/>
      <w:rPr>
        <w:rFonts w:hint="eastAsia"/>
      </w:rPr>
    </w:lvl>
  </w:abstractNum>
  <w:abstractNum w:abstractNumId="1">
    <w:nsid w:val="0019DEE3"/>
    <w:multiLevelType w:val="singleLevel"/>
    <w:tmpl w:val="0019DEE3"/>
    <w:lvl w:ilvl="0" w:tentative="0">
      <w:start w:val="1"/>
      <w:numFmt w:val="chineseCounting"/>
      <w:suff w:val="space"/>
      <w:lvlText w:val="第%1章"/>
      <w:lvlJc w:val="left"/>
      <w:rPr>
        <w:rFonts w:hint="eastAsia"/>
      </w:rPr>
    </w:lvl>
  </w:abstractNum>
  <w:abstractNum w:abstractNumId="2">
    <w:nsid w:val="2CAE8B67"/>
    <w:multiLevelType w:val="singleLevel"/>
    <w:tmpl w:val="2CAE8B67"/>
    <w:lvl w:ilvl="0" w:tentative="0">
      <w:start w:val="5"/>
      <w:numFmt w:val="chineseCounting"/>
      <w:suff w:val="nothing"/>
      <w:lvlText w:val="%1、"/>
      <w:lvlJc w:val="left"/>
      <w:rPr>
        <w:rFonts w:hint="eastAsia"/>
      </w:rPr>
    </w:lvl>
  </w:abstractNum>
  <w:abstractNum w:abstractNumId="3">
    <w:nsid w:val="6A6DE7F2"/>
    <w:multiLevelType w:val="singleLevel"/>
    <w:tmpl w:val="6A6DE7F2"/>
    <w:lvl w:ilvl="0" w:tentative="0">
      <w:start w:val="2"/>
      <w:numFmt w:val="chineseCounting"/>
      <w:suff w:val="nothing"/>
      <w:lvlText w:val="%1、"/>
      <w:lvlJc w:val="left"/>
      <w:rPr>
        <w:rFonts w:hint="eastAsia"/>
      </w:rPr>
    </w:lvl>
  </w:abstractNum>
  <w:abstractNum w:abstractNumId="4">
    <w:nsid w:val="79B6B2B5"/>
    <w:multiLevelType w:val="singleLevel"/>
    <w:tmpl w:val="79B6B2B5"/>
    <w:lvl w:ilvl="0" w:tentative="0">
      <w:start w:val="2"/>
      <w:numFmt w:val="decimal"/>
      <w:lvlText w:val="%1."/>
      <w:lvlJc w:val="left"/>
      <w:pPr>
        <w:tabs>
          <w:tab w:val="left" w:pos="312"/>
        </w:tabs>
      </w:p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g2Y2Y5YTYwZjJhZjQxNWNlYmI3ZjJmMzI3ZjUxNjEifQ=="/>
  </w:docVars>
  <w:rsids>
    <w:rsidRoot w:val="362A1B67"/>
    <w:rsid w:val="000016F8"/>
    <w:rsid w:val="00001C8E"/>
    <w:rsid w:val="00023AE2"/>
    <w:rsid w:val="000275B9"/>
    <w:rsid w:val="000316B8"/>
    <w:rsid w:val="00034000"/>
    <w:rsid w:val="00036B07"/>
    <w:rsid w:val="00046A2D"/>
    <w:rsid w:val="00071B8E"/>
    <w:rsid w:val="00081B72"/>
    <w:rsid w:val="00082625"/>
    <w:rsid w:val="000851B2"/>
    <w:rsid w:val="00085646"/>
    <w:rsid w:val="00091652"/>
    <w:rsid w:val="000A2297"/>
    <w:rsid w:val="000D0124"/>
    <w:rsid w:val="000D31A9"/>
    <w:rsid w:val="000D51E0"/>
    <w:rsid w:val="000F1064"/>
    <w:rsid w:val="000F19FC"/>
    <w:rsid w:val="00116683"/>
    <w:rsid w:val="0014427C"/>
    <w:rsid w:val="001467EC"/>
    <w:rsid w:val="00154AAC"/>
    <w:rsid w:val="001756B4"/>
    <w:rsid w:val="00184034"/>
    <w:rsid w:val="001A69B1"/>
    <w:rsid w:val="001B055C"/>
    <w:rsid w:val="001C0E56"/>
    <w:rsid w:val="001E500B"/>
    <w:rsid w:val="001F31CE"/>
    <w:rsid w:val="001F64AD"/>
    <w:rsid w:val="001F720C"/>
    <w:rsid w:val="0020613E"/>
    <w:rsid w:val="00224128"/>
    <w:rsid w:val="002269D4"/>
    <w:rsid w:val="00234A27"/>
    <w:rsid w:val="00246233"/>
    <w:rsid w:val="00247964"/>
    <w:rsid w:val="00274234"/>
    <w:rsid w:val="002852DA"/>
    <w:rsid w:val="00285E01"/>
    <w:rsid w:val="002951E1"/>
    <w:rsid w:val="002A05CA"/>
    <w:rsid w:val="002A377A"/>
    <w:rsid w:val="002A3AD8"/>
    <w:rsid w:val="002A3F4A"/>
    <w:rsid w:val="002B41DE"/>
    <w:rsid w:val="002C2589"/>
    <w:rsid w:val="002D3B43"/>
    <w:rsid w:val="002E39CB"/>
    <w:rsid w:val="002E66A7"/>
    <w:rsid w:val="002F4571"/>
    <w:rsid w:val="003002D2"/>
    <w:rsid w:val="00311CCD"/>
    <w:rsid w:val="00312AE1"/>
    <w:rsid w:val="00327376"/>
    <w:rsid w:val="00341ED6"/>
    <w:rsid w:val="00344B30"/>
    <w:rsid w:val="0034696A"/>
    <w:rsid w:val="003535F8"/>
    <w:rsid w:val="003550AC"/>
    <w:rsid w:val="003563FD"/>
    <w:rsid w:val="00396429"/>
    <w:rsid w:val="00396DEE"/>
    <w:rsid w:val="003A2FD2"/>
    <w:rsid w:val="003A51C4"/>
    <w:rsid w:val="003B022D"/>
    <w:rsid w:val="003D670D"/>
    <w:rsid w:val="003D7E60"/>
    <w:rsid w:val="003E36A4"/>
    <w:rsid w:val="003F2C20"/>
    <w:rsid w:val="0040150C"/>
    <w:rsid w:val="0040274E"/>
    <w:rsid w:val="00407FBB"/>
    <w:rsid w:val="004110F2"/>
    <w:rsid w:val="00423C6D"/>
    <w:rsid w:val="004266DA"/>
    <w:rsid w:val="00427431"/>
    <w:rsid w:val="004313ED"/>
    <w:rsid w:val="00435474"/>
    <w:rsid w:val="00440672"/>
    <w:rsid w:val="00447FA2"/>
    <w:rsid w:val="0045397C"/>
    <w:rsid w:val="00460AB1"/>
    <w:rsid w:val="004616BE"/>
    <w:rsid w:val="00465099"/>
    <w:rsid w:val="00473F8D"/>
    <w:rsid w:val="00493900"/>
    <w:rsid w:val="004B60F9"/>
    <w:rsid w:val="004B6EBB"/>
    <w:rsid w:val="004C042C"/>
    <w:rsid w:val="004C5A40"/>
    <w:rsid w:val="004C7B41"/>
    <w:rsid w:val="004E616D"/>
    <w:rsid w:val="004F3F79"/>
    <w:rsid w:val="004F69A5"/>
    <w:rsid w:val="0051278D"/>
    <w:rsid w:val="00524409"/>
    <w:rsid w:val="00530752"/>
    <w:rsid w:val="00541A85"/>
    <w:rsid w:val="0054217F"/>
    <w:rsid w:val="00542988"/>
    <w:rsid w:val="005433AB"/>
    <w:rsid w:val="00545461"/>
    <w:rsid w:val="00546EDC"/>
    <w:rsid w:val="00555137"/>
    <w:rsid w:val="00567379"/>
    <w:rsid w:val="00574BA8"/>
    <w:rsid w:val="00586ACD"/>
    <w:rsid w:val="005A77F1"/>
    <w:rsid w:val="005B0EC8"/>
    <w:rsid w:val="005C779F"/>
    <w:rsid w:val="005E7397"/>
    <w:rsid w:val="005F25FC"/>
    <w:rsid w:val="0061633E"/>
    <w:rsid w:val="00616591"/>
    <w:rsid w:val="006208A0"/>
    <w:rsid w:val="006259B3"/>
    <w:rsid w:val="006432CA"/>
    <w:rsid w:val="006475C4"/>
    <w:rsid w:val="00647D65"/>
    <w:rsid w:val="006540DA"/>
    <w:rsid w:val="00654AFE"/>
    <w:rsid w:val="006718B2"/>
    <w:rsid w:val="00675CC3"/>
    <w:rsid w:val="006768C1"/>
    <w:rsid w:val="00694131"/>
    <w:rsid w:val="006A1B37"/>
    <w:rsid w:val="006A73E4"/>
    <w:rsid w:val="006A7A8F"/>
    <w:rsid w:val="006C72BC"/>
    <w:rsid w:val="006D2B58"/>
    <w:rsid w:val="006D58EC"/>
    <w:rsid w:val="006D6351"/>
    <w:rsid w:val="006E10CB"/>
    <w:rsid w:val="006E56E0"/>
    <w:rsid w:val="006F0A27"/>
    <w:rsid w:val="00701372"/>
    <w:rsid w:val="00705FF9"/>
    <w:rsid w:val="00712758"/>
    <w:rsid w:val="0072221F"/>
    <w:rsid w:val="00735312"/>
    <w:rsid w:val="00752306"/>
    <w:rsid w:val="00754D1B"/>
    <w:rsid w:val="0076073D"/>
    <w:rsid w:val="00761733"/>
    <w:rsid w:val="007720C1"/>
    <w:rsid w:val="0077332A"/>
    <w:rsid w:val="00775CD2"/>
    <w:rsid w:val="00776058"/>
    <w:rsid w:val="007770DD"/>
    <w:rsid w:val="00780493"/>
    <w:rsid w:val="00784788"/>
    <w:rsid w:val="00790537"/>
    <w:rsid w:val="007959C2"/>
    <w:rsid w:val="007A07A7"/>
    <w:rsid w:val="007A2FE6"/>
    <w:rsid w:val="007D116B"/>
    <w:rsid w:val="007D3802"/>
    <w:rsid w:val="007D75C3"/>
    <w:rsid w:val="007E4B02"/>
    <w:rsid w:val="007E5501"/>
    <w:rsid w:val="007E790B"/>
    <w:rsid w:val="007F7916"/>
    <w:rsid w:val="0080783C"/>
    <w:rsid w:val="00807E4E"/>
    <w:rsid w:val="00811B26"/>
    <w:rsid w:val="008156D0"/>
    <w:rsid w:val="00817BC0"/>
    <w:rsid w:val="00831D9A"/>
    <w:rsid w:val="008368D9"/>
    <w:rsid w:val="00845B0D"/>
    <w:rsid w:val="00856FAF"/>
    <w:rsid w:val="00863463"/>
    <w:rsid w:val="00881355"/>
    <w:rsid w:val="00890EE5"/>
    <w:rsid w:val="008911D9"/>
    <w:rsid w:val="00895E46"/>
    <w:rsid w:val="008967CE"/>
    <w:rsid w:val="008A1149"/>
    <w:rsid w:val="008D5B31"/>
    <w:rsid w:val="008D5CB7"/>
    <w:rsid w:val="008E1482"/>
    <w:rsid w:val="008E1D7B"/>
    <w:rsid w:val="008E30FB"/>
    <w:rsid w:val="008F0B95"/>
    <w:rsid w:val="008F7CB4"/>
    <w:rsid w:val="00906222"/>
    <w:rsid w:val="009070D7"/>
    <w:rsid w:val="00914C32"/>
    <w:rsid w:val="00925CA5"/>
    <w:rsid w:val="00940AA8"/>
    <w:rsid w:val="00942D36"/>
    <w:rsid w:val="00952109"/>
    <w:rsid w:val="00957081"/>
    <w:rsid w:val="00970147"/>
    <w:rsid w:val="009777FB"/>
    <w:rsid w:val="0098087D"/>
    <w:rsid w:val="009C7CD4"/>
    <w:rsid w:val="009D16B6"/>
    <w:rsid w:val="009D226B"/>
    <w:rsid w:val="009D7531"/>
    <w:rsid w:val="009E0EBD"/>
    <w:rsid w:val="009E54DF"/>
    <w:rsid w:val="009E60FA"/>
    <w:rsid w:val="00A028AE"/>
    <w:rsid w:val="00A33257"/>
    <w:rsid w:val="00A45F9D"/>
    <w:rsid w:val="00A566D5"/>
    <w:rsid w:val="00A603D0"/>
    <w:rsid w:val="00A645CB"/>
    <w:rsid w:val="00A67F48"/>
    <w:rsid w:val="00A81A6E"/>
    <w:rsid w:val="00A84C4D"/>
    <w:rsid w:val="00A914AD"/>
    <w:rsid w:val="00AA1A86"/>
    <w:rsid w:val="00AA2EF4"/>
    <w:rsid w:val="00AA7D21"/>
    <w:rsid w:val="00AD309C"/>
    <w:rsid w:val="00AD7CF5"/>
    <w:rsid w:val="00AE4605"/>
    <w:rsid w:val="00AF6A22"/>
    <w:rsid w:val="00B1375E"/>
    <w:rsid w:val="00B21298"/>
    <w:rsid w:val="00B2195F"/>
    <w:rsid w:val="00B26754"/>
    <w:rsid w:val="00B36A4F"/>
    <w:rsid w:val="00B655B7"/>
    <w:rsid w:val="00B7130A"/>
    <w:rsid w:val="00B80BC0"/>
    <w:rsid w:val="00B84AA7"/>
    <w:rsid w:val="00B9032A"/>
    <w:rsid w:val="00BA1C5D"/>
    <w:rsid w:val="00BA2A2B"/>
    <w:rsid w:val="00BB2EE9"/>
    <w:rsid w:val="00BB43FE"/>
    <w:rsid w:val="00BC23E8"/>
    <w:rsid w:val="00BC2B21"/>
    <w:rsid w:val="00BE3458"/>
    <w:rsid w:val="00BF6C3A"/>
    <w:rsid w:val="00BF7932"/>
    <w:rsid w:val="00C027DF"/>
    <w:rsid w:val="00C03A49"/>
    <w:rsid w:val="00C15F71"/>
    <w:rsid w:val="00C22B0E"/>
    <w:rsid w:val="00C536EE"/>
    <w:rsid w:val="00C55603"/>
    <w:rsid w:val="00C579A4"/>
    <w:rsid w:val="00C613FB"/>
    <w:rsid w:val="00C64C19"/>
    <w:rsid w:val="00C71DDA"/>
    <w:rsid w:val="00C763AC"/>
    <w:rsid w:val="00C94652"/>
    <w:rsid w:val="00C9625E"/>
    <w:rsid w:val="00CA1F46"/>
    <w:rsid w:val="00CA5DEE"/>
    <w:rsid w:val="00CC57D5"/>
    <w:rsid w:val="00CD4CF7"/>
    <w:rsid w:val="00CF6C8C"/>
    <w:rsid w:val="00D02170"/>
    <w:rsid w:val="00D02320"/>
    <w:rsid w:val="00D02FD2"/>
    <w:rsid w:val="00D032A1"/>
    <w:rsid w:val="00D15007"/>
    <w:rsid w:val="00D169E3"/>
    <w:rsid w:val="00D22DDA"/>
    <w:rsid w:val="00D31AD7"/>
    <w:rsid w:val="00D415E4"/>
    <w:rsid w:val="00D46AA8"/>
    <w:rsid w:val="00D5688F"/>
    <w:rsid w:val="00D56F13"/>
    <w:rsid w:val="00D62393"/>
    <w:rsid w:val="00D71EB5"/>
    <w:rsid w:val="00D7446B"/>
    <w:rsid w:val="00D75EE6"/>
    <w:rsid w:val="00D81569"/>
    <w:rsid w:val="00DA1A24"/>
    <w:rsid w:val="00DA2629"/>
    <w:rsid w:val="00DA33D5"/>
    <w:rsid w:val="00DA787D"/>
    <w:rsid w:val="00DB74EE"/>
    <w:rsid w:val="00DD1A8A"/>
    <w:rsid w:val="00DD4BCB"/>
    <w:rsid w:val="00DF2CF7"/>
    <w:rsid w:val="00E02E27"/>
    <w:rsid w:val="00E02EFD"/>
    <w:rsid w:val="00E15216"/>
    <w:rsid w:val="00E154BE"/>
    <w:rsid w:val="00E17E64"/>
    <w:rsid w:val="00E231A7"/>
    <w:rsid w:val="00E308CC"/>
    <w:rsid w:val="00E31848"/>
    <w:rsid w:val="00E322FB"/>
    <w:rsid w:val="00E32886"/>
    <w:rsid w:val="00E37F75"/>
    <w:rsid w:val="00E425DE"/>
    <w:rsid w:val="00E55E42"/>
    <w:rsid w:val="00E63694"/>
    <w:rsid w:val="00E67CC9"/>
    <w:rsid w:val="00E67E8E"/>
    <w:rsid w:val="00E72C5D"/>
    <w:rsid w:val="00E81CD8"/>
    <w:rsid w:val="00E82ECF"/>
    <w:rsid w:val="00E83862"/>
    <w:rsid w:val="00E8449F"/>
    <w:rsid w:val="00E93FBB"/>
    <w:rsid w:val="00EA2F2F"/>
    <w:rsid w:val="00EB00E5"/>
    <w:rsid w:val="00EB4F05"/>
    <w:rsid w:val="00EB5FF9"/>
    <w:rsid w:val="00EC0008"/>
    <w:rsid w:val="00EC40FB"/>
    <w:rsid w:val="00EC4C50"/>
    <w:rsid w:val="00EE276B"/>
    <w:rsid w:val="00EE47F7"/>
    <w:rsid w:val="00EF3F0B"/>
    <w:rsid w:val="00F014CC"/>
    <w:rsid w:val="00F146D4"/>
    <w:rsid w:val="00F17454"/>
    <w:rsid w:val="00F174AF"/>
    <w:rsid w:val="00F21AAB"/>
    <w:rsid w:val="00F22FF2"/>
    <w:rsid w:val="00F27856"/>
    <w:rsid w:val="00F348E9"/>
    <w:rsid w:val="00F36BA7"/>
    <w:rsid w:val="00F47C77"/>
    <w:rsid w:val="00F53038"/>
    <w:rsid w:val="00F530CC"/>
    <w:rsid w:val="00F61750"/>
    <w:rsid w:val="00F63BB1"/>
    <w:rsid w:val="00F64770"/>
    <w:rsid w:val="00F71289"/>
    <w:rsid w:val="00F7210C"/>
    <w:rsid w:val="00F738A0"/>
    <w:rsid w:val="00F74729"/>
    <w:rsid w:val="00F771DD"/>
    <w:rsid w:val="00F8158C"/>
    <w:rsid w:val="00F913D4"/>
    <w:rsid w:val="00F973C7"/>
    <w:rsid w:val="00FA0028"/>
    <w:rsid w:val="00FA3D79"/>
    <w:rsid w:val="00FB2763"/>
    <w:rsid w:val="00FB7B0A"/>
    <w:rsid w:val="00FC0D61"/>
    <w:rsid w:val="00FD2CBB"/>
    <w:rsid w:val="00FE1D87"/>
    <w:rsid w:val="00FF6605"/>
    <w:rsid w:val="01227B80"/>
    <w:rsid w:val="01255120"/>
    <w:rsid w:val="01300309"/>
    <w:rsid w:val="016A347B"/>
    <w:rsid w:val="019B3634"/>
    <w:rsid w:val="01B110AA"/>
    <w:rsid w:val="01F36FCC"/>
    <w:rsid w:val="01FB40D3"/>
    <w:rsid w:val="022278B2"/>
    <w:rsid w:val="025A704C"/>
    <w:rsid w:val="027D0F8C"/>
    <w:rsid w:val="027F4D04"/>
    <w:rsid w:val="02837B03"/>
    <w:rsid w:val="02883D22"/>
    <w:rsid w:val="02EE1086"/>
    <w:rsid w:val="02EF1C5B"/>
    <w:rsid w:val="02FB6CDA"/>
    <w:rsid w:val="03057289"/>
    <w:rsid w:val="03555A65"/>
    <w:rsid w:val="03F079D9"/>
    <w:rsid w:val="03FB660C"/>
    <w:rsid w:val="041B280B"/>
    <w:rsid w:val="044262F7"/>
    <w:rsid w:val="044E1D39"/>
    <w:rsid w:val="04610B65"/>
    <w:rsid w:val="04697A1A"/>
    <w:rsid w:val="04B8274F"/>
    <w:rsid w:val="04C335CE"/>
    <w:rsid w:val="052676B9"/>
    <w:rsid w:val="05300538"/>
    <w:rsid w:val="053E4A03"/>
    <w:rsid w:val="05432019"/>
    <w:rsid w:val="054933A7"/>
    <w:rsid w:val="05753047"/>
    <w:rsid w:val="059C656F"/>
    <w:rsid w:val="05A76A4C"/>
    <w:rsid w:val="05DF2F6E"/>
    <w:rsid w:val="05EC3CFE"/>
    <w:rsid w:val="06514813"/>
    <w:rsid w:val="066B5CCB"/>
    <w:rsid w:val="068E5516"/>
    <w:rsid w:val="06A66D03"/>
    <w:rsid w:val="06CB0518"/>
    <w:rsid w:val="06D43123"/>
    <w:rsid w:val="06D66EBD"/>
    <w:rsid w:val="070C4535"/>
    <w:rsid w:val="073E518E"/>
    <w:rsid w:val="077D2FDF"/>
    <w:rsid w:val="079B25E0"/>
    <w:rsid w:val="07BC2556"/>
    <w:rsid w:val="07C40E9D"/>
    <w:rsid w:val="07D77390"/>
    <w:rsid w:val="07E163D5"/>
    <w:rsid w:val="07F46FEF"/>
    <w:rsid w:val="08070A00"/>
    <w:rsid w:val="084B0776"/>
    <w:rsid w:val="08674E75"/>
    <w:rsid w:val="08AD3BAB"/>
    <w:rsid w:val="08B64722"/>
    <w:rsid w:val="08CA0902"/>
    <w:rsid w:val="08CF4683"/>
    <w:rsid w:val="08D262A8"/>
    <w:rsid w:val="093D2F14"/>
    <w:rsid w:val="094D16B8"/>
    <w:rsid w:val="0962481E"/>
    <w:rsid w:val="097D7E05"/>
    <w:rsid w:val="097E3AE5"/>
    <w:rsid w:val="0994055C"/>
    <w:rsid w:val="0995137D"/>
    <w:rsid w:val="09CF2342"/>
    <w:rsid w:val="09DE4A06"/>
    <w:rsid w:val="09E6794E"/>
    <w:rsid w:val="09FE4D70"/>
    <w:rsid w:val="0A595E3B"/>
    <w:rsid w:val="0A5B632D"/>
    <w:rsid w:val="0A79472F"/>
    <w:rsid w:val="0A825C26"/>
    <w:rsid w:val="0AA03A6A"/>
    <w:rsid w:val="0AC27AB4"/>
    <w:rsid w:val="0ACC0D02"/>
    <w:rsid w:val="0AF46C41"/>
    <w:rsid w:val="0B2428ED"/>
    <w:rsid w:val="0B381EF4"/>
    <w:rsid w:val="0B6161A3"/>
    <w:rsid w:val="0B776EC0"/>
    <w:rsid w:val="0BA31874"/>
    <w:rsid w:val="0BB05F2E"/>
    <w:rsid w:val="0C177D5B"/>
    <w:rsid w:val="0C236700"/>
    <w:rsid w:val="0C291044"/>
    <w:rsid w:val="0C2A7A8F"/>
    <w:rsid w:val="0C2C7CAB"/>
    <w:rsid w:val="0C3C259B"/>
    <w:rsid w:val="0C403DDB"/>
    <w:rsid w:val="0C41302A"/>
    <w:rsid w:val="0C4F1BEB"/>
    <w:rsid w:val="0C782EF0"/>
    <w:rsid w:val="0D1129FD"/>
    <w:rsid w:val="0D183D8B"/>
    <w:rsid w:val="0D1D5845"/>
    <w:rsid w:val="0D3F57BC"/>
    <w:rsid w:val="0D4C1C87"/>
    <w:rsid w:val="0D5D44B5"/>
    <w:rsid w:val="0D774F56"/>
    <w:rsid w:val="0D9A669A"/>
    <w:rsid w:val="0D9D0734"/>
    <w:rsid w:val="0DBA7538"/>
    <w:rsid w:val="0DC95E8B"/>
    <w:rsid w:val="0DE66142"/>
    <w:rsid w:val="0DE7680D"/>
    <w:rsid w:val="0DEB5944"/>
    <w:rsid w:val="0E010E09"/>
    <w:rsid w:val="0E39045D"/>
    <w:rsid w:val="0E62296F"/>
    <w:rsid w:val="0E71409B"/>
    <w:rsid w:val="0ED20405"/>
    <w:rsid w:val="0EDA2FEF"/>
    <w:rsid w:val="0EDD6C59"/>
    <w:rsid w:val="0F15222C"/>
    <w:rsid w:val="0F18046C"/>
    <w:rsid w:val="0F475A3E"/>
    <w:rsid w:val="0F5B4403"/>
    <w:rsid w:val="0F7D306C"/>
    <w:rsid w:val="0F882BE7"/>
    <w:rsid w:val="0F8B1A2C"/>
    <w:rsid w:val="0FAE09D7"/>
    <w:rsid w:val="0FB57FB7"/>
    <w:rsid w:val="0FC65D20"/>
    <w:rsid w:val="0FD04DF1"/>
    <w:rsid w:val="10484987"/>
    <w:rsid w:val="104A6951"/>
    <w:rsid w:val="10AF4A06"/>
    <w:rsid w:val="10B008E5"/>
    <w:rsid w:val="10C167E4"/>
    <w:rsid w:val="10C763EA"/>
    <w:rsid w:val="10EF1139"/>
    <w:rsid w:val="10FD1C16"/>
    <w:rsid w:val="11164A85"/>
    <w:rsid w:val="111D5E14"/>
    <w:rsid w:val="11271AB8"/>
    <w:rsid w:val="11984976"/>
    <w:rsid w:val="11A46535"/>
    <w:rsid w:val="11AC0F46"/>
    <w:rsid w:val="11CA48D8"/>
    <w:rsid w:val="11D706B9"/>
    <w:rsid w:val="12107727"/>
    <w:rsid w:val="12117DB8"/>
    <w:rsid w:val="121C02BE"/>
    <w:rsid w:val="121C431D"/>
    <w:rsid w:val="12687563"/>
    <w:rsid w:val="12754004"/>
    <w:rsid w:val="128B2877"/>
    <w:rsid w:val="12975631"/>
    <w:rsid w:val="1299771C"/>
    <w:rsid w:val="12C16C73"/>
    <w:rsid w:val="12D06EB6"/>
    <w:rsid w:val="1347361C"/>
    <w:rsid w:val="136C6BDF"/>
    <w:rsid w:val="13710699"/>
    <w:rsid w:val="137B5074"/>
    <w:rsid w:val="13A445CA"/>
    <w:rsid w:val="13F3192F"/>
    <w:rsid w:val="140F5871"/>
    <w:rsid w:val="144A5C2E"/>
    <w:rsid w:val="144B713C"/>
    <w:rsid w:val="1466786F"/>
    <w:rsid w:val="14724AB6"/>
    <w:rsid w:val="14810A3E"/>
    <w:rsid w:val="149F41D0"/>
    <w:rsid w:val="14C55CE2"/>
    <w:rsid w:val="14CA0061"/>
    <w:rsid w:val="15211C4B"/>
    <w:rsid w:val="15324B8E"/>
    <w:rsid w:val="157D650A"/>
    <w:rsid w:val="15866F2A"/>
    <w:rsid w:val="15A9411A"/>
    <w:rsid w:val="15C70008"/>
    <w:rsid w:val="15C947BC"/>
    <w:rsid w:val="15FF4ABD"/>
    <w:rsid w:val="160A4F1B"/>
    <w:rsid w:val="16341CFD"/>
    <w:rsid w:val="16393D39"/>
    <w:rsid w:val="16640041"/>
    <w:rsid w:val="167744DB"/>
    <w:rsid w:val="1683496B"/>
    <w:rsid w:val="16886814"/>
    <w:rsid w:val="16C84A74"/>
    <w:rsid w:val="16D27BE2"/>
    <w:rsid w:val="16E01DBD"/>
    <w:rsid w:val="171B0984"/>
    <w:rsid w:val="17261D73"/>
    <w:rsid w:val="174F7450"/>
    <w:rsid w:val="175F3493"/>
    <w:rsid w:val="17AF1790"/>
    <w:rsid w:val="17F35B20"/>
    <w:rsid w:val="18093F3B"/>
    <w:rsid w:val="181B72DB"/>
    <w:rsid w:val="184019AC"/>
    <w:rsid w:val="186662F2"/>
    <w:rsid w:val="18C106AC"/>
    <w:rsid w:val="18CE20EA"/>
    <w:rsid w:val="18CE7660"/>
    <w:rsid w:val="18DE232D"/>
    <w:rsid w:val="18F712F7"/>
    <w:rsid w:val="190E0811"/>
    <w:rsid w:val="191775ED"/>
    <w:rsid w:val="1926420A"/>
    <w:rsid w:val="19287A4C"/>
    <w:rsid w:val="192A5572"/>
    <w:rsid w:val="192E1D72"/>
    <w:rsid w:val="19422C35"/>
    <w:rsid w:val="19486114"/>
    <w:rsid w:val="196A2073"/>
    <w:rsid w:val="197A603E"/>
    <w:rsid w:val="19940C3D"/>
    <w:rsid w:val="19AC7DD1"/>
    <w:rsid w:val="19B25567"/>
    <w:rsid w:val="19FD67E3"/>
    <w:rsid w:val="1A02204B"/>
    <w:rsid w:val="1A07140F"/>
    <w:rsid w:val="1A154DA1"/>
    <w:rsid w:val="1A2056A9"/>
    <w:rsid w:val="1A4C59BC"/>
    <w:rsid w:val="1A9A04D5"/>
    <w:rsid w:val="1AAB623F"/>
    <w:rsid w:val="1B100797"/>
    <w:rsid w:val="1B157B5C"/>
    <w:rsid w:val="1B2349D2"/>
    <w:rsid w:val="1B2F599A"/>
    <w:rsid w:val="1B326960"/>
    <w:rsid w:val="1B373F76"/>
    <w:rsid w:val="1B7C2C5F"/>
    <w:rsid w:val="1BA55384"/>
    <w:rsid w:val="1C0E117B"/>
    <w:rsid w:val="1C784846"/>
    <w:rsid w:val="1C7C14FF"/>
    <w:rsid w:val="1C821221"/>
    <w:rsid w:val="1C881132"/>
    <w:rsid w:val="1CAB4C1C"/>
    <w:rsid w:val="1CB11952"/>
    <w:rsid w:val="1CCC67C0"/>
    <w:rsid w:val="1D2F75FB"/>
    <w:rsid w:val="1D506B65"/>
    <w:rsid w:val="1D550375"/>
    <w:rsid w:val="1D570900"/>
    <w:rsid w:val="1D61352C"/>
    <w:rsid w:val="1D641885"/>
    <w:rsid w:val="1D6A233A"/>
    <w:rsid w:val="1D8A2A83"/>
    <w:rsid w:val="1D8D4321"/>
    <w:rsid w:val="1D976F4E"/>
    <w:rsid w:val="1DCA1E79"/>
    <w:rsid w:val="1DCB2DDC"/>
    <w:rsid w:val="1DE33CD0"/>
    <w:rsid w:val="1DFE701D"/>
    <w:rsid w:val="1E14059F"/>
    <w:rsid w:val="1E1B192D"/>
    <w:rsid w:val="1E205195"/>
    <w:rsid w:val="1E313FB3"/>
    <w:rsid w:val="1E5B7F7C"/>
    <w:rsid w:val="1E6F6EC6"/>
    <w:rsid w:val="1E803E86"/>
    <w:rsid w:val="1E8066E5"/>
    <w:rsid w:val="1E94348E"/>
    <w:rsid w:val="1EDE6ADB"/>
    <w:rsid w:val="1EF64B18"/>
    <w:rsid w:val="1F1162C7"/>
    <w:rsid w:val="1F157FEC"/>
    <w:rsid w:val="1F244811"/>
    <w:rsid w:val="1F3543D1"/>
    <w:rsid w:val="1F386FFD"/>
    <w:rsid w:val="1F552C1D"/>
    <w:rsid w:val="1F58358F"/>
    <w:rsid w:val="1F852AAF"/>
    <w:rsid w:val="2000702C"/>
    <w:rsid w:val="20317AB3"/>
    <w:rsid w:val="20362A4E"/>
    <w:rsid w:val="206A094A"/>
    <w:rsid w:val="20BF0710"/>
    <w:rsid w:val="20CE2C87"/>
    <w:rsid w:val="20DD55C0"/>
    <w:rsid w:val="21084116"/>
    <w:rsid w:val="2149055F"/>
    <w:rsid w:val="214C004F"/>
    <w:rsid w:val="215C0EAE"/>
    <w:rsid w:val="21670C2F"/>
    <w:rsid w:val="2178128D"/>
    <w:rsid w:val="21823A71"/>
    <w:rsid w:val="21F36C22"/>
    <w:rsid w:val="222114DC"/>
    <w:rsid w:val="224A2F3D"/>
    <w:rsid w:val="224C4B12"/>
    <w:rsid w:val="224D3AFB"/>
    <w:rsid w:val="227B299A"/>
    <w:rsid w:val="22921111"/>
    <w:rsid w:val="22934188"/>
    <w:rsid w:val="22A46395"/>
    <w:rsid w:val="22B32A8D"/>
    <w:rsid w:val="22B8599C"/>
    <w:rsid w:val="22C6199A"/>
    <w:rsid w:val="22C92FCC"/>
    <w:rsid w:val="22CC31F6"/>
    <w:rsid w:val="22D30A28"/>
    <w:rsid w:val="22F97D63"/>
    <w:rsid w:val="234C277D"/>
    <w:rsid w:val="238E2BA1"/>
    <w:rsid w:val="2393640A"/>
    <w:rsid w:val="23A71402"/>
    <w:rsid w:val="23AE66CF"/>
    <w:rsid w:val="23C10881"/>
    <w:rsid w:val="23FA0237"/>
    <w:rsid w:val="24084702"/>
    <w:rsid w:val="24305BD0"/>
    <w:rsid w:val="246456B0"/>
    <w:rsid w:val="2466617A"/>
    <w:rsid w:val="247022A7"/>
    <w:rsid w:val="249C309C"/>
    <w:rsid w:val="24A95308"/>
    <w:rsid w:val="24B672B1"/>
    <w:rsid w:val="24E862E1"/>
    <w:rsid w:val="252A7D7C"/>
    <w:rsid w:val="253C1F85"/>
    <w:rsid w:val="254479BB"/>
    <w:rsid w:val="2556149D"/>
    <w:rsid w:val="25764776"/>
    <w:rsid w:val="257A620F"/>
    <w:rsid w:val="25905E2F"/>
    <w:rsid w:val="25D564AB"/>
    <w:rsid w:val="25E20F82"/>
    <w:rsid w:val="25E47AF0"/>
    <w:rsid w:val="25E71733"/>
    <w:rsid w:val="26040EF9"/>
    <w:rsid w:val="262449BF"/>
    <w:rsid w:val="26307F40"/>
    <w:rsid w:val="2634595C"/>
    <w:rsid w:val="26346C43"/>
    <w:rsid w:val="2669103C"/>
    <w:rsid w:val="26763BCF"/>
    <w:rsid w:val="269D2467"/>
    <w:rsid w:val="269F0C21"/>
    <w:rsid w:val="26CB02AF"/>
    <w:rsid w:val="27007912"/>
    <w:rsid w:val="270A69E3"/>
    <w:rsid w:val="27165388"/>
    <w:rsid w:val="271F3D3B"/>
    <w:rsid w:val="272730F1"/>
    <w:rsid w:val="275E5EB1"/>
    <w:rsid w:val="27DD5EA5"/>
    <w:rsid w:val="2828082C"/>
    <w:rsid w:val="28727A72"/>
    <w:rsid w:val="28901037"/>
    <w:rsid w:val="289651BD"/>
    <w:rsid w:val="28AA5A71"/>
    <w:rsid w:val="28B577B6"/>
    <w:rsid w:val="28D81409"/>
    <w:rsid w:val="28E051EA"/>
    <w:rsid w:val="28F107FE"/>
    <w:rsid w:val="2907142C"/>
    <w:rsid w:val="295959FF"/>
    <w:rsid w:val="297F5EFD"/>
    <w:rsid w:val="29802F8C"/>
    <w:rsid w:val="29A50C45"/>
    <w:rsid w:val="29A94BD5"/>
    <w:rsid w:val="29BD1AEA"/>
    <w:rsid w:val="2A043BBD"/>
    <w:rsid w:val="2A047719"/>
    <w:rsid w:val="2A0E0598"/>
    <w:rsid w:val="2A44045E"/>
    <w:rsid w:val="2A486993"/>
    <w:rsid w:val="2A5F4D16"/>
    <w:rsid w:val="2A9071FF"/>
    <w:rsid w:val="2A9133E6"/>
    <w:rsid w:val="2AAB5086"/>
    <w:rsid w:val="2AC80521"/>
    <w:rsid w:val="2AC8468D"/>
    <w:rsid w:val="2AD215C5"/>
    <w:rsid w:val="2AD43590"/>
    <w:rsid w:val="2AEE7399"/>
    <w:rsid w:val="2AF21C68"/>
    <w:rsid w:val="2AF721FD"/>
    <w:rsid w:val="2B00796F"/>
    <w:rsid w:val="2B031B1F"/>
    <w:rsid w:val="2B03342D"/>
    <w:rsid w:val="2B23070A"/>
    <w:rsid w:val="2B585F6F"/>
    <w:rsid w:val="2B591CE7"/>
    <w:rsid w:val="2B772B27"/>
    <w:rsid w:val="2B844FB6"/>
    <w:rsid w:val="2B8723B0"/>
    <w:rsid w:val="2B8C5BD2"/>
    <w:rsid w:val="2BB72C49"/>
    <w:rsid w:val="2BC2163A"/>
    <w:rsid w:val="2BC8338B"/>
    <w:rsid w:val="2BE041B6"/>
    <w:rsid w:val="2BEE68D3"/>
    <w:rsid w:val="2C22032B"/>
    <w:rsid w:val="2C5B55EB"/>
    <w:rsid w:val="2C66290D"/>
    <w:rsid w:val="2C773DF0"/>
    <w:rsid w:val="2C7C3EDF"/>
    <w:rsid w:val="2C86549C"/>
    <w:rsid w:val="2CA00F04"/>
    <w:rsid w:val="2CA174A1"/>
    <w:rsid w:val="2CA647B0"/>
    <w:rsid w:val="2CAB47C4"/>
    <w:rsid w:val="2CAD6FBD"/>
    <w:rsid w:val="2CEA52EC"/>
    <w:rsid w:val="2D0B2762"/>
    <w:rsid w:val="2D12214D"/>
    <w:rsid w:val="2D2D342B"/>
    <w:rsid w:val="2D4C1B03"/>
    <w:rsid w:val="2D68635B"/>
    <w:rsid w:val="2D7E3C87"/>
    <w:rsid w:val="2E0F48DF"/>
    <w:rsid w:val="2E2465DC"/>
    <w:rsid w:val="2E355A57"/>
    <w:rsid w:val="2E3F3416"/>
    <w:rsid w:val="2E6C3ADF"/>
    <w:rsid w:val="2E7A61FC"/>
    <w:rsid w:val="2E7C01C6"/>
    <w:rsid w:val="2E890E4A"/>
    <w:rsid w:val="2E9C43C4"/>
    <w:rsid w:val="2ED246EE"/>
    <w:rsid w:val="2EDA313F"/>
    <w:rsid w:val="2F300FB0"/>
    <w:rsid w:val="2F3C7955"/>
    <w:rsid w:val="2F4F58DB"/>
    <w:rsid w:val="2F634EE2"/>
    <w:rsid w:val="2F8B61E7"/>
    <w:rsid w:val="2FDE4077"/>
    <w:rsid w:val="2FED0C50"/>
    <w:rsid w:val="2FF81ACE"/>
    <w:rsid w:val="30032221"/>
    <w:rsid w:val="300466C5"/>
    <w:rsid w:val="300E150D"/>
    <w:rsid w:val="300E30A0"/>
    <w:rsid w:val="30110DE2"/>
    <w:rsid w:val="30180806"/>
    <w:rsid w:val="3034062C"/>
    <w:rsid w:val="306F163B"/>
    <w:rsid w:val="30E107B4"/>
    <w:rsid w:val="31175F84"/>
    <w:rsid w:val="31556AAC"/>
    <w:rsid w:val="315A2315"/>
    <w:rsid w:val="31790FDA"/>
    <w:rsid w:val="31807FCD"/>
    <w:rsid w:val="319D3AE7"/>
    <w:rsid w:val="31AF440F"/>
    <w:rsid w:val="31B400AF"/>
    <w:rsid w:val="31B8508B"/>
    <w:rsid w:val="31BA4166"/>
    <w:rsid w:val="31CD0D39"/>
    <w:rsid w:val="31D67BED"/>
    <w:rsid w:val="31E130B4"/>
    <w:rsid w:val="31EB7BE5"/>
    <w:rsid w:val="31FE0EF2"/>
    <w:rsid w:val="3228125A"/>
    <w:rsid w:val="32317519"/>
    <w:rsid w:val="32425283"/>
    <w:rsid w:val="32666042"/>
    <w:rsid w:val="326E42CA"/>
    <w:rsid w:val="32773D06"/>
    <w:rsid w:val="327D275F"/>
    <w:rsid w:val="32B10AC5"/>
    <w:rsid w:val="32E14A9C"/>
    <w:rsid w:val="32E225C2"/>
    <w:rsid w:val="330C5891"/>
    <w:rsid w:val="3321133C"/>
    <w:rsid w:val="33311883"/>
    <w:rsid w:val="334119DE"/>
    <w:rsid w:val="33712D71"/>
    <w:rsid w:val="33801D40"/>
    <w:rsid w:val="338F3C47"/>
    <w:rsid w:val="33A71511"/>
    <w:rsid w:val="33F829BD"/>
    <w:rsid w:val="34474DD2"/>
    <w:rsid w:val="34480949"/>
    <w:rsid w:val="344A041F"/>
    <w:rsid w:val="34884182"/>
    <w:rsid w:val="34930017"/>
    <w:rsid w:val="34E24A8D"/>
    <w:rsid w:val="35026026"/>
    <w:rsid w:val="350667E1"/>
    <w:rsid w:val="35241A74"/>
    <w:rsid w:val="35335357"/>
    <w:rsid w:val="353C06AF"/>
    <w:rsid w:val="355F7EFA"/>
    <w:rsid w:val="35753BC1"/>
    <w:rsid w:val="35971C6B"/>
    <w:rsid w:val="35B20971"/>
    <w:rsid w:val="35E1035F"/>
    <w:rsid w:val="35E14DB3"/>
    <w:rsid w:val="35F7332A"/>
    <w:rsid w:val="35F965A0"/>
    <w:rsid w:val="360F78D5"/>
    <w:rsid w:val="361E7DB5"/>
    <w:rsid w:val="362A1B67"/>
    <w:rsid w:val="364C4922"/>
    <w:rsid w:val="36687282"/>
    <w:rsid w:val="36B6623F"/>
    <w:rsid w:val="36BD312A"/>
    <w:rsid w:val="36C175C6"/>
    <w:rsid w:val="371600E9"/>
    <w:rsid w:val="372B50A7"/>
    <w:rsid w:val="3736112E"/>
    <w:rsid w:val="37A10C9D"/>
    <w:rsid w:val="37C973F5"/>
    <w:rsid w:val="37F039D3"/>
    <w:rsid w:val="380B55F3"/>
    <w:rsid w:val="38251764"/>
    <w:rsid w:val="382A45EF"/>
    <w:rsid w:val="388F4F9A"/>
    <w:rsid w:val="38991974"/>
    <w:rsid w:val="38A65E3F"/>
    <w:rsid w:val="38BE22E2"/>
    <w:rsid w:val="38D15CEB"/>
    <w:rsid w:val="3914724D"/>
    <w:rsid w:val="39251DC5"/>
    <w:rsid w:val="39424D13"/>
    <w:rsid w:val="395B4E7C"/>
    <w:rsid w:val="397F6DBC"/>
    <w:rsid w:val="39D4668B"/>
    <w:rsid w:val="39D52E79"/>
    <w:rsid w:val="3A485400"/>
    <w:rsid w:val="3A4A561C"/>
    <w:rsid w:val="3A5913BB"/>
    <w:rsid w:val="3A601248"/>
    <w:rsid w:val="3A762824"/>
    <w:rsid w:val="3A95616C"/>
    <w:rsid w:val="3AF31810"/>
    <w:rsid w:val="3AF923D7"/>
    <w:rsid w:val="3AFD55BB"/>
    <w:rsid w:val="3B023801"/>
    <w:rsid w:val="3B084C2D"/>
    <w:rsid w:val="3B20012B"/>
    <w:rsid w:val="3B207931"/>
    <w:rsid w:val="3B4F1D9F"/>
    <w:rsid w:val="3B6348DA"/>
    <w:rsid w:val="3BBA7C64"/>
    <w:rsid w:val="3BC13445"/>
    <w:rsid w:val="3BD72EE0"/>
    <w:rsid w:val="3BDC6748"/>
    <w:rsid w:val="3C3F2833"/>
    <w:rsid w:val="3C7076A7"/>
    <w:rsid w:val="3C942B7F"/>
    <w:rsid w:val="3CD76F0F"/>
    <w:rsid w:val="3D000214"/>
    <w:rsid w:val="3D485717"/>
    <w:rsid w:val="3D624A2B"/>
    <w:rsid w:val="3D7117EB"/>
    <w:rsid w:val="3DDA2813"/>
    <w:rsid w:val="3DF00DF6"/>
    <w:rsid w:val="3E032ABD"/>
    <w:rsid w:val="3E1A6821"/>
    <w:rsid w:val="3E2B7513"/>
    <w:rsid w:val="3E3D2DA2"/>
    <w:rsid w:val="3E5F0F6A"/>
    <w:rsid w:val="3E642A25"/>
    <w:rsid w:val="3E6A0E6E"/>
    <w:rsid w:val="3EEB275F"/>
    <w:rsid w:val="3EFB4E8C"/>
    <w:rsid w:val="3EFC2A5E"/>
    <w:rsid w:val="3F125FDD"/>
    <w:rsid w:val="3F3C78B5"/>
    <w:rsid w:val="3F582DB4"/>
    <w:rsid w:val="3F5C79A7"/>
    <w:rsid w:val="3F7D5B4C"/>
    <w:rsid w:val="3FC574F3"/>
    <w:rsid w:val="3FFE510E"/>
    <w:rsid w:val="4010515C"/>
    <w:rsid w:val="401907F3"/>
    <w:rsid w:val="401E25EE"/>
    <w:rsid w:val="40416B7A"/>
    <w:rsid w:val="404544F3"/>
    <w:rsid w:val="40503261"/>
    <w:rsid w:val="40623EB2"/>
    <w:rsid w:val="408D1DBF"/>
    <w:rsid w:val="4093153B"/>
    <w:rsid w:val="40970E8F"/>
    <w:rsid w:val="40FF5994"/>
    <w:rsid w:val="410B7187"/>
    <w:rsid w:val="414A5F02"/>
    <w:rsid w:val="41606FE6"/>
    <w:rsid w:val="41931657"/>
    <w:rsid w:val="4197500C"/>
    <w:rsid w:val="41DD3D70"/>
    <w:rsid w:val="41EF4A6B"/>
    <w:rsid w:val="420460B1"/>
    <w:rsid w:val="421B4715"/>
    <w:rsid w:val="42201E72"/>
    <w:rsid w:val="42332E3A"/>
    <w:rsid w:val="42925DB2"/>
    <w:rsid w:val="42985594"/>
    <w:rsid w:val="42F02AD9"/>
    <w:rsid w:val="42FA5706"/>
    <w:rsid w:val="436C6603"/>
    <w:rsid w:val="43B4601F"/>
    <w:rsid w:val="43C755E8"/>
    <w:rsid w:val="43E97E7C"/>
    <w:rsid w:val="44242A3A"/>
    <w:rsid w:val="443133A9"/>
    <w:rsid w:val="44406DAA"/>
    <w:rsid w:val="44842193"/>
    <w:rsid w:val="44DB21F3"/>
    <w:rsid w:val="450F36EA"/>
    <w:rsid w:val="45123BD8"/>
    <w:rsid w:val="45207905"/>
    <w:rsid w:val="452F5D1D"/>
    <w:rsid w:val="453E5BDD"/>
    <w:rsid w:val="453F2418"/>
    <w:rsid w:val="4565330A"/>
    <w:rsid w:val="4581664C"/>
    <w:rsid w:val="45837C34"/>
    <w:rsid w:val="458C7E36"/>
    <w:rsid w:val="459D4C65"/>
    <w:rsid w:val="45B8042E"/>
    <w:rsid w:val="45C344D5"/>
    <w:rsid w:val="460D0F18"/>
    <w:rsid w:val="462F0DEF"/>
    <w:rsid w:val="46644A35"/>
    <w:rsid w:val="46671304"/>
    <w:rsid w:val="467852BF"/>
    <w:rsid w:val="469F0A9E"/>
    <w:rsid w:val="46A56BA1"/>
    <w:rsid w:val="47002980"/>
    <w:rsid w:val="47262F6D"/>
    <w:rsid w:val="476D1B91"/>
    <w:rsid w:val="478F28C0"/>
    <w:rsid w:val="47941C85"/>
    <w:rsid w:val="47B40579"/>
    <w:rsid w:val="47DB3D58"/>
    <w:rsid w:val="48020765"/>
    <w:rsid w:val="48914416"/>
    <w:rsid w:val="48E36096"/>
    <w:rsid w:val="490177EE"/>
    <w:rsid w:val="49170DBF"/>
    <w:rsid w:val="493642ED"/>
    <w:rsid w:val="49463453"/>
    <w:rsid w:val="494E2307"/>
    <w:rsid w:val="49564E45"/>
    <w:rsid w:val="495A6EFE"/>
    <w:rsid w:val="49746212"/>
    <w:rsid w:val="49940662"/>
    <w:rsid w:val="49BE123B"/>
    <w:rsid w:val="49F654D9"/>
    <w:rsid w:val="4A1B1292"/>
    <w:rsid w:val="4A5A33C8"/>
    <w:rsid w:val="4AAA5C63"/>
    <w:rsid w:val="4AB417BD"/>
    <w:rsid w:val="4ADD4937"/>
    <w:rsid w:val="4AEB6C72"/>
    <w:rsid w:val="4AEC627C"/>
    <w:rsid w:val="4B045373"/>
    <w:rsid w:val="4B1E616B"/>
    <w:rsid w:val="4B241572"/>
    <w:rsid w:val="4B38501D"/>
    <w:rsid w:val="4B3E2818"/>
    <w:rsid w:val="4B5D7EA8"/>
    <w:rsid w:val="4B7A193D"/>
    <w:rsid w:val="4B7C23F1"/>
    <w:rsid w:val="4B976928"/>
    <w:rsid w:val="4BAF2DEC"/>
    <w:rsid w:val="4BB050FB"/>
    <w:rsid w:val="4BB70638"/>
    <w:rsid w:val="4BF278C5"/>
    <w:rsid w:val="4C1D4C9C"/>
    <w:rsid w:val="4C2E4820"/>
    <w:rsid w:val="4C371778"/>
    <w:rsid w:val="4C72455F"/>
    <w:rsid w:val="4C7F267A"/>
    <w:rsid w:val="4C894D6F"/>
    <w:rsid w:val="4C96179F"/>
    <w:rsid w:val="4C9B3AB5"/>
    <w:rsid w:val="4C9E7102"/>
    <w:rsid w:val="4CD34FFD"/>
    <w:rsid w:val="4D0F5E59"/>
    <w:rsid w:val="4D297977"/>
    <w:rsid w:val="4D331F40"/>
    <w:rsid w:val="4D3C6078"/>
    <w:rsid w:val="4D60180E"/>
    <w:rsid w:val="4D6F79FF"/>
    <w:rsid w:val="4DA129EE"/>
    <w:rsid w:val="4DD0587C"/>
    <w:rsid w:val="4DD92AE7"/>
    <w:rsid w:val="4DE65204"/>
    <w:rsid w:val="4DF80E20"/>
    <w:rsid w:val="4E0256F8"/>
    <w:rsid w:val="4E044182"/>
    <w:rsid w:val="4E2D4BE1"/>
    <w:rsid w:val="4E6846F8"/>
    <w:rsid w:val="4EA215B1"/>
    <w:rsid w:val="4EAA6232"/>
    <w:rsid w:val="4EE11CA2"/>
    <w:rsid w:val="4F126A45"/>
    <w:rsid w:val="4F165675"/>
    <w:rsid w:val="4F22402A"/>
    <w:rsid w:val="4F5902F9"/>
    <w:rsid w:val="4F9C2DEA"/>
    <w:rsid w:val="4FB31116"/>
    <w:rsid w:val="4FC450D1"/>
    <w:rsid w:val="4FF20B5F"/>
    <w:rsid w:val="50081462"/>
    <w:rsid w:val="50396D0A"/>
    <w:rsid w:val="507A08A8"/>
    <w:rsid w:val="50A15412"/>
    <w:rsid w:val="50C07DA5"/>
    <w:rsid w:val="50C730CB"/>
    <w:rsid w:val="50C85B0B"/>
    <w:rsid w:val="51022355"/>
    <w:rsid w:val="5112495F"/>
    <w:rsid w:val="51361FFF"/>
    <w:rsid w:val="51630116"/>
    <w:rsid w:val="517B5C63"/>
    <w:rsid w:val="51DC2BA6"/>
    <w:rsid w:val="520378E4"/>
    <w:rsid w:val="520A5BE6"/>
    <w:rsid w:val="521C0134"/>
    <w:rsid w:val="5253273C"/>
    <w:rsid w:val="52844092"/>
    <w:rsid w:val="52C10884"/>
    <w:rsid w:val="52D15A59"/>
    <w:rsid w:val="52DB5C6B"/>
    <w:rsid w:val="52E31D12"/>
    <w:rsid w:val="531A3230"/>
    <w:rsid w:val="5334431C"/>
    <w:rsid w:val="53373E0C"/>
    <w:rsid w:val="536C1D08"/>
    <w:rsid w:val="5399227B"/>
    <w:rsid w:val="539F032F"/>
    <w:rsid w:val="53CB7B14"/>
    <w:rsid w:val="53CE29C2"/>
    <w:rsid w:val="53D8114B"/>
    <w:rsid w:val="53F9144F"/>
    <w:rsid w:val="53FF492A"/>
    <w:rsid w:val="540957A8"/>
    <w:rsid w:val="54113C3E"/>
    <w:rsid w:val="54183C3E"/>
    <w:rsid w:val="541B5F0D"/>
    <w:rsid w:val="543F741C"/>
    <w:rsid w:val="54452097"/>
    <w:rsid w:val="54762769"/>
    <w:rsid w:val="5486504B"/>
    <w:rsid w:val="54A56C35"/>
    <w:rsid w:val="54BB2F47"/>
    <w:rsid w:val="54C8174B"/>
    <w:rsid w:val="54F14BBA"/>
    <w:rsid w:val="55050666"/>
    <w:rsid w:val="55067F3A"/>
    <w:rsid w:val="550C7E08"/>
    <w:rsid w:val="550D3076"/>
    <w:rsid w:val="552A00CC"/>
    <w:rsid w:val="552D346E"/>
    <w:rsid w:val="554051FA"/>
    <w:rsid w:val="55474FEC"/>
    <w:rsid w:val="5553717F"/>
    <w:rsid w:val="5567079D"/>
    <w:rsid w:val="556B6251"/>
    <w:rsid w:val="55741FDF"/>
    <w:rsid w:val="5583536A"/>
    <w:rsid w:val="55915A56"/>
    <w:rsid w:val="55A01340"/>
    <w:rsid w:val="56083D5B"/>
    <w:rsid w:val="562E599A"/>
    <w:rsid w:val="56356D29"/>
    <w:rsid w:val="56B27079"/>
    <w:rsid w:val="56CB571F"/>
    <w:rsid w:val="56E60023"/>
    <w:rsid w:val="571F04E5"/>
    <w:rsid w:val="57560D05"/>
    <w:rsid w:val="57640FA0"/>
    <w:rsid w:val="57664CC0"/>
    <w:rsid w:val="57921934"/>
    <w:rsid w:val="57A66520"/>
    <w:rsid w:val="57BE68AA"/>
    <w:rsid w:val="587B7179"/>
    <w:rsid w:val="58A65CBC"/>
    <w:rsid w:val="58C24114"/>
    <w:rsid w:val="58C24893"/>
    <w:rsid w:val="591868E2"/>
    <w:rsid w:val="59376914"/>
    <w:rsid w:val="593C100D"/>
    <w:rsid w:val="593F3A1A"/>
    <w:rsid w:val="594B0611"/>
    <w:rsid w:val="5952374E"/>
    <w:rsid w:val="595E20F3"/>
    <w:rsid w:val="597E4543"/>
    <w:rsid w:val="59B9557B"/>
    <w:rsid w:val="5A074538"/>
    <w:rsid w:val="5A1B5605"/>
    <w:rsid w:val="5AA719E3"/>
    <w:rsid w:val="5AA955EF"/>
    <w:rsid w:val="5ADA7E9F"/>
    <w:rsid w:val="5B0B44FC"/>
    <w:rsid w:val="5B1C2265"/>
    <w:rsid w:val="5B2347E5"/>
    <w:rsid w:val="5B3E042E"/>
    <w:rsid w:val="5B5F72E5"/>
    <w:rsid w:val="5B6073A6"/>
    <w:rsid w:val="5B8147BE"/>
    <w:rsid w:val="5B871DD5"/>
    <w:rsid w:val="5B922527"/>
    <w:rsid w:val="5BD70E12"/>
    <w:rsid w:val="5BF8281F"/>
    <w:rsid w:val="5C204225"/>
    <w:rsid w:val="5C3655A9"/>
    <w:rsid w:val="5C3929A3"/>
    <w:rsid w:val="5C540CD3"/>
    <w:rsid w:val="5C6304E0"/>
    <w:rsid w:val="5C910A31"/>
    <w:rsid w:val="5C9D2F32"/>
    <w:rsid w:val="5CA73351"/>
    <w:rsid w:val="5CBF48D8"/>
    <w:rsid w:val="5CC26737"/>
    <w:rsid w:val="5D1A7C60"/>
    <w:rsid w:val="5D577585"/>
    <w:rsid w:val="5D600B2F"/>
    <w:rsid w:val="5D6F0D72"/>
    <w:rsid w:val="5D787D8E"/>
    <w:rsid w:val="5D7F0CC9"/>
    <w:rsid w:val="5D8D5264"/>
    <w:rsid w:val="5E03770C"/>
    <w:rsid w:val="5E7303EE"/>
    <w:rsid w:val="5E9228D4"/>
    <w:rsid w:val="5EB839EA"/>
    <w:rsid w:val="5ED115B9"/>
    <w:rsid w:val="5F0279C4"/>
    <w:rsid w:val="5F1A4D0E"/>
    <w:rsid w:val="5F313E05"/>
    <w:rsid w:val="5F367B26"/>
    <w:rsid w:val="5F4D6E91"/>
    <w:rsid w:val="5F65071D"/>
    <w:rsid w:val="5F6661A5"/>
    <w:rsid w:val="5FA64E91"/>
    <w:rsid w:val="5FB62BC7"/>
    <w:rsid w:val="5FBF1411"/>
    <w:rsid w:val="5FC66C44"/>
    <w:rsid w:val="5FD17AC2"/>
    <w:rsid w:val="5FF217E7"/>
    <w:rsid w:val="602C46E8"/>
    <w:rsid w:val="60367925"/>
    <w:rsid w:val="603E2C7E"/>
    <w:rsid w:val="604324C2"/>
    <w:rsid w:val="60681B1C"/>
    <w:rsid w:val="60934D78"/>
    <w:rsid w:val="60AC10A4"/>
    <w:rsid w:val="60D45F50"/>
    <w:rsid w:val="60FB3360"/>
    <w:rsid w:val="612861BC"/>
    <w:rsid w:val="614A3380"/>
    <w:rsid w:val="616C52DB"/>
    <w:rsid w:val="618943CD"/>
    <w:rsid w:val="618B3D19"/>
    <w:rsid w:val="619E1C26"/>
    <w:rsid w:val="61B82265"/>
    <w:rsid w:val="61CB6793"/>
    <w:rsid w:val="61E23389"/>
    <w:rsid w:val="61EF2482"/>
    <w:rsid w:val="61EF54AA"/>
    <w:rsid w:val="61FE4473"/>
    <w:rsid w:val="620677CB"/>
    <w:rsid w:val="621D6D4D"/>
    <w:rsid w:val="622639C9"/>
    <w:rsid w:val="62353789"/>
    <w:rsid w:val="62562501"/>
    <w:rsid w:val="62602AAB"/>
    <w:rsid w:val="628E2720"/>
    <w:rsid w:val="62CE02E9"/>
    <w:rsid w:val="62D058DC"/>
    <w:rsid w:val="62DB2A06"/>
    <w:rsid w:val="63133F4E"/>
    <w:rsid w:val="631D301E"/>
    <w:rsid w:val="633B5253"/>
    <w:rsid w:val="63576530"/>
    <w:rsid w:val="63650337"/>
    <w:rsid w:val="636D46E3"/>
    <w:rsid w:val="638C4074"/>
    <w:rsid w:val="63A728E8"/>
    <w:rsid w:val="640502D6"/>
    <w:rsid w:val="640B731B"/>
    <w:rsid w:val="642F3009"/>
    <w:rsid w:val="644840CB"/>
    <w:rsid w:val="64813139"/>
    <w:rsid w:val="649015CE"/>
    <w:rsid w:val="64C5571C"/>
    <w:rsid w:val="650325A3"/>
    <w:rsid w:val="65066F2E"/>
    <w:rsid w:val="656B2FE5"/>
    <w:rsid w:val="659C2113"/>
    <w:rsid w:val="65A215B9"/>
    <w:rsid w:val="65C81A4F"/>
    <w:rsid w:val="65D25D50"/>
    <w:rsid w:val="65DF45BB"/>
    <w:rsid w:val="65E26BFD"/>
    <w:rsid w:val="661A3845"/>
    <w:rsid w:val="662621EA"/>
    <w:rsid w:val="66575D7D"/>
    <w:rsid w:val="665A00E6"/>
    <w:rsid w:val="669F0930"/>
    <w:rsid w:val="66AB50FE"/>
    <w:rsid w:val="66CD0B78"/>
    <w:rsid w:val="66E427A9"/>
    <w:rsid w:val="6732696D"/>
    <w:rsid w:val="67633AB0"/>
    <w:rsid w:val="678C2521"/>
    <w:rsid w:val="679933E7"/>
    <w:rsid w:val="67AB0BF9"/>
    <w:rsid w:val="67F7371C"/>
    <w:rsid w:val="680D3662"/>
    <w:rsid w:val="683C7AA3"/>
    <w:rsid w:val="685E5CDD"/>
    <w:rsid w:val="6870599E"/>
    <w:rsid w:val="68706417"/>
    <w:rsid w:val="689005C2"/>
    <w:rsid w:val="68A11FFC"/>
    <w:rsid w:val="68AC6398"/>
    <w:rsid w:val="68B61D88"/>
    <w:rsid w:val="68B65AF9"/>
    <w:rsid w:val="68EF55BF"/>
    <w:rsid w:val="68F23CD8"/>
    <w:rsid w:val="68FC0779"/>
    <w:rsid w:val="68FD6917"/>
    <w:rsid w:val="690D143F"/>
    <w:rsid w:val="69246AA9"/>
    <w:rsid w:val="69261E17"/>
    <w:rsid w:val="6954706E"/>
    <w:rsid w:val="69643755"/>
    <w:rsid w:val="698E560F"/>
    <w:rsid w:val="69922853"/>
    <w:rsid w:val="69DC05B3"/>
    <w:rsid w:val="6A0E546F"/>
    <w:rsid w:val="6A244992"/>
    <w:rsid w:val="6A3D1BFD"/>
    <w:rsid w:val="6A5070DE"/>
    <w:rsid w:val="6A546AED"/>
    <w:rsid w:val="6A6B0B13"/>
    <w:rsid w:val="6AB97AD1"/>
    <w:rsid w:val="6ADC77CB"/>
    <w:rsid w:val="6AF162E4"/>
    <w:rsid w:val="6B700A62"/>
    <w:rsid w:val="6B80239C"/>
    <w:rsid w:val="6B87197D"/>
    <w:rsid w:val="6BB40298"/>
    <w:rsid w:val="6BCB1861"/>
    <w:rsid w:val="6BD46244"/>
    <w:rsid w:val="6C0C3C30"/>
    <w:rsid w:val="6C1A00FB"/>
    <w:rsid w:val="6C1E0459"/>
    <w:rsid w:val="6C4A6222"/>
    <w:rsid w:val="6C5B1825"/>
    <w:rsid w:val="6C98243C"/>
    <w:rsid w:val="6C9C4FB4"/>
    <w:rsid w:val="6CA200F0"/>
    <w:rsid w:val="6CC25503"/>
    <w:rsid w:val="6CCD33BF"/>
    <w:rsid w:val="6CFA617E"/>
    <w:rsid w:val="6D0C2A35"/>
    <w:rsid w:val="6D1A60D0"/>
    <w:rsid w:val="6D3A657B"/>
    <w:rsid w:val="6D3A78E6"/>
    <w:rsid w:val="6D3E250F"/>
    <w:rsid w:val="6D505D9E"/>
    <w:rsid w:val="6D9D5488"/>
    <w:rsid w:val="6DC36570"/>
    <w:rsid w:val="6DE54739"/>
    <w:rsid w:val="6DE85BCB"/>
    <w:rsid w:val="6DFA6436"/>
    <w:rsid w:val="6DFB21AE"/>
    <w:rsid w:val="6E2E74DD"/>
    <w:rsid w:val="6E4A0A40"/>
    <w:rsid w:val="6E6876E0"/>
    <w:rsid w:val="6E6B2E90"/>
    <w:rsid w:val="6E71421E"/>
    <w:rsid w:val="6E937F29"/>
    <w:rsid w:val="6EC407F2"/>
    <w:rsid w:val="6EC4200B"/>
    <w:rsid w:val="6F003164"/>
    <w:rsid w:val="6F046E40"/>
    <w:rsid w:val="6F165703"/>
    <w:rsid w:val="6F173018"/>
    <w:rsid w:val="6F255735"/>
    <w:rsid w:val="6F525B32"/>
    <w:rsid w:val="6F63625D"/>
    <w:rsid w:val="6F683873"/>
    <w:rsid w:val="6FCA12D5"/>
    <w:rsid w:val="6FFA10C7"/>
    <w:rsid w:val="6FFB6495"/>
    <w:rsid w:val="70117A67"/>
    <w:rsid w:val="704C075F"/>
    <w:rsid w:val="706933FF"/>
    <w:rsid w:val="70765B1C"/>
    <w:rsid w:val="708E1B55"/>
    <w:rsid w:val="70C73094"/>
    <w:rsid w:val="70D016D0"/>
    <w:rsid w:val="71031AA6"/>
    <w:rsid w:val="711B176D"/>
    <w:rsid w:val="71566079"/>
    <w:rsid w:val="717D3CD5"/>
    <w:rsid w:val="71926986"/>
    <w:rsid w:val="71931673"/>
    <w:rsid w:val="71931C0B"/>
    <w:rsid w:val="719E532A"/>
    <w:rsid w:val="71A6519E"/>
    <w:rsid w:val="71C17073"/>
    <w:rsid w:val="71C70D7B"/>
    <w:rsid w:val="71D36A8E"/>
    <w:rsid w:val="72013BF9"/>
    <w:rsid w:val="720A0BFF"/>
    <w:rsid w:val="723B701D"/>
    <w:rsid w:val="724F0D1A"/>
    <w:rsid w:val="72A52CC7"/>
    <w:rsid w:val="72AB7BB5"/>
    <w:rsid w:val="72E06587"/>
    <w:rsid w:val="73281C56"/>
    <w:rsid w:val="7350457E"/>
    <w:rsid w:val="73695125"/>
    <w:rsid w:val="736D1458"/>
    <w:rsid w:val="73791D2E"/>
    <w:rsid w:val="73813156"/>
    <w:rsid w:val="7384715C"/>
    <w:rsid w:val="73867F6D"/>
    <w:rsid w:val="73B01345"/>
    <w:rsid w:val="73FB6A64"/>
    <w:rsid w:val="74171171"/>
    <w:rsid w:val="74192A57"/>
    <w:rsid w:val="74515D0F"/>
    <w:rsid w:val="74983962"/>
    <w:rsid w:val="74A50BEC"/>
    <w:rsid w:val="74AA1CA9"/>
    <w:rsid w:val="74B65081"/>
    <w:rsid w:val="74D774D1"/>
    <w:rsid w:val="74E8308A"/>
    <w:rsid w:val="74ED4817"/>
    <w:rsid w:val="7544443B"/>
    <w:rsid w:val="75472470"/>
    <w:rsid w:val="755723C0"/>
    <w:rsid w:val="759622C6"/>
    <w:rsid w:val="75A44ED9"/>
    <w:rsid w:val="75E66D42"/>
    <w:rsid w:val="75E672A0"/>
    <w:rsid w:val="766C59F7"/>
    <w:rsid w:val="7675235D"/>
    <w:rsid w:val="76760624"/>
    <w:rsid w:val="767A40FC"/>
    <w:rsid w:val="769B54C8"/>
    <w:rsid w:val="76A72ED3"/>
    <w:rsid w:val="76CC293A"/>
    <w:rsid w:val="76D313AC"/>
    <w:rsid w:val="76DA66C0"/>
    <w:rsid w:val="76F105F2"/>
    <w:rsid w:val="77277A40"/>
    <w:rsid w:val="776F54FE"/>
    <w:rsid w:val="777F5BFE"/>
    <w:rsid w:val="77B37656"/>
    <w:rsid w:val="77B51620"/>
    <w:rsid w:val="77C23F98"/>
    <w:rsid w:val="78585CB2"/>
    <w:rsid w:val="786170B2"/>
    <w:rsid w:val="78637055"/>
    <w:rsid w:val="78886D34"/>
    <w:rsid w:val="789711D5"/>
    <w:rsid w:val="78B22DD4"/>
    <w:rsid w:val="78D45AD6"/>
    <w:rsid w:val="78F9378E"/>
    <w:rsid w:val="79053EE1"/>
    <w:rsid w:val="790A7749"/>
    <w:rsid w:val="79152036"/>
    <w:rsid w:val="796F0971"/>
    <w:rsid w:val="797B41A3"/>
    <w:rsid w:val="79975481"/>
    <w:rsid w:val="799A528E"/>
    <w:rsid w:val="79AC7312"/>
    <w:rsid w:val="79CA35C3"/>
    <w:rsid w:val="79CC239E"/>
    <w:rsid w:val="79F67C69"/>
    <w:rsid w:val="7A0B5527"/>
    <w:rsid w:val="7A3B22B0"/>
    <w:rsid w:val="7A3C1B84"/>
    <w:rsid w:val="7A405098"/>
    <w:rsid w:val="7A6449BB"/>
    <w:rsid w:val="7A9279F6"/>
    <w:rsid w:val="7AA5597C"/>
    <w:rsid w:val="7AC83418"/>
    <w:rsid w:val="7ACA3634"/>
    <w:rsid w:val="7ACB4CB6"/>
    <w:rsid w:val="7B187EFC"/>
    <w:rsid w:val="7B191EC6"/>
    <w:rsid w:val="7B2C7E4B"/>
    <w:rsid w:val="7B5B0730"/>
    <w:rsid w:val="7B7B66DC"/>
    <w:rsid w:val="7B876E2F"/>
    <w:rsid w:val="7BD06A28"/>
    <w:rsid w:val="7BDC34AC"/>
    <w:rsid w:val="7BFA03E0"/>
    <w:rsid w:val="7C350F81"/>
    <w:rsid w:val="7C58336E"/>
    <w:rsid w:val="7C6139B6"/>
    <w:rsid w:val="7CAB1B33"/>
    <w:rsid w:val="7CF67CAA"/>
    <w:rsid w:val="7D01709E"/>
    <w:rsid w:val="7D11248E"/>
    <w:rsid w:val="7D1B1F25"/>
    <w:rsid w:val="7D4944D0"/>
    <w:rsid w:val="7D6027A4"/>
    <w:rsid w:val="7D781125"/>
    <w:rsid w:val="7D7E706C"/>
    <w:rsid w:val="7D7F0706"/>
    <w:rsid w:val="7D8C5DEA"/>
    <w:rsid w:val="7D8E7AB2"/>
    <w:rsid w:val="7DB163E5"/>
    <w:rsid w:val="7DF86D46"/>
    <w:rsid w:val="7DFB1059"/>
    <w:rsid w:val="7DFC3B04"/>
    <w:rsid w:val="7E933D3D"/>
    <w:rsid w:val="7EA83C8C"/>
    <w:rsid w:val="7EC565EC"/>
    <w:rsid w:val="7EE36A72"/>
    <w:rsid w:val="7EEA1BAF"/>
    <w:rsid w:val="7EFD16EC"/>
    <w:rsid w:val="7F4D213E"/>
    <w:rsid w:val="7F62204B"/>
    <w:rsid w:val="7F647934"/>
    <w:rsid w:val="7F6C1FFF"/>
    <w:rsid w:val="7F767AB1"/>
    <w:rsid w:val="7FA75CF2"/>
    <w:rsid w:val="7FB1091F"/>
    <w:rsid w:val="7FB27487"/>
    <w:rsid w:val="7FC566AD"/>
    <w:rsid w:val="7FD60E2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nhideWhenUsed="0" w:uiPriority="9" w:semiHidden="0" w:name="heading 7"/>
    <w:lsdException w:qFormat="1" w:uiPriority="0" w:name="heading 8"/>
    <w:lsdException w:qFormat="1" w:uiPriority="0" w:name="heading 9"/>
    <w:lsdException w:uiPriority="0" w:name="index 1"/>
    <w:lsdException w:uiPriority="0" w:name="index 2"/>
    <w:lsdException w:uiPriority="0" w:name="index 3"/>
    <w:lsdException w:qFormat="1" w:uiPriority="99" w:semiHidden="0" w:name="index 4"/>
    <w:lsdException w:uiPriority="0" w:name="index 5"/>
    <w:lsdException w:uiPriority="0" w:name="index 6"/>
    <w:lsdException w:uiPriority="0" w:name="index 7"/>
    <w:lsdException w:uiPriority="0" w:name="index 8"/>
    <w:lsdException w:qFormat="1" w:uiPriority="99" w:semiHidden="0" w:name="index 9"/>
    <w:lsdException w:qFormat="1" w:unhideWhenUsed="0" w:uiPriority="39" w:semiHidden="0" w:name="toc 1"/>
    <w:lsdException w:qFormat="1" w:unhideWhenUsed="0" w:uiPriority="39" w:semiHidden="0" w:name="toc 2"/>
    <w:lsdException w:qFormat="1"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99" w:semiHidden="0" w:name="Normal Indent"/>
    <w:lsdException w:uiPriority="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qFormat="1" w:uiPriority="0" w:semiHidden="0" w:name="envelope return"/>
    <w:lsdException w:uiPriority="0" w:name="footnote reference"/>
    <w:lsdException w:qFormat="1" w:unhideWhenUsed="0"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99"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qFormat="1" w:uiPriority="99"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22"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100" w:after="90" w:line="578" w:lineRule="auto"/>
      <w:outlineLvl w:val="0"/>
    </w:pPr>
    <w:rPr>
      <w:rFonts w:eastAsia="华文细黑"/>
      <w:b/>
      <w:bCs/>
      <w:kern w:val="44"/>
      <w:sz w:val="30"/>
      <w:szCs w:val="44"/>
    </w:rPr>
  </w:style>
  <w:style w:type="paragraph" w:styleId="4">
    <w:name w:val="heading 2"/>
    <w:basedOn w:val="1"/>
    <w:next w:val="5"/>
    <w:qFormat/>
    <w:uiPriority w:val="9"/>
    <w:pPr>
      <w:keepNext/>
      <w:keepLines/>
      <w:spacing w:before="260" w:after="260" w:line="416" w:lineRule="auto"/>
      <w:jc w:val="center"/>
      <w:outlineLvl w:val="1"/>
    </w:pPr>
    <w:rPr>
      <w:rFonts w:ascii="Arial" w:hAnsi="Arial" w:eastAsia="幼圆"/>
      <w:b/>
      <w:kern w:val="0"/>
      <w:sz w:val="44"/>
      <w:szCs w:val="20"/>
    </w:rPr>
  </w:style>
  <w:style w:type="paragraph" w:styleId="6">
    <w:name w:val="heading 3"/>
    <w:basedOn w:val="1"/>
    <w:next w:val="1"/>
    <w:link w:val="47"/>
    <w:qFormat/>
    <w:uiPriority w:val="0"/>
    <w:pPr>
      <w:keepNext/>
      <w:keepLines/>
      <w:spacing w:line="416" w:lineRule="auto"/>
      <w:outlineLvl w:val="2"/>
    </w:pPr>
    <w:rPr>
      <w:b/>
      <w:kern w:val="0"/>
      <w:sz w:val="32"/>
      <w:szCs w:val="20"/>
    </w:rPr>
  </w:style>
  <w:style w:type="paragraph" w:styleId="7">
    <w:name w:val="heading 7"/>
    <w:basedOn w:val="1"/>
    <w:next w:val="1"/>
    <w:qFormat/>
    <w:uiPriority w:val="9"/>
    <w:pPr>
      <w:keepNext/>
      <w:keepLines/>
      <w:spacing w:before="240" w:after="64" w:line="320" w:lineRule="auto"/>
      <w:outlineLvl w:val="6"/>
    </w:pPr>
    <w:rPr>
      <w:b/>
      <w:bCs/>
      <w:sz w:val="24"/>
    </w:rPr>
  </w:style>
  <w:style w:type="character" w:default="1" w:styleId="28">
    <w:name w:val="Default Paragraph Font"/>
    <w:semiHidden/>
    <w:unhideWhenUsed/>
    <w:uiPriority w:val="1"/>
  </w:style>
  <w:style w:type="table" w:default="1" w:styleId="26">
    <w:name w:val="Normal Table"/>
    <w:semiHidden/>
    <w:unhideWhenUsed/>
    <w:uiPriority w:val="99"/>
    <w:tblPr>
      <w:tblCellMar>
        <w:top w:w="0" w:type="dxa"/>
        <w:left w:w="108" w:type="dxa"/>
        <w:bottom w:w="0" w:type="dxa"/>
        <w:right w:w="108" w:type="dxa"/>
      </w:tblCellMar>
    </w:tblPr>
  </w:style>
  <w:style w:type="paragraph" w:styleId="2">
    <w:name w:val="Body Text"/>
    <w:basedOn w:val="1"/>
    <w:next w:val="1"/>
    <w:qFormat/>
    <w:uiPriority w:val="99"/>
    <w:rPr>
      <w:rFonts w:ascii="楷体_GB2312" w:hAnsi="Arial" w:eastAsia="楷体_GB2312"/>
      <w:kern w:val="0"/>
      <w:sz w:val="28"/>
      <w:szCs w:val="20"/>
    </w:rPr>
  </w:style>
  <w:style w:type="paragraph" w:styleId="5">
    <w:name w:val="Normal Indent"/>
    <w:basedOn w:val="1"/>
    <w:qFormat/>
    <w:uiPriority w:val="99"/>
    <w:pPr>
      <w:ind w:firstLine="420"/>
    </w:pPr>
    <w:rPr>
      <w:kern w:val="0"/>
      <w:sz w:val="20"/>
      <w:szCs w:val="20"/>
    </w:rPr>
  </w:style>
  <w:style w:type="paragraph" w:styleId="8">
    <w:name w:val="annotation text"/>
    <w:basedOn w:val="1"/>
    <w:link w:val="50"/>
    <w:qFormat/>
    <w:uiPriority w:val="99"/>
    <w:pPr>
      <w:jc w:val="left"/>
    </w:pPr>
    <w:rPr>
      <w:kern w:val="0"/>
      <w:sz w:val="20"/>
    </w:rPr>
  </w:style>
  <w:style w:type="paragraph" w:styleId="9">
    <w:name w:val="Body Text Indent"/>
    <w:basedOn w:val="1"/>
    <w:next w:val="10"/>
    <w:qFormat/>
    <w:uiPriority w:val="0"/>
    <w:pPr>
      <w:ind w:firstLine="645"/>
    </w:pPr>
    <w:rPr>
      <w:rFonts w:ascii="楷体_GB2312" w:eastAsia="楷体_GB2312"/>
      <w:kern w:val="0"/>
      <w:sz w:val="32"/>
      <w:szCs w:val="20"/>
    </w:rPr>
  </w:style>
  <w:style w:type="paragraph" w:styleId="10">
    <w:name w:val="envelope return"/>
    <w:basedOn w:val="1"/>
    <w:unhideWhenUsed/>
    <w:qFormat/>
    <w:uiPriority w:val="0"/>
    <w:pPr>
      <w:snapToGrid w:val="0"/>
    </w:pPr>
    <w:rPr>
      <w:rFonts w:ascii="Arial" w:hAnsi="Arial"/>
    </w:rPr>
  </w:style>
  <w:style w:type="paragraph" w:styleId="11">
    <w:name w:val="index 4"/>
    <w:basedOn w:val="1"/>
    <w:next w:val="1"/>
    <w:unhideWhenUsed/>
    <w:qFormat/>
    <w:uiPriority w:val="99"/>
    <w:pPr>
      <w:ind w:firstLine="420" w:firstLineChars="200"/>
      <w:jc w:val="left"/>
    </w:pPr>
    <w:rPr>
      <w:rFonts w:ascii="宋体" w:hAnsi="宋体"/>
      <w:color w:val="FF0000"/>
      <w:szCs w:val="21"/>
    </w:rPr>
  </w:style>
  <w:style w:type="paragraph" w:styleId="12">
    <w:name w:val="toc 3"/>
    <w:basedOn w:val="1"/>
    <w:next w:val="1"/>
    <w:unhideWhenUsed/>
    <w:qFormat/>
    <w:uiPriority w:val="39"/>
    <w:pPr>
      <w:ind w:left="840" w:leftChars="400"/>
    </w:pPr>
  </w:style>
  <w:style w:type="paragraph" w:styleId="13">
    <w:name w:val="Plain Text"/>
    <w:basedOn w:val="1"/>
    <w:link w:val="48"/>
    <w:qFormat/>
    <w:uiPriority w:val="0"/>
    <w:rPr>
      <w:rFonts w:ascii="宋体" w:hAnsi="Courier New"/>
      <w:kern w:val="0"/>
      <w:sz w:val="20"/>
      <w:szCs w:val="20"/>
    </w:rPr>
  </w:style>
  <w:style w:type="paragraph" w:styleId="14">
    <w:name w:val="Body Text Indent 2"/>
    <w:basedOn w:val="1"/>
    <w:qFormat/>
    <w:uiPriority w:val="0"/>
    <w:pPr>
      <w:widowControl/>
      <w:spacing w:before="100" w:beforeAutospacing="1" w:after="100" w:afterAutospacing="1"/>
      <w:jc w:val="left"/>
    </w:pPr>
    <w:rPr>
      <w:rFonts w:ascii="宋体" w:hAnsi="宋体"/>
      <w:kern w:val="0"/>
      <w:sz w:val="24"/>
    </w:rPr>
  </w:style>
  <w:style w:type="paragraph" w:styleId="15">
    <w:name w:val="Balloon Text"/>
    <w:basedOn w:val="1"/>
    <w:link w:val="38"/>
    <w:qFormat/>
    <w:uiPriority w:val="0"/>
    <w:rPr>
      <w:sz w:val="18"/>
      <w:szCs w:val="18"/>
    </w:rPr>
  </w:style>
  <w:style w:type="paragraph" w:styleId="16">
    <w:name w:val="footer"/>
    <w:basedOn w:val="1"/>
    <w:link w:val="39"/>
    <w:qFormat/>
    <w:uiPriority w:val="0"/>
    <w:pPr>
      <w:tabs>
        <w:tab w:val="center" w:pos="4153"/>
        <w:tab w:val="right" w:pos="8306"/>
      </w:tabs>
      <w:snapToGrid w:val="0"/>
      <w:jc w:val="left"/>
    </w:pPr>
    <w:rPr>
      <w:sz w:val="18"/>
      <w:szCs w:val="18"/>
    </w:rPr>
  </w:style>
  <w:style w:type="paragraph" w:styleId="17">
    <w:name w:val="header"/>
    <w:basedOn w:val="1"/>
    <w:link w:val="37"/>
    <w:qFormat/>
    <w:uiPriority w:val="0"/>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spacing w:line="360" w:lineRule="auto"/>
    </w:pPr>
    <w:rPr>
      <w:rFonts w:asciiTheme="minorHAnsi" w:hAnsiTheme="minorHAnsi" w:cstheme="minorBidi"/>
      <w:sz w:val="24"/>
    </w:rPr>
  </w:style>
  <w:style w:type="paragraph" w:styleId="19">
    <w:name w:val="index 9"/>
    <w:basedOn w:val="1"/>
    <w:next w:val="1"/>
    <w:unhideWhenUsed/>
    <w:qFormat/>
    <w:uiPriority w:val="99"/>
    <w:pPr>
      <w:ind w:left="1600" w:leftChars="1600"/>
    </w:pPr>
  </w:style>
  <w:style w:type="paragraph" w:styleId="20">
    <w:name w:val="toc 2"/>
    <w:basedOn w:val="1"/>
    <w:next w:val="1"/>
    <w:qFormat/>
    <w:uiPriority w:val="39"/>
    <w:pPr>
      <w:spacing w:line="360" w:lineRule="auto"/>
      <w:ind w:left="420" w:leftChars="200"/>
    </w:pPr>
    <w:rPr>
      <w:rFonts w:asciiTheme="minorHAnsi" w:hAnsiTheme="minorHAnsi" w:cstheme="minorBidi"/>
      <w:sz w:val="24"/>
    </w:rPr>
  </w:style>
  <w:style w:type="paragraph" w:styleId="21">
    <w:name w:val="Normal (Web)"/>
    <w:basedOn w:val="1"/>
    <w:qFormat/>
    <w:uiPriority w:val="0"/>
    <w:pPr>
      <w:widowControl/>
      <w:spacing w:before="100" w:beforeAutospacing="1" w:after="100" w:afterAutospacing="1"/>
    </w:pPr>
    <w:rPr>
      <w:rFonts w:ascii="宋体" w:hAnsi="宋体"/>
      <w:kern w:val="0"/>
      <w:sz w:val="24"/>
      <w:szCs w:val="20"/>
    </w:rPr>
  </w:style>
  <w:style w:type="paragraph" w:styleId="22">
    <w:name w:val="Title"/>
    <w:basedOn w:val="1"/>
    <w:next w:val="1"/>
    <w:link w:val="49"/>
    <w:qFormat/>
    <w:uiPriority w:val="0"/>
    <w:pPr>
      <w:spacing w:before="240" w:after="60"/>
      <w:jc w:val="center"/>
      <w:outlineLvl w:val="0"/>
    </w:pPr>
    <w:rPr>
      <w:rFonts w:asciiTheme="majorHAnsi" w:hAnsiTheme="majorHAnsi" w:eastAsiaTheme="majorEastAsia" w:cstheme="majorBidi"/>
      <w:b/>
      <w:bCs/>
      <w:sz w:val="32"/>
      <w:szCs w:val="32"/>
    </w:rPr>
  </w:style>
  <w:style w:type="paragraph" w:styleId="23">
    <w:name w:val="annotation subject"/>
    <w:basedOn w:val="8"/>
    <w:next w:val="8"/>
    <w:link w:val="51"/>
    <w:semiHidden/>
    <w:unhideWhenUsed/>
    <w:qFormat/>
    <w:uiPriority w:val="0"/>
    <w:rPr>
      <w:b/>
      <w:bCs/>
      <w:kern w:val="2"/>
      <w:sz w:val="21"/>
    </w:rPr>
  </w:style>
  <w:style w:type="paragraph" w:styleId="24">
    <w:name w:val="Body Text First Indent"/>
    <w:basedOn w:val="2"/>
    <w:unhideWhenUsed/>
    <w:qFormat/>
    <w:uiPriority w:val="99"/>
    <w:pPr>
      <w:spacing w:after="120"/>
      <w:ind w:firstLine="420" w:firstLineChars="100"/>
    </w:pPr>
    <w:rPr>
      <w:rFonts w:ascii="Times New Roman"/>
      <w:sz w:val="21"/>
    </w:rPr>
  </w:style>
  <w:style w:type="paragraph" w:styleId="25">
    <w:name w:val="Body Text First Indent 2"/>
    <w:basedOn w:val="9"/>
    <w:next w:val="1"/>
    <w:qFormat/>
    <w:uiPriority w:val="0"/>
    <w:pPr>
      <w:spacing w:line="360" w:lineRule="auto"/>
      <w:ind w:firstLine="420" w:firstLineChars="200"/>
    </w:pPr>
    <w:rPr>
      <w:rFonts w:ascii="宋体" w:hAnsi="宋体"/>
    </w:rPr>
  </w:style>
  <w:style w:type="table" w:styleId="27">
    <w:name w:val="Table Grid"/>
    <w:basedOn w:val="26"/>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basedOn w:val="28"/>
    <w:qFormat/>
    <w:uiPriority w:val="22"/>
    <w:rPr>
      <w:b/>
      <w:bCs/>
    </w:rPr>
  </w:style>
  <w:style w:type="character" w:styleId="30">
    <w:name w:val="Hyperlink"/>
    <w:qFormat/>
    <w:uiPriority w:val="99"/>
    <w:rPr>
      <w:color w:val="0000FF"/>
      <w:u w:val="single"/>
    </w:rPr>
  </w:style>
  <w:style w:type="character" w:styleId="31">
    <w:name w:val="annotation reference"/>
    <w:qFormat/>
    <w:uiPriority w:val="99"/>
    <w:rPr>
      <w:sz w:val="21"/>
      <w:szCs w:val="21"/>
    </w:rPr>
  </w:style>
  <w:style w:type="paragraph" w:customStyle="1" w:styleId="32">
    <w:name w:val="一级条标题"/>
    <w:basedOn w:val="33"/>
    <w:next w:val="34"/>
    <w:qFormat/>
    <w:uiPriority w:val="99"/>
    <w:pPr>
      <w:tabs>
        <w:tab w:val="left" w:pos="810"/>
        <w:tab w:val="left" w:pos="907"/>
        <w:tab w:val="left" w:pos="1265"/>
      </w:tabs>
      <w:spacing w:before="0" w:after="0"/>
      <w:ind w:left="907" w:hanging="907"/>
      <w:outlineLvl w:val="2"/>
    </w:pPr>
    <w:rPr>
      <w:rFonts w:hAnsi="宋体"/>
      <w:kern w:val="0"/>
      <w:sz w:val="20"/>
      <w:szCs w:val="20"/>
    </w:rPr>
  </w:style>
  <w:style w:type="paragraph" w:customStyle="1" w:styleId="33">
    <w:name w:val="章标题"/>
    <w:next w:val="1"/>
    <w:qFormat/>
    <w:uiPriority w:val="0"/>
    <w:pPr>
      <w:tabs>
        <w:tab w:val="left" w:pos="810"/>
        <w:tab w:val="left" w:pos="1265"/>
      </w:tabs>
      <w:spacing w:before="50" w:after="50"/>
      <w:ind w:left="810" w:hanging="810"/>
      <w:jc w:val="both"/>
      <w:outlineLvl w:val="1"/>
    </w:pPr>
    <w:rPr>
      <w:rFonts w:ascii="黑体" w:hAnsi="Times New Roman" w:eastAsia="黑体" w:cs="Times New Roman"/>
      <w:kern w:val="2"/>
      <w:sz w:val="21"/>
      <w:szCs w:val="22"/>
      <w:lang w:val="en-US" w:eastAsia="zh-CN" w:bidi="ar-SA"/>
    </w:rPr>
  </w:style>
  <w:style w:type="paragraph" w:customStyle="1" w:styleId="34">
    <w:name w:val="段"/>
    <w:next w:val="1"/>
    <w:qFormat/>
    <w:uiPriority w:val="0"/>
    <w:pPr>
      <w:widowControl w:val="0"/>
      <w:ind w:firstLine="200"/>
      <w:jc w:val="both"/>
    </w:pPr>
    <w:rPr>
      <w:rFonts w:ascii="宋体" w:hAnsi="宋体" w:eastAsia="宋体" w:cs="宋体"/>
      <w:color w:val="000000"/>
      <w:sz w:val="21"/>
      <w:szCs w:val="21"/>
      <w:lang w:val="en-US" w:eastAsia="zh-CN" w:bidi="ar-SA"/>
    </w:rPr>
  </w:style>
  <w:style w:type="paragraph" w:customStyle="1" w:styleId="35">
    <w:name w:val="Heading1"/>
    <w:basedOn w:val="1"/>
    <w:next w:val="1"/>
    <w:qFormat/>
    <w:uiPriority w:val="0"/>
    <w:pPr>
      <w:keepNext/>
      <w:textAlignment w:val="baseline"/>
    </w:pPr>
    <w:rPr>
      <w:rFonts w:ascii="等线 Light" w:eastAsia="等线 Light"/>
      <w:sz w:val="28"/>
      <w:szCs w:val="20"/>
    </w:rPr>
  </w:style>
  <w:style w:type="paragraph" w:customStyle="1" w:styleId="36">
    <w:name w:val="首行缩进"/>
    <w:basedOn w:val="1"/>
    <w:qFormat/>
    <w:uiPriority w:val="0"/>
    <w:pPr>
      <w:ind w:firstLine="480" w:firstLineChars="200"/>
    </w:pPr>
    <w:rPr>
      <w:szCs w:val="20"/>
      <w:lang w:val="zh-CN"/>
    </w:rPr>
  </w:style>
  <w:style w:type="character" w:customStyle="1" w:styleId="37">
    <w:name w:val="页眉 Char"/>
    <w:link w:val="17"/>
    <w:qFormat/>
    <w:uiPriority w:val="0"/>
    <w:rPr>
      <w:rFonts w:ascii="Times New Roman" w:hAnsi="Times New Roman" w:eastAsia="宋体" w:cs="Times New Roman"/>
      <w:kern w:val="2"/>
      <w:sz w:val="18"/>
      <w:szCs w:val="18"/>
    </w:rPr>
  </w:style>
  <w:style w:type="character" w:customStyle="1" w:styleId="38">
    <w:name w:val="批注框文本 Char"/>
    <w:link w:val="15"/>
    <w:qFormat/>
    <w:uiPriority w:val="0"/>
    <w:rPr>
      <w:rFonts w:ascii="Times New Roman" w:hAnsi="Times New Roman" w:eastAsia="宋体" w:cs="Times New Roman"/>
      <w:kern w:val="2"/>
      <w:sz w:val="18"/>
      <w:szCs w:val="18"/>
    </w:rPr>
  </w:style>
  <w:style w:type="character" w:customStyle="1" w:styleId="39">
    <w:name w:val="页脚 Char"/>
    <w:link w:val="16"/>
    <w:qFormat/>
    <w:uiPriority w:val="0"/>
    <w:rPr>
      <w:rFonts w:ascii="Times New Roman" w:hAnsi="Times New Roman" w:eastAsia="宋体" w:cs="Times New Roman"/>
      <w:kern w:val="2"/>
      <w:sz w:val="18"/>
      <w:szCs w:val="18"/>
    </w:rPr>
  </w:style>
  <w:style w:type="paragraph" w:styleId="40">
    <w:name w:val="List Paragraph"/>
    <w:basedOn w:val="1"/>
    <w:qFormat/>
    <w:uiPriority w:val="34"/>
    <w:pPr>
      <w:ind w:firstLine="420" w:firstLineChars="200"/>
    </w:pPr>
    <w:rPr>
      <w:rFonts w:ascii="Calibri" w:hAnsi="Calibri"/>
      <w:kern w:val="0"/>
      <w:sz w:val="20"/>
      <w:szCs w:val="20"/>
    </w:rPr>
  </w:style>
  <w:style w:type="paragraph" w:customStyle="1" w:styleId="41">
    <w:name w:val="正文缩进1"/>
    <w:basedOn w:val="1"/>
    <w:qFormat/>
    <w:uiPriority w:val="0"/>
    <w:pPr>
      <w:autoSpaceDE w:val="0"/>
      <w:autoSpaceDN w:val="0"/>
      <w:adjustRightInd w:val="0"/>
      <w:ind w:firstLine="420"/>
      <w:jc w:val="left"/>
    </w:pPr>
    <w:rPr>
      <w:rFonts w:ascii="宋体"/>
      <w:kern w:val="0"/>
      <w:sz w:val="24"/>
      <w:szCs w:val="20"/>
    </w:rPr>
  </w:style>
  <w:style w:type="paragraph" w:customStyle="1" w:styleId="42">
    <w:name w:val="普通正文"/>
    <w:basedOn w:val="1"/>
    <w:qFormat/>
    <w:uiPriority w:val="99"/>
    <w:pPr>
      <w:adjustRightInd w:val="0"/>
      <w:spacing w:before="120" w:after="120" w:line="360" w:lineRule="auto"/>
      <w:ind w:firstLine="480"/>
      <w:jc w:val="left"/>
      <w:textAlignment w:val="baseline"/>
    </w:pPr>
    <w:rPr>
      <w:rFonts w:ascii="Arial" w:hAnsi="Arial"/>
      <w:kern w:val="0"/>
      <w:sz w:val="24"/>
    </w:rPr>
  </w:style>
  <w:style w:type="paragraph" w:customStyle="1" w:styleId="43">
    <w:name w:val="纯文本1"/>
    <w:basedOn w:val="1"/>
    <w:qFormat/>
    <w:uiPriority w:val="0"/>
    <w:pPr>
      <w:adjustRightInd w:val="0"/>
    </w:pPr>
    <w:rPr>
      <w:rFonts w:ascii="宋体" w:hAnsi="Courier New" w:eastAsia="楷体_GB2312"/>
      <w:sz w:val="28"/>
      <w:szCs w:val="20"/>
    </w:rPr>
  </w:style>
  <w:style w:type="table" w:customStyle="1" w:styleId="44">
    <w:name w:val="Table Normal"/>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45">
    <w:name w:val="Default"/>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46">
    <w:name w:val="正文1"/>
    <w:next w:val="1"/>
    <w:qFormat/>
    <w:uiPriority w:val="0"/>
    <w:pPr>
      <w:widowControl w:val="0"/>
      <w:jc w:val="both"/>
    </w:pPr>
    <w:rPr>
      <w:rFonts w:ascii="Calibri" w:hAnsi="Calibri" w:eastAsia="宋体" w:cs="Times New Roman"/>
      <w:kern w:val="2"/>
      <w:sz w:val="21"/>
      <w:szCs w:val="21"/>
      <w:lang w:val="en-US" w:eastAsia="zh-CN" w:bidi="ar-SA"/>
    </w:rPr>
  </w:style>
  <w:style w:type="character" w:customStyle="1" w:styleId="47">
    <w:name w:val="标题 3 Char"/>
    <w:link w:val="6"/>
    <w:qFormat/>
    <w:uiPriority w:val="0"/>
    <w:rPr>
      <w:b/>
      <w:sz w:val="32"/>
    </w:rPr>
  </w:style>
  <w:style w:type="character" w:customStyle="1" w:styleId="48">
    <w:name w:val="纯文本 Char"/>
    <w:link w:val="13"/>
    <w:qFormat/>
    <w:locked/>
    <w:uiPriority w:val="0"/>
    <w:rPr>
      <w:rFonts w:ascii="宋体" w:hAnsi="Courier New"/>
    </w:rPr>
  </w:style>
  <w:style w:type="character" w:customStyle="1" w:styleId="49">
    <w:name w:val="标题 Char"/>
    <w:basedOn w:val="28"/>
    <w:link w:val="22"/>
    <w:qFormat/>
    <w:uiPriority w:val="0"/>
    <w:rPr>
      <w:rFonts w:asciiTheme="majorHAnsi" w:hAnsiTheme="majorHAnsi" w:eastAsiaTheme="majorEastAsia" w:cstheme="majorBidi"/>
      <w:b/>
      <w:bCs/>
      <w:kern w:val="2"/>
      <w:sz w:val="32"/>
      <w:szCs w:val="32"/>
    </w:rPr>
  </w:style>
  <w:style w:type="character" w:customStyle="1" w:styleId="50">
    <w:name w:val="批注文字 Char"/>
    <w:basedOn w:val="28"/>
    <w:link w:val="8"/>
    <w:qFormat/>
    <w:uiPriority w:val="99"/>
    <w:rPr>
      <w:szCs w:val="24"/>
    </w:rPr>
  </w:style>
  <w:style w:type="character" w:customStyle="1" w:styleId="51">
    <w:name w:val="批注主题 Char"/>
    <w:basedOn w:val="50"/>
    <w:link w:val="23"/>
    <w:semiHidden/>
    <w:qFormat/>
    <w:uiPriority w:val="0"/>
    <w:rPr>
      <w:b/>
      <w:bCs/>
      <w:kern w:val="2"/>
      <w:sz w:val="21"/>
      <w:szCs w:val="24"/>
    </w:rPr>
  </w:style>
  <w:style w:type="paragraph" w:customStyle="1" w:styleId="52">
    <w:name w:val="TOC 标题1"/>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paragraph" w:customStyle="1" w:styleId="53">
    <w:name w:val="一、（二级标题）"/>
    <w:qFormat/>
    <w:uiPriority w:val="0"/>
    <w:pPr>
      <w:widowControl w:val="0"/>
      <w:tabs>
        <w:tab w:val="left" w:pos="993"/>
        <w:tab w:val="left" w:pos="1276"/>
      </w:tabs>
      <w:wordWrap w:val="0"/>
      <w:ind w:firstLine="200" w:firstLineChars="200"/>
      <w:outlineLvl w:val="1"/>
    </w:pPr>
    <w:rPr>
      <w:rFonts w:ascii="Arial" w:hAnsi="Arial" w:eastAsia="黑体" w:cs="Times New Roman"/>
      <w:bCs/>
      <w:kern w:val="2"/>
      <w:sz w:val="28"/>
      <w:szCs w:val="32"/>
      <w:lang w:val="en-US" w:eastAsia="zh-CN" w:bidi="ar-SA"/>
    </w:rPr>
  </w:style>
  <w:style w:type="paragraph" w:customStyle="1" w:styleId="54">
    <w:name w:val="（一）正文标题"/>
    <w:basedOn w:val="6"/>
    <w:qFormat/>
    <w:uiPriority w:val="0"/>
    <w:pPr>
      <w:keepNext w:val="0"/>
      <w:keepLines w:val="0"/>
      <w:tabs>
        <w:tab w:val="left" w:pos="993"/>
        <w:tab w:val="left" w:pos="1134"/>
        <w:tab w:val="left" w:pos="1276"/>
        <w:tab w:val="left" w:pos="1418"/>
      </w:tabs>
      <w:wordWrap w:val="0"/>
      <w:ind w:firstLine="200" w:firstLineChars="200"/>
    </w:pPr>
    <w:rPr>
      <w:rFonts w:ascii="仿宋_GB2312" w:hAnsi="仿宋_GB2312" w:eastAsia="楷体"/>
      <w:szCs w:val="28"/>
    </w:rPr>
  </w:style>
  <w:style w:type="paragraph" w:customStyle="1" w:styleId="55">
    <w:name w:val="文本"/>
    <w:qFormat/>
    <w:uiPriority w:val="0"/>
    <w:pPr>
      <w:widowControl w:val="0"/>
      <w:wordWrap w:val="0"/>
      <w:spacing w:line="360" w:lineRule="auto"/>
      <w:ind w:firstLine="200" w:firstLineChars="200"/>
    </w:pPr>
    <w:rPr>
      <w:rFonts w:ascii="仿宋_GB2312" w:hAnsi="Times New Roman" w:eastAsia="仿宋_GB2312" w:cs="Times New Roman"/>
      <w:kern w:val="2"/>
      <w:sz w:val="28"/>
      <w:szCs w:val="24"/>
      <w:lang w:val="en-US" w:eastAsia="zh-CN" w:bidi="ar-SA"/>
    </w:rPr>
  </w:style>
  <w:style w:type="paragraph" w:customStyle="1" w:styleId="56">
    <w:name w:val="1."/>
    <w:qFormat/>
    <w:uiPriority w:val="0"/>
    <w:pPr>
      <w:widowControl w:val="0"/>
      <w:tabs>
        <w:tab w:val="left" w:pos="851"/>
        <w:tab w:val="left" w:pos="1418"/>
      </w:tabs>
      <w:wordWrap w:val="0"/>
      <w:ind w:firstLine="200" w:firstLineChars="200"/>
      <w:outlineLvl w:val="3"/>
    </w:pPr>
    <w:rPr>
      <w:rFonts w:ascii="仿宋_GB2312" w:hAnsi="Times New Roman" w:eastAsia="仿宋_GB2312" w:cs="Times New Roman"/>
      <w:bCs/>
      <w:kern w:val="2"/>
      <w:sz w:val="28"/>
      <w:szCs w:val="2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F64367B-267E-4C1A-8165-88633EAFB716}">
  <ds:schemaRefs/>
</ds:datastoreItem>
</file>

<file path=docProps/app.xml><?xml version="1.0" encoding="utf-8"?>
<Properties xmlns="http://schemas.openxmlformats.org/officeDocument/2006/extended-properties" xmlns:vt="http://schemas.openxmlformats.org/officeDocument/2006/docPropsVTypes">
  <Template>Normal.dotm</Template>
  <Pages>41</Pages>
  <Words>29028</Words>
  <Characters>30989</Characters>
  <Lines>248</Lines>
  <Paragraphs>69</Paragraphs>
  <TotalTime>73</TotalTime>
  <ScaleCrop>false</ScaleCrop>
  <LinksUpToDate>false</LinksUpToDate>
  <CharactersWithSpaces>32358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2022-06-18T07:01:00Z</dcterms:created>
  <dc:creator>ASUS</dc:creator>
  <cp:lastModifiedBy>WPS_1665191703</cp:lastModifiedBy>
  <cp:lastPrinted>2023-03-01T00:52:00Z</cp:lastPrinted>
  <dcterms:modified xsi:type="dcterms:W3CDTF">2023-07-04T07:09:56Z</dcterms:modified>
  <cp:revision>100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228FCC22B9C04F7B83CECA98FB19C89D_13</vt:lpwstr>
  </property>
</Properties>
</file>