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after="120" w:line="300" w:lineRule="auto"/>
        <w:ind w:firstLine="420"/>
        <w:jc w:val="center"/>
        <w:rPr>
          <w:rFonts w:asciiTheme="minorEastAsia" w:hAnsiTheme="minorEastAsia" w:eastAsiaTheme="minorEastAsia"/>
          <w:color w:val="000000" w:themeColor="text1"/>
          <w:sz w:val="72"/>
          <w:szCs w:val="72"/>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9264" behindDoc="1" locked="0" layoutInCell="1" allowOverlap="1">
            <wp:simplePos x="0" y="0"/>
            <wp:positionH relativeFrom="column">
              <wp:posOffset>698500</wp:posOffset>
            </wp:positionH>
            <wp:positionV relativeFrom="paragraph">
              <wp:posOffset>-47625</wp:posOffset>
            </wp:positionV>
            <wp:extent cx="4695825" cy="970280"/>
            <wp:effectExtent l="0" t="0" r="0" b="0"/>
            <wp:wrapTight wrapText="bothSides">
              <wp:wrapPolygon>
                <wp:start x="0" y="0"/>
                <wp:lineTo x="0" y="21204"/>
                <wp:lineTo x="21556" y="21204"/>
                <wp:lineTo x="2155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695825" cy="970280"/>
                    </a:xfrm>
                    <a:prstGeom prst="rect">
                      <a:avLst/>
                    </a:prstGeom>
                  </pic:spPr>
                </pic:pic>
              </a:graphicData>
            </a:graphic>
          </wp:anchor>
        </w:drawing>
      </w:r>
    </w:p>
    <w:p>
      <w:pPr>
        <w:snapToGrid w:val="0"/>
        <w:spacing w:before="120" w:after="120" w:line="300" w:lineRule="auto"/>
        <w:jc w:val="center"/>
        <w:rPr>
          <w:rFonts w:asciiTheme="minorEastAsia" w:hAnsiTheme="minorEastAsia" w:eastAsiaTheme="minorEastAsia"/>
          <w:color w:val="000000" w:themeColor="text1"/>
          <w:sz w:val="72"/>
          <w:szCs w:val="72"/>
          <w14:textFill>
            <w14:solidFill>
              <w14:schemeClr w14:val="tx1"/>
            </w14:solidFill>
          </w14:textFill>
        </w:rPr>
      </w:pPr>
    </w:p>
    <w:p>
      <w:pPr>
        <w:snapToGrid w:val="0"/>
        <w:spacing w:before="120" w:after="120" w:line="300" w:lineRule="auto"/>
        <w:jc w:val="center"/>
        <w:rPr>
          <w:rFonts w:ascii="黑体" w:hAnsi="黑体" w:eastAsia="黑体"/>
          <w:b/>
          <w:color w:val="000000" w:themeColor="text1"/>
          <w:sz w:val="72"/>
          <w:szCs w:val="72"/>
          <w14:textFill>
            <w14:solidFill>
              <w14:schemeClr w14:val="tx1"/>
            </w14:solidFill>
          </w14:textFill>
        </w:rPr>
      </w:pPr>
      <w:r>
        <w:rPr>
          <w:rFonts w:hint="eastAsia" w:ascii="黑体" w:hAnsi="黑体" w:eastAsia="黑体"/>
          <w:b/>
          <w:color w:val="000000" w:themeColor="text1"/>
          <w:sz w:val="72"/>
          <w:szCs w:val="72"/>
          <w14:textFill>
            <w14:solidFill>
              <w14:schemeClr w14:val="tx1"/>
            </w14:solidFill>
          </w14:textFill>
        </w:rPr>
        <w:t>询价文件</w:t>
      </w:r>
    </w:p>
    <w:p>
      <w:pPr>
        <w:tabs>
          <w:tab w:val="left" w:pos="8610"/>
        </w:tabs>
        <w:snapToGrid w:val="0"/>
        <w:spacing w:line="300" w:lineRule="auto"/>
        <w:jc w:val="left"/>
        <w:rPr>
          <w:rFonts w:asciiTheme="minorEastAsia" w:hAnsiTheme="minorEastAsia" w:eastAsiaTheme="minorEastAsia"/>
          <w:b/>
          <w:bCs/>
          <w:color w:val="000000" w:themeColor="text1"/>
          <w:sz w:val="28"/>
          <w14:textFill>
            <w14:solidFill>
              <w14:schemeClr w14:val="tx1"/>
            </w14:solidFill>
          </w14:textFill>
        </w:rPr>
      </w:pPr>
      <w:r>
        <w:rPr>
          <w:rFonts w:asciiTheme="minorEastAsia" w:hAnsiTheme="minorEastAsia" w:eastAsiaTheme="minorEastAsia"/>
          <w:b/>
          <w:bCs/>
          <w:color w:val="000000" w:themeColor="text1"/>
          <w:sz w:val="28"/>
          <w14:textFill>
            <w14:solidFill>
              <w14:schemeClr w14:val="tx1"/>
            </w14:solidFill>
          </w14:textFill>
        </w:rPr>
        <w:tab/>
      </w:r>
    </w:p>
    <w:p>
      <w:pPr>
        <w:snapToGrid w:val="0"/>
        <w:spacing w:line="300" w:lineRule="auto"/>
        <w:jc w:val="center"/>
        <w:rPr>
          <w:rFonts w:asciiTheme="minorEastAsia" w:hAnsiTheme="minorEastAsia" w:eastAsiaTheme="minorEastAsia"/>
          <w:b/>
          <w:bCs/>
          <w:color w:val="000000" w:themeColor="text1"/>
          <w:sz w:val="28"/>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14:textFill>
            <w14:solidFill>
              <w14:schemeClr w14:val="tx1"/>
            </w14:solidFill>
          </w14:textFill>
        </w:rPr>
      </w:pPr>
    </w:p>
    <w:p>
      <w:pPr>
        <w:snapToGrid w:val="0"/>
        <w:spacing w:line="300" w:lineRule="auto"/>
        <w:jc w:val="center"/>
        <w:rPr>
          <w:rFonts w:asciiTheme="minorEastAsia" w:hAnsiTheme="minorEastAsia" w:eastAsiaTheme="minorEastAsia"/>
          <w:b/>
          <w:bCs/>
          <w:color w:val="000000" w:themeColor="text1"/>
          <w:sz w:val="28"/>
          <w14:textFill>
            <w14:solidFill>
              <w14:schemeClr w14:val="tx1"/>
            </w14:solidFill>
          </w14:textFill>
        </w:rPr>
      </w:pPr>
    </w:p>
    <w:p>
      <w:pPr>
        <w:snapToGrid w:val="0"/>
        <w:spacing w:line="300" w:lineRule="auto"/>
        <w:rPr>
          <w:rFonts w:asciiTheme="minorEastAsia" w:hAnsiTheme="minorEastAsia" w:eastAsiaTheme="minorEastAsia"/>
          <w:b/>
          <w:bCs/>
          <w:color w:val="000000" w:themeColor="text1"/>
          <w:sz w:val="36"/>
          <w:szCs w:val="36"/>
          <w14:textFill>
            <w14:solidFill>
              <w14:schemeClr w14:val="tx1"/>
            </w14:solidFill>
          </w14:textFill>
        </w:rPr>
      </w:pPr>
    </w:p>
    <w:p>
      <w:pPr>
        <w:snapToGrid w:val="0"/>
        <w:spacing w:line="300" w:lineRule="auto"/>
        <w:ind w:firstLine="1102" w:firstLineChars="343"/>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项目名称</w:t>
      </w:r>
      <w:r>
        <w:rPr>
          <w:rFonts w:asciiTheme="majorEastAsia" w:hAnsiTheme="majorEastAsia" w:eastAsiaTheme="majorEastAsia"/>
          <w:b/>
          <w:bCs/>
          <w:color w:val="000000" w:themeColor="text1"/>
          <w:sz w:val="32"/>
          <w:szCs w:val="32"/>
          <w14:textFill>
            <w14:solidFill>
              <w14:schemeClr w14:val="tx1"/>
            </w14:solidFill>
          </w14:textFill>
        </w:rPr>
        <w:t>:</w:t>
      </w:r>
      <w:r>
        <w:rPr>
          <w:rFonts w:hint="eastAsia" w:asciiTheme="majorEastAsia" w:hAnsiTheme="majorEastAsia" w:eastAsiaTheme="majorEastAsia"/>
          <w:b/>
          <w:bCs/>
          <w:color w:val="000000" w:themeColor="text1"/>
          <w:sz w:val="32"/>
          <w:szCs w:val="32"/>
          <w14:textFill>
            <w14:solidFill>
              <w14:schemeClr w14:val="tx1"/>
            </w14:solidFill>
          </w14:textFill>
        </w:rPr>
        <w:t xml:space="preserve"> 审计信息系统软件采购 </w:t>
      </w:r>
    </w:p>
    <w:p>
      <w:pPr>
        <w:snapToGrid w:val="0"/>
        <w:spacing w:line="300" w:lineRule="auto"/>
        <w:ind w:firstLine="1108" w:firstLineChars="345"/>
        <w:rPr>
          <w:rFonts w:asciiTheme="majorEastAsia" w:hAnsiTheme="majorEastAsia" w:eastAsiaTheme="majorEastAsia"/>
          <w:b/>
          <w:bCs/>
          <w:color w:val="000000" w:themeColor="text1"/>
          <w:sz w:val="32"/>
          <w:szCs w:val="32"/>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项目编号</w:t>
      </w:r>
      <w:r>
        <w:rPr>
          <w:rFonts w:asciiTheme="majorEastAsia" w:hAnsiTheme="majorEastAsia" w:eastAsiaTheme="majorEastAsia"/>
          <w:b/>
          <w:bCs/>
          <w:color w:val="000000" w:themeColor="text1"/>
          <w:sz w:val="32"/>
          <w:szCs w:val="32"/>
          <w14:textFill>
            <w14:solidFill>
              <w14:schemeClr w14:val="tx1"/>
            </w14:solidFill>
          </w14:textFill>
        </w:rPr>
        <w:t>:</w:t>
      </w:r>
      <w:r>
        <w:rPr>
          <w:rFonts w:hint="eastAsia" w:asciiTheme="majorEastAsia" w:hAnsiTheme="majorEastAsia" w:eastAsiaTheme="majorEastAsia"/>
          <w:b/>
          <w:bCs/>
          <w:color w:val="000000" w:themeColor="text1"/>
          <w:sz w:val="32"/>
          <w:szCs w:val="32"/>
          <w14:textFill>
            <w14:solidFill>
              <w14:schemeClr w14:val="tx1"/>
            </w14:solidFill>
          </w14:textFill>
        </w:rPr>
        <w:t xml:space="preserve"> SY2022-092-HW-XJ</w:t>
      </w:r>
    </w:p>
    <w:p>
      <w:pPr>
        <w:snapToGrid w:val="0"/>
        <w:spacing w:before="120" w:after="120" w:line="300" w:lineRule="auto"/>
        <w:rPr>
          <w:rFonts w:asciiTheme="majorEastAsia" w:hAnsiTheme="majorEastAsia" w:eastAsiaTheme="majorEastAsia"/>
          <w:color w:val="000000" w:themeColor="text1"/>
          <w:sz w:val="36"/>
          <w:szCs w:val="36"/>
          <w14:textFill>
            <w14:solidFill>
              <w14:schemeClr w14:val="tx1"/>
            </w14:solidFill>
          </w14:textFill>
        </w:rPr>
      </w:pPr>
    </w:p>
    <w:p>
      <w:pPr>
        <w:snapToGrid w:val="0"/>
        <w:spacing w:before="120" w:after="120" w:line="300" w:lineRule="auto"/>
        <w:jc w:val="center"/>
        <w:rPr>
          <w:rFonts w:asciiTheme="majorEastAsia" w:hAnsiTheme="majorEastAsia" w:eastAsiaTheme="majorEastAsia"/>
          <w:color w:val="000000" w:themeColor="text1"/>
          <w:sz w:val="36"/>
          <w:szCs w:val="36"/>
          <w14:textFill>
            <w14:solidFill>
              <w14:schemeClr w14:val="tx1"/>
            </w14:solidFill>
          </w14:textFill>
        </w:rPr>
      </w:pPr>
    </w:p>
    <w:p>
      <w:pPr>
        <w:pStyle w:val="33"/>
        <w:rPr>
          <w:rFonts w:asciiTheme="majorEastAsia" w:hAnsiTheme="majorEastAsia" w:eastAsiaTheme="majorEastAsia"/>
          <w:color w:val="000000" w:themeColor="text1"/>
          <w14:textFill>
            <w14:solidFill>
              <w14:schemeClr w14:val="tx1"/>
            </w14:solidFill>
          </w14:textFill>
        </w:rPr>
      </w:pPr>
    </w:p>
    <w:p>
      <w:pPr>
        <w:spacing w:line="440" w:lineRule="exact"/>
        <w:ind w:firstLine="1285" w:firstLineChars="400"/>
        <w:rPr>
          <w:rFonts w:asciiTheme="majorEastAsia" w:hAnsiTheme="majorEastAsia" w:eastAsiaTheme="majorEastAsia"/>
          <w:b/>
          <w:bCs/>
          <w:color w:val="000000" w:themeColor="text1"/>
          <w:sz w:val="32"/>
          <w14:textFill>
            <w14:solidFill>
              <w14:schemeClr w14:val="tx1"/>
            </w14:solidFill>
          </w14:textFill>
        </w:rPr>
      </w:pPr>
    </w:p>
    <w:p>
      <w:pPr>
        <w:pStyle w:val="24"/>
        <w:rPr>
          <w:rFonts w:asciiTheme="majorEastAsia" w:hAnsiTheme="majorEastAsia" w:eastAsiaTheme="majorEastAsia"/>
          <w:color w:val="000000" w:themeColor="text1"/>
          <w14:textFill>
            <w14:solidFill>
              <w14:schemeClr w14:val="tx1"/>
            </w14:solidFill>
          </w14:textFill>
        </w:rPr>
      </w:pPr>
    </w:p>
    <w:p>
      <w:pPr>
        <w:pStyle w:val="24"/>
        <w:rPr>
          <w:rFonts w:asciiTheme="majorEastAsia" w:hAnsiTheme="majorEastAsia" w:eastAsiaTheme="majorEastAsia"/>
          <w:color w:val="000000" w:themeColor="text1"/>
          <w14:textFill>
            <w14:solidFill>
              <w14:schemeClr w14:val="tx1"/>
            </w14:solidFill>
          </w14:textFill>
        </w:rPr>
      </w:pPr>
    </w:p>
    <w:p>
      <w:pPr>
        <w:pStyle w:val="24"/>
        <w:rPr>
          <w:rFonts w:asciiTheme="majorEastAsia" w:hAnsiTheme="majorEastAsia" w:eastAsiaTheme="majorEastAsia"/>
          <w:color w:val="000000" w:themeColor="text1"/>
          <w14:textFill>
            <w14:solidFill>
              <w14:schemeClr w14:val="tx1"/>
            </w14:solidFill>
          </w14:textFill>
        </w:rPr>
      </w:pPr>
    </w:p>
    <w:p>
      <w:pPr>
        <w:spacing w:line="440" w:lineRule="exact"/>
        <w:jc w:val="center"/>
        <w:rPr>
          <w:rFonts w:ascii="宋体" w:hAnsi="宋体"/>
          <w:b/>
          <w:bCs/>
          <w:color w:val="000000" w:themeColor="text1"/>
          <w:sz w:val="32"/>
          <w14:textFill>
            <w14:solidFill>
              <w14:schemeClr w14:val="tx1"/>
            </w14:solidFill>
          </w14:textFill>
        </w:rPr>
      </w:pPr>
    </w:p>
    <w:p>
      <w:pPr>
        <w:pStyle w:val="24"/>
        <w:rPr>
          <w:color w:val="000000" w:themeColor="text1"/>
          <w14:textFill>
            <w14:solidFill>
              <w14:schemeClr w14:val="tx1"/>
            </w14:solidFill>
          </w14:textFill>
        </w:rPr>
      </w:pPr>
    </w:p>
    <w:p>
      <w:pPr>
        <w:spacing w:line="440" w:lineRule="exact"/>
        <w:jc w:val="center"/>
        <w:rPr>
          <w:rFonts w:ascii="宋体" w:hAnsi="宋体"/>
          <w:color w:val="000000" w:themeColor="text1"/>
          <w:kern w:val="0"/>
          <w:sz w:val="28"/>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2022</w:t>
      </w:r>
      <w:r>
        <w:rPr>
          <w:rFonts w:ascii="宋体" w:hAnsi="宋体"/>
          <w:color w:val="000000" w:themeColor="text1"/>
          <w:sz w:val="36"/>
          <w:szCs w:val="36"/>
          <w14:textFill>
            <w14:solidFill>
              <w14:schemeClr w14:val="tx1"/>
            </w14:solidFill>
          </w14:textFill>
        </w:rPr>
        <w:t>年</w:t>
      </w:r>
      <w:r>
        <w:rPr>
          <w:rFonts w:hint="eastAsia" w:ascii="宋体" w:hAnsi="宋体"/>
          <w:color w:val="000000" w:themeColor="text1"/>
          <w:sz w:val="36"/>
          <w:szCs w:val="36"/>
          <w14:textFill>
            <w14:solidFill>
              <w14:schemeClr w14:val="tx1"/>
            </w14:solidFill>
          </w14:textFill>
        </w:rPr>
        <w:t>10</w:t>
      </w:r>
      <w:r>
        <w:rPr>
          <w:rFonts w:ascii="宋体" w:hAnsi="宋体"/>
          <w:color w:val="000000" w:themeColor="text1"/>
          <w:sz w:val="36"/>
          <w:szCs w:val="36"/>
          <w14:textFill>
            <w14:solidFill>
              <w14:schemeClr w14:val="tx1"/>
            </w14:solidFill>
          </w14:textFill>
        </w:rPr>
        <w:t>月</w:t>
      </w:r>
      <w:r>
        <w:rPr>
          <w:rFonts w:hint="eastAsia" w:ascii="宋体" w:hAnsi="宋体"/>
          <w:color w:val="000000" w:themeColor="text1"/>
          <w:sz w:val="36"/>
          <w:szCs w:val="36"/>
          <w14:textFill>
            <w14:solidFill>
              <w14:schemeClr w14:val="tx1"/>
            </w14:solidFill>
          </w14:textFill>
        </w:rPr>
        <w:t>07</w:t>
      </w:r>
      <w:r>
        <w:rPr>
          <w:rFonts w:ascii="宋体" w:hAnsi="宋体"/>
          <w:color w:val="000000" w:themeColor="text1"/>
          <w:sz w:val="36"/>
          <w:szCs w:val="36"/>
          <w14:textFill>
            <w14:solidFill>
              <w14:schemeClr w14:val="tx1"/>
            </w14:solidFill>
          </w14:textFill>
        </w:rPr>
        <w:t>日</w:t>
      </w:r>
    </w:p>
    <w:p>
      <w:pPr>
        <w:pStyle w:val="33"/>
        <w:rPr>
          <w:rFonts w:asciiTheme="minorEastAsia" w:hAnsiTheme="minorEastAsia" w:eastAsiaTheme="minorEastAsia"/>
          <w:color w:val="000000" w:themeColor="text1"/>
          <w14:textFill>
            <w14:solidFill>
              <w14:schemeClr w14:val="tx1"/>
            </w14:solidFill>
          </w14:textFill>
        </w:rPr>
      </w:pPr>
    </w:p>
    <w:p>
      <w:pPr>
        <w:pStyle w:val="33"/>
        <w:rPr>
          <w:rFonts w:asciiTheme="minorEastAsia" w:hAnsiTheme="minorEastAsia" w:eastAsiaTheme="minorEastAsia"/>
          <w:color w:val="000000" w:themeColor="text1"/>
          <w14:textFill>
            <w14:solidFill>
              <w14:schemeClr w14:val="tx1"/>
            </w14:solidFill>
          </w14:textFill>
        </w:rPr>
      </w:pPr>
    </w:p>
    <w:p>
      <w:pPr>
        <w:spacing w:line="480" w:lineRule="auto"/>
        <w:jc w:val="center"/>
        <w:rPr>
          <w:rFonts w:ascii="宋体" w:hAnsi="宋体"/>
          <w:b/>
          <w:color w:val="000000" w:themeColor="text1"/>
          <w:sz w:val="44"/>
          <w:szCs w:val="21"/>
          <w14:textFill>
            <w14:solidFill>
              <w14:schemeClr w14:val="tx1"/>
            </w14:solidFill>
          </w14:textFill>
        </w:rPr>
      </w:pPr>
    </w:p>
    <w:p>
      <w:pPr>
        <w:spacing w:line="480" w:lineRule="auto"/>
        <w:ind w:firstLine="3914" w:firstLineChars="886"/>
        <w:rPr>
          <w:rFonts w:hint="eastAsia" w:ascii="宋体" w:hAnsi="宋体"/>
          <w:b/>
          <w:color w:val="000000" w:themeColor="text1"/>
          <w:sz w:val="44"/>
          <w:szCs w:val="21"/>
          <w14:textFill>
            <w14:solidFill>
              <w14:schemeClr w14:val="tx1"/>
            </w14:solidFill>
          </w14:textFill>
        </w:rPr>
      </w:pPr>
    </w:p>
    <w:p>
      <w:pPr>
        <w:spacing w:line="480" w:lineRule="auto"/>
        <w:ind w:firstLine="3914" w:firstLineChars="886"/>
        <w:rPr>
          <w:rFonts w:ascii="宋体" w:hAnsi="宋体"/>
          <w:b/>
          <w:color w:val="000000" w:themeColor="text1"/>
          <w:sz w:val="44"/>
          <w:szCs w:val="21"/>
          <w14:textFill>
            <w14:solidFill>
              <w14:schemeClr w14:val="tx1"/>
            </w14:solidFill>
          </w14:textFill>
        </w:rPr>
      </w:pPr>
      <w:r>
        <w:rPr>
          <w:rFonts w:hint="eastAsia" w:ascii="宋体" w:hAnsi="宋体"/>
          <w:b/>
          <w:color w:val="000000" w:themeColor="text1"/>
          <w:sz w:val="44"/>
          <w:szCs w:val="21"/>
          <w14:textFill>
            <w14:solidFill>
              <w14:schemeClr w14:val="tx1"/>
            </w14:solidFill>
          </w14:textFill>
        </w:rPr>
        <w:t>总 目 录</w:t>
      </w:r>
    </w:p>
    <w:p>
      <w:pPr>
        <w:pStyle w:val="20"/>
        <w:tabs>
          <w:tab w:val="right" w:leader="dot" w:pos="9629"/>
        </w:tabs>
        <w:spacing w:line="480" w:lineRule="auto"/>
        <w:rPr>
          <w:rFonts w:asciiTheme="minorHAnsi" w:hAnsiTheme="minorHAnsi" w:eastAsiaTheme="minorEastAsia" w:cstheme="minorBidi"/>
          <w:sz w:val="32"/>
          <w:szCs w:val="22"/>
        </w:rPr>
      </w:pPr>
      <w:r>
        <w:rPr>
          <w:rFonts w:ascii="宋体" w:hAnsi="宋体"/>
          <w:b/>
          <w:color w:val="000000" w:themeColor="text1"/>
          <w:sz w:val="24"/>
          <w14:textFill>
            <w14:solidFill>
              <w14:schemeClr w14:val="tx1"/>
            </w14:solidFill>
          </w14:textFill>
        </w:rPr>
        <w:fldChar w:fldCharType="begin"/>
      </w:r>
      <w:r>
        <w:rPr>
          <w:rFonts w:ascii="宋体" w:hAnsi="宋体"/>
          <w:b/>
          <w:color w:val="000000" w:themeColor="text1"/>
          <w:sz w:val="24"/>
          <w14:textFill>
            <w14:solidFill>
              <w14:schemeClr w14:val="tx1"/>
            </w14:solidFill>
          </w14:textFill>
        </w:rPr>
        <w:instrText xml:space="preserve"> TOC \o "1-3" \h \z \u </w:instrText>
      </w:r>
      <w:r>
        <w:rPr>
          <w:rFonts w:ascii="宋体" w:hAnsi="宋体"/>
          <w:b/>
          <w:color w:val="000000" w:themeColor="text1"/>
          <w:sz w:val="24"/>
          <w14:textFill>
            <w14:solidFill>
              <w14:schemeClr w14:val="tx1"/>
            </w14:solidFill>
          </w14:textFill>
        </w:rPr>
        <w:fldChar w:fldCharType="separate"/>
      </w:r>
      <w:r>
        <w:fldChar w:fldCharType="begin"/>
      </w:r>
      <w:r>
        <w:instrText xml:space="preserve"> HYPERLINK \l "_Toc116051292" </w:instrText>
      </w:r>
      <w:r>
        <w:fldChar w:fldCharType="separate"/>
      </w:r>
      <w:r>
        <w:rPr>
          <w:rStyle w:val="30"/>
          <w:rFonts w:hint="eastAsia"/>
          <w:sz w:val="32"/>
        </w:rPr>
        <w:t>第一章</w:t>
      </w:r>
      <w:r>
        <w:rPr>
          <w:rStyle w:val="30"/>
          <w:sz w:val="32"/>
        </w:rPr>
        <w:t xml:space="preserve"> </w:t>
      </w:r>
      <w:r>
        <w:rPr>
          <w:rStyle w:val="30"/>
          <w:rFonts w:hint="eastAsia"/>
          <w:sz w:val="32"/>
        </w:rPr>
        <w:t>询价公告</w:t>
      </w:r>
      <w:r>
        <w:rPr>
          <w:sz w:val="32"/>
        </w:rPr>
        <w:tab/>
      </w:r>
      <w:r>
        <w:rPr>
          <w:sz w:val="32"/>
        </w:rPr>
        <w:fldChar w:fldCharType="begin"/>
      </w:r>
      <w:r>
        <w:rPr>
          <w:sz w:val="32"/>
        </w:rPr>
        <w:instrText xml:space="preserve"> PAGEREF _Toc116051292 \h </w:instrText>
      </w:r>
      <w:r>
        <w:rPr>
          <w:sz w:val="32"/>
        </w:rPr>
        <w:fldChar w:fldCharType="separate"/>
      </w:r>
      <w:r>
        <w:rPr>
          <w:sz w:val="32"/>
        </w:rPr>
        <w:t>2</w:t>
      </w:r>
      <w:r>
        <w:rPr>
          <w:sz w:val="32"/>
        </w:rPr>
        <w:fldChar w:fldCharType="end"/>
      </w:r>
      <w:r>
        <w:rPr>
          <w:sz w:val="32"/>
        </w:rPr>
        <w:fldChar w:fldCharType="end"/>
      </w:r>
    </w:p>
    <w:p>
      <w:pPr>
        <w:pStyle w:val="20"/>
        <w:tabs>
          <w:tab w:val="right" w:leader="dot" w:pos="9629"/>
        </w:tabs>
        <w:spacing w:line="480" w:lineRule="auto"/>
        <w:rPr>
          <w:rFonts w:asciiTheme="minorHAnsi" w:hAnsiTheme="minorHAnsi" w:eastAsiaTheme="minorEastAsia" w:cstheme="minorBidi"/>
          <w:sz w:val="32"/>
          <w:szCs w:val="22"/>
        </w:rPr>
      </w:pPr>
      <w:r>
        <w:fldChar w:fldCharType="begin"/>
      </w:r>
      <w:r>
        <w:instrText xml:space="preserve"> HYPERLINK \l "_Toc116051293" </w:instrText>
      </w:r>
      <w:r>
        <w:fldChar w:fldCharType="separate"/>
      </w:r>
      <w:r>
        <w:rPr>
          <w:rStyle w:val="30"/>
          <w:rFonts w:hint="eastAsia"/>
          <w:sz w:val="32"/>
        </w:rPr>
        <w:t>第二章</w:t>
      </w:r>
      <w:r>
        <w:rPr>
          <w:rStyle w:val="30"/>
          <w:sz w:val="32"/>
        </w:rPr>
        <w:t xml:space="preserve">  </w:t>
      </w:r>
      <w:r>
        <w:rPr>
          <w:rStyle w:val="30"/>
          <w:rFonts w:hint="eastAsia"/>
          <w:sz w:val="32"/>
        </w:rPr>
        <w:t>报价人须知</w:t>
      </w:r>
      <w:r>
        <w:rPr>
          <w:sz w:val="32"/>
        </w:rPr>
        <w:tab/>
      </w:r>
      <w:r>
        <w:rPr>
          <w:sz w:val="32"/>
        </w:rPr>
        <w:fldChar w:fldCharType="begin"/>
      </w:r>
      <w:r>
        <w:rPr>
          <w:sz w:val="32"/>
        </w:rPr>
        <w:instrText xml:space="preserve"> PAGEREF _Toc116051293 \h </w:instrText>
      </w:r>
      <w:r>
        <w:rPr>
          <w:sz w:val="32"/>
        </w:rPr>
        <w:fldChar w:fldCharType="separate"/>
      </w:r>
      <w:r>
        <w:rPr>
          <w:sz w:val="32"/>
        </w:rPr>
        <w:t>5</w:t>
      </w:r>
      <w:r>
        <w:rPr>
          <w:sz w:val="32"/>
        </w:rPr>
        <w:fldChar w:fldCharType="end"/>
      </w:r>
      <w:r>
        <w:rPr>
          <w:sz w:val="32"/>
        </w:rPr>
        <w:fldChar w:fldCharType="end"/>
      </w:r>
    </w:p>
    <w:p>
      <w:pPr>
        <w:pStyle w:val="20"/>
        <w:tabs>
          <w:tab w:val="right" w:leader="dot" w:pos="9629"/>
        </w:tabs>
        <w:spacing w:line="480" w:lineRule="auto"/>
        <w:rPr>
          <w:rFonts w:asciiTheme="minorHAnsi" w:hAnsiTheme="minorHAnsi" w:eastAsiaTheme="minorEastAsia" w:cstheme="minorBidi"/>
          <w:sz w:val="32"/>
          <w:szCs w:val="22"/>
        </w:rPr>
      </w:pPr>
      <w:r>
        <w:fldChar w:fldCharType="begin"/>
      </w:r>
      <w:r>
        <w:instrText xml:space="preserve"> HYPERLINK \l "_Toc116051294" </w:instrText>
      </w:r>
      <w:r>
        <w:fldChar w:fldCharType="separate"/>
      </w:r>
      <w:r>
        <w:rPr>
          <w:rStyle w:val="30"/>
          <w:rFonts w:hint="eastAsia"/>
          <w:sz w:val="32"/>
        </w:rPr>
        <w:t>第三章</w:t>
      </w:r>
      <w:r>
        <w:rPr>
          <w:rStyle w:val="30"/>
          <w:sz w:val="32"/>
        </w:rPr>
        <w:t xml:space="preserve">  </w:t>
      </w:r>
      <w:r>
        <w:rPr>
          <w:rStyle w:val="30"/>
          <w:rFonts w:hint="eastAsia"/>
          <w:sz w:val="32"/>
        </w:rPr>
        <w:t>合同条款及格式</w:t>
      </w:r>
      <w:r>
        <w:rPr>
          <w:sz w:val="32"/>
        </w:rPr>
        <w:tab/>
      </w:r>
      <w:r>
        <w:rPr>
          <w:sz w:val="32"/>
        </w:rPr>
        <w:fldChar w:fldCharType="begin"/>
      </w:r>
      <w:r>
        <w:rPr>
          <w:sz w:val="32"/>
        </w:rPr>
        <w:instrText xml:space="preserve"> PAGEREF _Toc116051294 \h </w:instrText>
      </w:r>
      <w:r>
        <w:rPr>
          <w:sz w:val="32"/>
        </w:rPr>
        <w:fldChar w:fldCharType="separate"/>
      </w:r>
      <w:r>
        <w:rPr>
          <w:sz w:val="32"/>
        </w:rPr>
        <w:t>6</w:t>
      </w:r>
      <w:r>
        <w:rPr>
          <w:sz w:val="32"/>
        </w:rPr>
        <w:fldChar w:fldCharType="end"/>
      </w:r>
      <w:r>
        <w:rPr>
          <w:sz w:val="32"/>
        </w:rPr>
        <w:fldChar w:fldCharType="end"/>
      </w:r>
    </w:p>
    <w:p>
      <w:pPr>
        <w:pStyle w:val="20"/>
        <w:tabs>
          <w:tab w:val="right" w:leader="dot" w:pos="9629"/>
        </w:tabs>
        <w:spacing w:line="480" w:lineRule="auto"/>
        <w:rPr>
          <w:rFonts w:asciiTheme="minorHAnsi" w:hAnsiTheme="minorHAnsi" w:eastAsiaTheme="minorEastAsia" w:cstheme="minorBidi"/>
          <w:sz w:val="32"/>
          <w:szCs w:val="22"/>
        </w:rPr>
      </w:pPr>
      <w:r>
        <w:fldChar w:fldCharType="begin"/>
      </w:r>
      <w:r>
        <w:instrText xml:space="preserve"> HYPERLINK \l "_Toc116051295" </w:instrText>
      </w:r>
      <w:r>
        <w:fldChar w:fldCharType="separate"/>
      </w:r>
      <w:r>
        <w:rPr>
          <w:rStyle w:val="30"/>
          <w:rFonts w:hint="eastAsia"/>
          <w:sz w:val="32"/>
        </w:rPr>
        <w:t>第四章</w:t>
      </w:r>
      <w:r>
        <w:rPr>
          <w:rStyle w:val="30"/>
          <w:sz w:val="32"/>
        </w:rPr>
        <w:t xml:space="preserve"> </w:t>
      </w:r>
      <w:r>
        <w:rPr>
          <w:rStyle w:val="30"/>
          <w:rFonts w:hint="eastAsia"/>
          <w:sz w:val="32"/>
        </w:rPr>
        <w:t>项目需求</w:t>
      </w:r>
      <w:r>
        <w:rPr>
          <w:sz w:val="32"/>
        </w:rPr>
        <w:tab/>
      </w:r>
      <w:r>
        <w:rPr>
          <w:sz w:val="32"/>
        </w:rPr>
        <w:fldChar w:fldCharType="begin"/>
      </w:r>
      <w:r>
        <w:rPr>
          <w:sz w:val="32"/>
        </w:rPr>
        <w:instrText xml:space="preserve"> PAGEREF _Toc116051295 \h </w:instrText>
      </w:r>
      <w:r>
        <w:rPr>
          <w:sz w:val="32"/>
        </w:rPr>
        <w:fldChar w:fldCharType="separate"/>
      </w:r>
      <w:r>
        <w:rPr>
          <w:sz w:val="32"/>
        </w:rPr>
        <w:t>11</w:t>
      </w:r>
      <w:r>
        <w:rPr>
          <w:sz w:val="32"/>
        </w:rPr>
        <w:fldChar w:fldCharType="end"/>
      </w:r>
      <w:r>
        <w:rPr>
          <w:sz w:val="32"/>
        </w:rPr>
        <w:fldChar w:fldCharType="end"/>
      </w:r>
    </w:p>
    <w:p>
      <w:pPr>
        <w:pStyle w:val="20"/>
        <w:tabs>
          <w:tab w:val="right" w:leader="dot" w:pos="9629"/>
        </w:tabs>
        <w:spacing w:line="480" w:lineRule="auto"/>
        <w:rPr>
          <w:rFonts w:asciiTheme="minorHAnsi" w:hAnsiTheme="minorHAnsi" w:eastAsiaTheme="minorEastAsia" w:cstheme="minorBidi"/>
          <w:szCs w:val="22"/>
        </w:rPr>
      </w:pPr>
      <w:r>
        <w:fldChar w:fldCharType="begin"/>
      </w:r>
      <w:r>
        <w:instrText xml:space="preserve"> HYPERLINK \l "_Toc116051296" </w:instrText>
      </w:r>
      <w:r>
        <w:fldChar w:fldCharType="separate"/>
      </w:r>
      <w:r>
        <w:rPr>
          <w:rStyle w:val="30"/>
          <w:rFonts w:hint="eastAsia"/>
          <w:sz w:val="32"/>
        </w:rPr>
        <w:t>第五章</w:t>
      </w:r>
      <w:r>
        <w:rPr>
          <w:rStyle w:val="30"/>
          <w:sz w:val="32"/>
        </w:rPr>
        <w:t xml:space="preserve">  </w:t>
      </w:r>
      <w:r>
        <w:rPr>
          <w:rStyle w:val="30"/>
          <w:rFonts w:hint="eastAsia"/>
          <w:sz w:val="32"/>
        </w:rPr>
        <w:t>询价响应文件的组成和格式</w:t>
      </w:r>
      <w:r>
        <w:rPr>
          <w:sz w:val="32"/>
        </w:rPr>
        <w:tab/>
      </w:r>
      <w:r>
        <w:rPr>
          <w:sz w:val="32"/>
        </w:rPr>
        <w:fldChar w:fldCharType="begin"/>
      </w:r>
      <w:r>
        <w:rPr>
          <w:sz w:val="32"/>
        </w:rPr>
        <w:instrText xml:space="preserve"> PAGEREF _Toc116051296 \h </w:instrText>
      </w:r>
      <w:r>
        <w:rPr>
          <w:sz w:val="32"/>
        </w:rPr>
        <w:fldChar w:fldCharType="separate"/>
      </w:r>
      <w:r>
        <w:rPr>
          <w:sz w:val="32"/>
        </w:rPr>
        <w:t>16</w:t>
      </w:r>
      <w:r>
        <w:rPr>
          <w:sz w:val="32"/>
        </w:rPr>
        <w:fldChar w:fldCharType="end"/>
      </w:r>
      <w:r>
        <w:rPr>
          <w:sz w:val="32"/>
        </w:rPr>
        <w:fldChar w:fldCharType="end"/>
      </w:r>
    </w:p>
    <w:p>
      <w:pPr>
        <w:pStyle w:val="18"/>
        <w:spacing w:line="360" w:lineRule="auto"/>
        <w:jc w:val="right"/>
        <w:rPr>
          <w:rFonts w:ascii="宋体" w:hAnsi="宋体" w:eastAsia="宋体"/>
          <w:b w:val="0"/>
          <w:color w:val="000000" w:themeColor="text1"/>
          <w:sz w:val="24"/>
          <w:szCs w:val="24"/>
          <w14:textFill>
            <w14:solidFill>
              <w14:schemeClr w14:val="tx1"/>
            </w14:solidFill>
          </w14:textFill>
        </w:rPr>
      </w:pPr>
      <w:r>
        <w:rPr>
          <w:rFonts w:ascii="宋体" w:hAnsi="宋体" w:eastAsia="宋体"/>
          <w:b w:val="0"/>
          <w:color w:val="000000" w:themeColor="text1"/>
          <w:sz w:val="24"/>
          <w:szCs w:val="24"/>
          <w14:textFill>
            <w14:solidFill>
              <w14:schemeClr w14:val="tx1"/>
            </w14:solidFill>
          </w14:textFill>
        </w:rPr>
        <w:fldChar w:fldCharType="end"/>
      </w:r>
    </w:p>
    <w:p>
      <w:pPr>
        <w:pStyle w:val="19"/>
        <w:outlineLvl w:val="9"/>
        <w:rPr>
          <w:color w:val="000000" w:themeColor="text1"/>
          <w14:textFill>
            <w14:solidFill>
              <w14:schemeClr w14:val="tx1"/>
            </w14:solidFill>
          </w14:textFill>
        </w:rPr>
      </w:pPr>
    </w:p>
    <w:p>
      <w:pPr>
        <w:pStyle w:val="19"/>
        <w:outlineLvl w:val="9"/>
        <w:rPr>
          <w:color w:val="000000" w:themeColor="text1"/>
          <w14:textFill>
            <w14:solidFill>
              <w14:schemeClr w14:val="tx1"/>
            </w14:solidFill>
          </w14:textFill>
        </w:rPr>
      </w:pPr>
    </w:p>
    <w:p>
      <w:pPr>
        <w:pStyle w:val="19"/>
        <w:outlineLvl w:val="9"/>
        <w:rPr>
          <w:color w:val="000000" w:themeColor="text1"/>
          <w14:textFill>
            <w14:solidFill>
              <w14:schemeClr w14:val="tx1"/>
            </w14:solidFill>
          </w14:textFill>
        </w:rPr>
      </w:pPr>
    </w:p>
    <w:p>
      <w:pPr>
        <w:pStyle w:val="19"/>
        <w:outlineLvl w:val="9"/>
        <w:rPr>
          <w:color w:val="000000" w:themeColor="text1"/>
          <w14:textFill>
            <w14:solidFill>
              <w14:schemeClr w14:val="tx1"/>
            </w14:solidFill>
          </w14:textFill>
        </w:rPr>
      </w:pPr>
    </w:p>
    <w:p>
      <w:pPr>
        <w:pStyle w:val="19"/>
        <w:outlineLvl w:val="9"/>
        <w:rPr>
          <w:color w:val="000000" w:themeColor="text1"/>
          <w14:textFill>
            <w14:solidFill>
              <w14:schemeClr w14:val="tx1"/>
            </w14:solidFill>
          </w14:textFill>
        </w:rPr>
      </w:pPr>
    </w:p>
    <w:p>
      <w:pPr>
        <w:pStyle w:val="19"/>
        <w:outlineLvl w:val="9"/>
        <w:rPr>
          <w:color w:val="000000" w:themeColor="text1"/>
          <w14:textFill>
            <w14:solidFill>
              <w14:schemeClr w14:val="tx1"/>
            </w14:solidFill>
          </w14:textFill>
        </w:rPr>
      </w:pPr>
    </w:p>
    <w:p>
      <w:pPr>
        <w:pStyle w:val="19"/>
        <w:outlineLvl w:val="9"/>
        <w:rPr>
          <w:color w:val="000000" w:themeColor="text1"/>
          <w14:textFill>
            <w14:solidFill>
              <w14:schemeClr w14:val="tx1"/>
            </w14:solidFill>
          </w14:textFill>
        </w:rPr>
      </w:pPr>
    </w:p>
    <w:p>
      <w:pPr>
        <w:pStyle w:val="19"/>
        <w:outlineLvl w:val="9"/>
        <w:rPr>
          <w:color w:val="000000" w:themeColor="text1"/>
          <w14:textFill>
            <w14:solidFill>
              <w14:schemeClr w14:val="tx1"/>
            </w14:solidFill>
          </w14:textFill>
        </w:rPr>
      </w:pPr>
    </w:p>
    <w:p>
      <w:pPr>
        <w:pStyle w:val="19"/>
        <w:outlineLvl w:val="9"/>
        <w:rPr>
          <w:color w:val="000000" w:themeColor="text1"/>
          <w14:textFill>
            <w14:solidFill>
              <w14:schemeClr w14:val="tx1"/>
            </w14:solidFill>
          </w14:textFill>
        </w:rPr>
      </w:pPr>
    </w:p>
    <w:p>
      <w:pPr>
        <w:pStyle w:val="19"/>
        <w:outlineLvl w:val="9"/>
        <w:rPr>
          <w:color w:val="000000" w:themeColor="text1"/>
          <w14:textFill>
            <w14:solidFill>
              <w14:schemeClr w14:val="tx1"/>
            </w14:solidFill>
          </w14:textFill>
        </w:rPr>
      </w:pPr>
    </w:p>
    <w:p>
      <w:pPr>
        <w:pStyle w:val="19"/>
        <w:rPr>
          <w:color w:val="000000" w:themeColor="text1"/>
          <w14:textFill>
            <w14:solidFill>
              <w14:schemeClr w14:val="tx1"/>
            </w14:solidFill>
          </w14:textFill>
        </w:rPr>
      </w:pPr>
      <w:bookmarkStart w:id="0" w:name="_Toc116051292"/>
      <w:r>
        <w:rPr>
          <w:rFonts w:hint="eastAsia"/>
          <w:color w:val="000000" w:themeColor="text1"/>
          <w14:textFill>
            <w14:solidFill>
              <w14:schemeClr w14:val="tx1"/>
            </w14:solidFill>
          </w14:textFill>
        </w:rPr>
        <w:t>第一章 询价公告</w:t>
      </w:r>
      <w:bookmarkEnd w:id="0"/>
    </w:p>
    <w:p>
      <w:pPr>
        <w:rPr>
          <w:rFonts w:asciiTheme="minorEastAsia" w:hAnsiTheme="minorEastAsia" w:eastAsiaTheme="minorEastAsia"/>
          <w:color w:val="000000" w:themeColor="text1"/>
          <w14:textFill>
            <w14:solidFill>
              <w14:schemeClr w14:val="tx1"/>
            </w14:solidFill>
          </w14:textFill>
        </w:rPr>
      </w:pPr>
    </w:p>
    <w:p>
      <w:pPr>
        <w:pBdr>
          <w:top w:val="single" w:color="auto" w:sz="4" w:space="1"/>
          <w:left w:val="single" w:color="auto" w:sz="4" w:space="4"/>
          <w:bottom w:val="single" w:color="auto" w:sz="4" w:space="12"/>
          <w:right w:val="single" w:color="auto" w:sz="4" w:space="4"/>
        </w:pBd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项目概况</w:t>
      </w:r>
    </w:p>
    <w:p>
      <w:pPr>
        <w:pBdr>
          <w:top w:val="single" w:color="auto" w:sz="4" w:space="1"/>
          <w:left w:val="single" w:color="auto" w:sz="4" w:space="4"/>
          <w:bottom w:val="single" w:color="auto" w:sz="4" w:space="12"/>
          <w:right w:val="single" w:color="auto" w:sz="4" w:space="4"/>
        </w:pBd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江苏医药职业学院审计信息系统软件采购</w:t>
      </w:r>
      <w:r>
        <w:rPr>
          <w:rFonts w:hint="eastAsia" w:asciiTheme="minorEastAsia" w:hAnsiTheme="minorEastAsia" w:eastAsiaTheme="minorEastAsia" w:cstheme="minorEastAsia"/>
          <w:color w:val="000000" w:themeColor="text1"/>
          <w:sz w:val="28"/>
          <w:szCs w:val="28"/>
          <w14:textFill>
            <w14:solidFill>
              <w14:schemeClr w14:val="tx1"/>
            </w14:solidFill>
          </w14:textFill>
        </w:rPr>
        <w:t>项目的潜在供应商应在</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江苏医药职业学院网 </w:t>
      </w:r>
      <w:r>
        <w:rPr>
          <w:rFonts w:hint="eastAsia" w:asciiTheme="minorEastAsia" w:hAnsiTheme="minorEastAsia" w:eastAsiaTheme="minorEastAsia" w:cstheme="minorEastAsia"/>
          <w:color w:val="000000" w:themeColor="text1"/>
          <w:sz w:val="28"/>
          <w:szCs w:val="28"/>
          <w14:textFill>
            <w14:solidFill>
              <w14:schemeClr w14:val="tx1"/>
            </w14:solidFill>
          </w14:textFill>
        </w:rPr>
        <w:t>获取采购文件，并于</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2022</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年10月11日15点00分</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（北京时间）前提交响应文件</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spacing w:line="52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一、项目基本情况</w:t>
      </w:r>
    </w:p>
    <w:p>
      <w:pPr>
        <w:spacing w:line="520" w:lineRule="exact"/>
        <w:ind w:firstLine="560" w:firstLineChars="200"/>
        <w:rPr>
          <w:rFonts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14:textFill>
            <w14:solidFill>
              <w14:schemeClr w14:val="tx1"/>
            </w14:solidFill>
          </w14:textFill>
        </w:rPr>
        <w:t>SY2022-092-HW-XJ</w:t>
      </w:r>
    </w:p>
    <w:p>
      <w:pPr>
        <w:spacing w:line="520" w:lineRule="exact"/>
        <w:ind w:firstLine="560" w:firstLineChars="200"/>
        <w:rPr>
          <w:rFonts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项目名称：江苏医药职业学院审计信息系统软件采购</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采购方式：□竞争性谈判 </w:t>
      </w:r>
      <w:r>
        <w:rPr>
          <w:rFonts w:hint="eastAsia" w:asciiTheme="minorEastAsia" w:hAnsiTheme="minorEastAsia" w:eastAsiaTheme="minorEastAsia" w:cstheme="minorEastAsia"/>
          <w:color w:val="000000" w:themeColor="text1"/>
          <w:sz w:val="28"/>
          <w:szCs w:val="28"/>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竞争性磋商 </w:t>
      </w:r>
      <w:r>
        <w:rPr>
          <w:rFonts w:hint="eastAsia" w:asciiTheme="minorEastAsia" w:hAnsiTheme="minorEastAsia" w:eastAsiaTheme="minorEastAsia" w:cstheme="minorEastAsia"/>
          <w:color w:val="000000" w:themeColor="text1"/>
          <w:sz w:val="28"/>
          <w:szCs w:val="28"/>
          <w:bdr w:val="single" w:color="auto" w:sz="4" w:space="0"/>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询价</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预算金额：8万元</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最高限价：8万元</w:t>
      </w:r>
    </w:p>
    <w:p>
      <w:pPr>
        <w:spacing w:line="520" w:lineRule="exact"/>
        <w:ind w:firstLine="560" w:firstLineChars="200"/>
        <w:rPr>
          <w:rFonts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采购需求：详见询价文件</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本项目</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不接受</w:t>
      </w:r>
      <w:r>
        <w:rPr>
          <w:rFonts w:hint="eastAsia" w:asciiTheme="minorEastAsia" w:hAnsiTheme="minorEastAsia" w:eastAsiaTheme="minorEastAsia" w:cstheme="minorEastAsia"/>
          <w:color w:val="000000" w:themeColor="text1"/>
          <w:sz w:val="28"/>
          <w:szCs w:val="28"/>
          <w14:textFill>
            <w14:solidFill>
              <w14:schemeClr w14:val="tx1"/>
            </w14:solidFill>
          </w14:textFill>
        </w:rPr>
        <w:t>联合体。</w:t>
      </w:r>
    </w:p>
    <w:p>
      <w:pPr>
        <w:spacing w:line="520" w:lineRule="exact"/>
        <w:rPr>
          <w:rFonts w:asciiTheme="minorEastAsia" w:hAnsiTheme="minorEastAsia" w:eastAsiaTheme="minorEastAsia" w:cstheme="minorEastAsia"/>
          <w:b/>
          <w:color w:val="000000" w:themeColor="text1"/>
          <w:sz w:val="28"/>
          <w:szCs w:val="28"/>
          <w14:textFill>
            <w14:solidFill>
              <w14:schemeClr w14:val="tx1"/>
            </w14:solidFill>
          </w14:textFill>
        </w:rPr>
      </w:pPr>
      <w:bookmarkStart w:id="1" w:name="_Toc35393630"/>
      <w:bookmarkStart w:id="2" w:name="_Toc35393799"/>
      <w:bookmarkStart w:id="3" w:name="_Toc28359090"/>
      <w:bookmarkStart w:id="4" w:name="_Toc28359013"/>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 二、申请人的资格要求：</w:t>
      </w:r>
      <w:bookmarkEnd w:id="1"/>
      <w:bookmarkEnd w:id="2"/>
      <w:bookmarkEnd w:id="3"/>
      <w:bookmarkEnd w:id="4"/>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bookmarkStart w:id="5" w:name="_Toc28359014"/>
      <w:bookmarkStart w:id="6" w:name="_Toc28359091"/>
      <w:bookmarkStart w:id="7" w:name="_Toc35393631"/>
      <w:bookmarkStart w:id="8" w:name="_Toc35393800"/>
      <w:r>
        <w:rPr>
          <w:rFonts w:hint="eastAsia" w:asciiTheme="minorEastAsia" w:hAnsiTheme="minorEastAsia" w:eastAsiaTheme="minorEastAsia" w:cstheme="minorEastAsia"/>
          <w:color w:val="000000" w:themeColor="text1"/>
          <w:sz w:val="28"/>
          <w:szCs w:val="28"/>
          <w14:textFill>
            <w14:solidFill>
              <w14:schemeClr w14:val="tx1"/>
            </w14:solidFill>
          </w14:textFill>
        </w:rPr>
        <w:t>1.满足《中华人民共和国政府采购法》第二十二条规定，并提供下列材料；</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(1)法人或者其他组织的营业执照等证明文件，自然人的身份证明；</w:t>
      </w:r>
      <w:r>
        <w:rPr>
          <w:rFonts w:hint="eastAsia" w:asciiTheme="minorEastAsia" w:hAnsiTheme="minorEastAsia" w:eastAsiaTheme="minorEastAsia" w:cs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14:textFill>
            <w14:solidFill>
              <w14:schemeClr w14:val="tx1"/>
            </w14:solidFill>
          </w14:textFill>
        </w:rPr>
        <w:t>　　(2)上一年度的财务报表（成立不满一年不需提供）；</w:t>
      </w:r>
    </w:p>
    <w:p>
      <w:pPr>
        <w:spacing w:line="520" w:lineRule="exact"/>
        <w:ind w:firstLine="560" w:firstLineChars="20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(3)依法缴纳税收和社会保障资金的相关材料；</w:t>
      </w:r>
      <w:r>
        <w:rPr>
          <w:rFonts w:hint="eastAsia" w:asciiTheme="minorEastAsia" w:hAnsiTheme="minorEastAsia" w:eastAsiaTheme="minorEastAsia" w:cs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14:textFill>
            <w14:solidFill>
              <w14:schemeClr w14:val="tx1"/>
            </w14:solidFill>
          </w14:textFill>
        </w:rPr>
        <w:t>　　(4)具备履行合同所必需的设备和专业技术能力的书面声明；</w:t>
      </w:r>
      <w:r>
        <w:rPr>
          <w:rFonts w:hint="eastAsia" w:asciiTheme="minorEastAsia" w:hAnsiTheme="minorEastAsia" w:eastAsiaTheme="minorEastAsia" w:cs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14:textFill>
            <w14:solidFill>
              <w14:schemeClr w14:val="tx1"/>
            </w14:solidFill>
          </w14:textFill>
        </w:rPr>
        <w:t>　　(5)参加政府采购活动前3年内在经营活动中没有重大违法记录的书面声明；</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2.落实政府采购政策需满足的资格要求：（无)</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3.本项目的特定资格要求：</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未被“信用中国”网站（www.creditchina.gov.cn）列入失信被执行人、重大税收违法案件当事人名单、政府采购严重失信行为记录名单。</w:t>
      </w:r>
    </w:p>
    <w:p>
      <w:pPr>
        <w:spacing w:line="52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 三、获取采购文件</w:t>
      </w:r>
      <w:bookmarkEnd w:id="5"/>
      <w:bookmarkEnd w:id="6"/>
      <w:bookmarkEnd w:id="7"/>
      <w:bookmarkEnd w:id="8"/>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1.本询价文件提供及公告期限：自询价公告在 “江苏医药职业学院网” 发布之日起3个工作日。本询价文件在 “江苏医药职业学院网”上下载，有关本次采购的事项若存在变动和修改，敬请及时关注发布的信息更正公告。</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2.询价供应商通过其他渠道获取的与本项目采购相关的资料，采购人一律不予承认且不承担由此引发的一切责任。</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本询价项目资料费为人民币200元（交纳方式：现金、支付宝18662096009等），投标人交纳的招标资料费，无论中标与否均不予退还,请将缴费成功的截图和《投标报名确认函》，（填写打印后加盖公章），发送至代理公司邮箱（电子邮箱：xsyg007@163.com，邮件标题备注企业全称+项目简称）。</w:t>
      </w:r>
    </w:p>
    <w:p>
      <w:pPr>
        <w:spacing w:line="520" w:lineRule="exact"/>
        <w:rPr>
          <w:rFonts w:asciiTheme="minorEastAsia" w:hAnsiTheme="minorEastAsia" w:eastAsiaTheme="minorEastAsia" w:cstheme="minorEastAsia"/>
          <w:b/>
          <w:color w:val="000000" w:themeColor="text1"/>
          <w:sz w:val="28"/>
          <w:szCs w:val="28"/>
          <w14:textFill>
            <w14:solidFill>
              <w14:schemeClr w14:val="tx1"/>
            </w14:solidFill>
          </w14:textFill>
        </w:rPr>
      </w:pPr>
      <w:bookmarkStart w:id="9" w:name="_Toc28359092"/>
      <w:bookmarkStart w:id="10" w:name="_Toc35393632"/>
      <w:bookmarkStart w:id="11" w:name="_Toc35393801"/>
      <w:bookmarkStart w:id="12" w:name="_Toc28359015"/>
      <w:r>
        <w:rPr>
          <w:rFonts w:hint="eastAsia" w:asciiTheme="minorEastAsia" w:hAnsiTheme="minorEastAsia" w:eastAsiaTheme="minorEastAsia" w:cstheme="minorEastAsia"/>
          <w:b/>
          <w:color w:val="000000" w:themeColor="text1"/>
          <w:sz w:val="28"/>
          <w:szCs w:val="28"/>
          <w14:textFill>
            <w14:solidFill>
              <w14:schemeClr w14:val="tx1"/>
            </w14:solidFill>
          </w14:textFill>
        </w:rPr>
        <w:t>四、响应文件提交</w:t>
      </w:r>
      <w:bookmarkEnd w:id="9"/>
      <w:bookmarkEnd w:id="10"/>
      <w:bookmarkEnd w:id="11"/>
      <w:bookmarkEnd w:id="12"/>
    </w:p>
    <w:p>
      <w:pPr>
        <w:spacing w:line="520" w:lineRule="exact"/>
        <w:ind w:firstLine="560" w:firstLineChars="200"/>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截止时间：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2022</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年10月11日15点00分</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（北京时间）</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地点：盐城市解放南路283号行政楼二楼208室</w:t>
      </w:r>
    </w:p>
    <w:p>
      <w:pPr>
        <w:spacing w:line="52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五、递交投标文件要求：</w:t>
      </w:r>
    </w:p>
    <w:p>
      <w:pPr>
        <w:spacing w:line="48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将报价文件装订密封加盖公章后，递交至江苏医药职业学院解放校区行政楼208室（盐城市解放南路283号）。</w:t>
      </w:r>
    </w:p>
    <w:p>
      <w:pPr>
        <w:spacing w:line="52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六、其他补充事宜</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1.投标文件要求提供正本1份，副本2份。</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如确定参加询价，请如实填写《投标报名确认函》，填写打印后加盖公章，拍照或扫描发送至邮箱（电子邮箱：</w:t>
      </w:r>
      <w:r>
        <w:rPr>
          <w:rFonts w:asciiTheme="minorEastAsia" w:hAnsiTheme="minorEastAsia" w:eastAsiaTheme="minorEastAsia" w:cstheme="minorEastAsia"/>
          <w:color w:val="000000" w:themeColor="text1"/>
          <w:sz w:val="28"/>
          <w:szCs w:val="28"/>
          <w14:textFill>
            <w14:solidFill>
              <w14:schemeClr w14:val="tx1"/>
            </w14:solidFill>
          </w14:textFill>
        </w:rPr>
        <w:t>532223373@qq.com</w:t>
      </w:r>
      <w:r>
        <w:rPr>
          <w:rFonts w:hint="eastAsia" w:asciiTheme="minorEastAsia" w:hAnsiTheme="minorEastAsia" w:eastAsiaTheme="minorEastAsia" w:cstheme="minorEastAsia"/>
          <w:color w:val="000000" w:themeColor="text1"/>
          <w:sz w:val="28"/>
          <w:szCs w:val="28"/>
          <w14:textFill>
            <w14:solidFill>
              <w14:schemeClr w14:val="tx1"/>
            </w14:solidFill>
          </w14:textFill>
        </w:rPr>
        <w:t>，邮件标题备注企业全称+项目简称，联系电话：</w:t>
      </w:r>
      <w:r>
        <w:rPr>
          <w:rFonts w:asciiTheme="minorEastAsia" w:hAnsiTheme="minorEastAsia" w:eastAsiaTheme="minorEastAsia" w:cstheme="minorEastAsia"/>
          <w:color w:val="000000" w:themeColor="text1"/>
          <w:sz w:val="28"/>
          <w:szCs w:val="28"/>
          <w14:textFill>
            <w14:solidFill>
              <w14:schemeClr w14:val="tx1"/>
            </w14:solidFill>
          </w14:textFill>
        </w:rPr>
        <w:t>0515-88550311</w:t>
      </w:r>
      <w:r>
        <w:rPr>
          <w:rFonts w:hint="eastAsia" w:asciiTheme="minorEastAsia" w:hAnsiTheme="minorEastAsia" w:eastAsiaTheme="minorEastAsia" w:cstheme="minorEastAsia"/>
          <w:color w:val="000000" w:themeColor="text1"/>
          <w:sz w:val="28"/>
          <w:szCs w:val="28"/>
          <w14:textFill>
            <w14:solidFill>
              <w14:schemeClr w14:val="tx1"/>
            </w14:solidFill>
          </w14:textFill>
        </w:rPr>
        <w:t>）。如供应商未按上述要求去做，将自行承担所产生的风险。有关本次询价的事项若存在变动或修改，敬请及时关注“江苏医药职业学院网”发布的信息或更正公告。</w:t>
      </w:r>
    </w:p>
    <w:p>
      <w:pPr>
        <w:spacing w:line="52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asciiTheme="minorEastAsia" w:hAnsiTheme="minorEastAsia" w:eastAsiaTheme="minorEastAsia" w:cstheme="minorEastAsia"/>
          <w:color w:val="000000" w:themeColor="text1"/>
          <w:sz w:val="28"/>
          <w:szCs w:val="28"/>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因疫情防控需要，投标人无需到达开标现场，本项目投标文件可以邮寄方式提交（密封完好，响应文件提交截止时间前（地点：盐城市解放南路283号国资处，收件人：刘伟，电话：</w:t>
      </w:r>
      <w:r>
        <w:rPr>
          <w:rFonts w:asciiTheme="minorEastAsia" w:hAnsiTheme="minorEastAsia" w:eastAsiaTheme="minorEastAsia" w:cstheme="minorEastAsia"/>
          <w:color w:val="000000" w:themeColor="text1"/>
          <w:sz w:val="28"/>
          <w:szCs w:val="28"/>
          <w14:textFill>
            <w14:solidFill>
              <w14:schemeClr w14:val="tx1"/>
            </w14:solidFill>
          </w14:textFill>
        </w:rPr>
        <w:t>18795479576）</w:t>
      </w:r>
      <w:r>
        <w:rPr>
          <w:rFonts w:hint="eastAsia" w:asciiTheme="minorEastAsia" w:hAnsiTheme="minorEastAsia" w:eastAsiaTheme="minorEastAsia" w:cstheme="minorEastAsia"/>
          <w:color w:val="000000" w:themeColor="text1"/>
          <w:sz w:val="28"/>
          <w:szCs w:val="28"/>
          <w14:textFill>
            <w14:solidFill>
              <w14:schemeClr w14:val="tx1"/>
            </w14:solidFill>
          </w14:textFill>
        </w:rPr>
        <w:t>，以快递签收时间为准，快递风险自行承担，逾期或密封不完整的不予接收；</w:t>
      </w:r>
    </w:p>
    <w:p>
      <w:pPr>
        <w:spacing w:line="520" w:lineRule="exac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七、凡对本次采购提出询问，请按以下方式联系。</w:t>
      </w:r>
    </w:p>
    <w:p>
      <w:pPr>
        <w:spacing w:line="520" w:lineRule="exact"/>
        <w:ind w:left="1130" w:leftChars="371" w:hanging="351" w:hangingChars="125"/>
        <w:jc w:val="lef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1.采购人信息</w:t>
      </w:r>
    </w:p>
    <w:p>
      <w:pPr>
        <w:spacing w:line="520" w:lineRule="exact"/>
        <w:ind w:left="1129" w:leftChars="371" w:hanging="350" w:hangingChars="125"/>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名    称：江苏医药职业学院</w:t>
      </w:r>
    </w:p>
    <w:p>
      <w:pPr>
        <w:spacing w:line="520" w:lineRule="exact"/>
        <w:ind w:left="1129" w:leftChars="371" w:hanging="350" w:hangingChars="125"/>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地    址：盐城市解放南路283号</w:t>
      </w:r>
    </w:p>
    <w:p>
      <w:pPr>
        <w:spacing w:line="520" w:lineRule="exact"/>
        <w:ind w:left="1129" w:leftChars="371" w:hanging="350" w:hangingChars="125"/>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联 系 人：刘老师      </w:t>
      </w:r>
    </w:p>
    <w:p>
      <w:pPr>
        <w:spacing w:line="520" w:lineRule="exact"/>
        <w:ind w:left="1129" w:leftChars="371" w:hanging="350" w:hangingChars="125"/>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联系电话：</w:t>
      </w:r>
      <w:bookmarkStart w:id="13" w:name="_Toc35393807"/>
      <w:bookmarkStart w:id="14" w:name="_Toc28359020"/>
      <w:bookmarkStart w:id="15" w:name="_Toc28359097"/>
      <w:bookmarkStart w:id="16" w:name="_Toc35393638"/>
      <w:r>
        <w:rPr>
          <w:rFonts w:hint="eastAsia" w:asciiTheme="minorEastAsia" w:hAnsiTheme="minorEastAsia" w:eastAsiaTheme="minorEastAsia" w:cstheme="minorEastAsia"/>
          <w:bCs/>
          <w:color w:val="000000" w:themeColor="text1"/>
          <w:sz w:val="28"/>
          <w:szCs w:val="28"/>
          <w14:textFill>
            <w14:solidFill>
              <w14:schemeClr w14:val="tx1"/>
            </w14:solidFill>
          </w14:textFill>
        </w:rPr>
        <w:t>0515-88550311</w:t>
      </w:r>
    </w:p>
    <w:p>
      <w:pPr>
        <w:spacing w:line="520" w:lineRule="exact"/>
        <w:ind w:left="1130" w:leftChars="371" w:hanging="351" w:hangingChars="125"/>
        <w:jc w:val="lef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2.采购代理机构信息</w:t>
      </w:r>
      <w:bookmarkEnd w:id="13"/>
      <w:bookmarkEnd w:id="14"/>
      <w:bookmarkEnd w:id="15"/>
      <w:bookmarkEnd w:id="16"/>
    </w:p>
    <w:p>
      <w:pPr>
        <w:spacing w:line="520" w:lineRule="exact"/>
        <w:ind w:firstLine="840" w:firstLineChars="300"/>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名称：盐城市携手阳光集中采购代理有限公司；</w:t>
      </w:r>
    </w:p>
    <w:p>
      <w:pPr>
        <w:spacing w:line="520" w:lineRule="exact"/>
        <w:ind w:firstLine="840" w:firstLineChars="300"/>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联系方式：万成杨；</w:t>
      </w:r>
    </w:p>
    <w:p>
      <w:pPr>
        <w:spacing w:line="520" w:lineRule="exact"/>
        <w:ind w:firstLine="840" w:firstLineChars="300"/>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电话：17705100013；</w:t>
      </w:r>
    </w:p>
    <w:p>
      <w:pPr>
        <w:spacing w:line="520" w:lineRule="exact"/>
        <w:ind w:firstLine="840" w:firstLineChars="300"/>
        <w:jc w:val="left"/>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邮箱：xsyg007@163.com；</w:t>
      </w:r>
    </w:p>
    <w:p>
      <w:pPr>
        <w:spacing w:line="520" w:lineRule="exact"/>
        <w:ind w:left="1130" w:leftChars="371" w:hanging="351" w:hangingChars="125"/>
        <w:jc w:val="lef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3.项目联系方式</w:t>
      </w:r>
    </w:p>
    <w:p>
      <w:pPr>
        <w:spacing w:line="520" w:lineRule="exact"/>
        <w:ind w:firstLine="840" w:firstLineChars="3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项目联系人：宗老师 </w:t>
      </w:r>
    </w:p>
    <w:p>
      <w:pPr>
        <w:spacing w:line="520" w:lineRule="exact"/>
        <w:ind w:firstLine="840" w:firstLineChars="3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电话：13921817964</w:t>
      </w:r>
    </w:p>
    <w:p>
      <w:pPr>
        <w:spacing w:line="520" w:lineRule="exact"/>
        <w:ind w:left="1130" w:leftChars="371" w:hanging="351" w:hangingChars="125"/>
        <w:jc w:val="lef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4.提醒</w:t>
      </w:r>
    </w:p>
    <w:p>
      <w:pPr>
        <w:spacing w:line="520" w:lineRule="exact"/>
        <w:ind w:left="517" w:leftChars="246" w:firstLine="280" w:firstLineChars="100"/>
        <w:jc w:val="left"/>
        <w:rPr>
          <w:rFonts w:ascii="宋体" w:hAnsi="宋体" w:cs="仿宋"/>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对项目需求部分的询问、质疑请向项目联系人提出，由项目联系人负责答复；对项目招标文件其它部分的询问、质疑向采购人提出。</w:t>
      </w:r>
    </w:p>
    <w:p>
      <w:pPr>
        <w:autoSpaceDE w:val="0"/>
        <w:autoSpaceDN w:val="0"/>
        <w:adjustRightInd w:val="0"/>
        <w:spacing w:line="520" w:lineRule="exact"/>
        <w:jc w:val="left"/>
        <w:rPr>
          <w:rFonts w:ascii="宋体" w:hAnsi="宋体"/>
          <w:color w:val="000000" w:themeColor="text1"/>
          <w:sz w:val="24"/>
          <w14:textFill>
            <w14:solidFill>
              <w14:schemeClr w14:val="tx1"/>
            </w14:solidFill>
          </w14:textFill>
        </w:rPr>
      </w:pPr>
    </w:p>
    <w:p>
      <w:pPr>
        <w:pStyle w:val="19"/>
        <w:outlineLvl w:val="9"/>
        <w:rPr>
          <w:rFonts w:hint="eastAsia"/>
          <w:color w:val="000000" w:themeColor="text1"/>
          <w14:textFill>
            <w14:solidFill>
              <w14:schemeClr w14:val="tx1"/>
            </w14:solidFill>
          </w14:textFill>
        </w:rPr>
      </w:pPr>
    </w:p>
    <w:p>
      <w:pPr>
        <w:pStyle w:val="19"/>
        <w:outlineLvl w:val="9"/>
        <w:rPr>
          <w:rFonts w:hint="eastAsia"/>
          <w:color w:val="000000" w:themeColor="text1"/>
          <w14:textFill>
            <w14:solidFill>
              <w14:schemeClr w14:val="tx1"/>
            </w14:solidFill>
          </w14:textFill>
        </w:rPr>
      </w:pPr>
    </w:p>
    <w:p>
      <w:pPr>
        <w:pStyle w:val="19"/>
        <w:outlineLvl w:val="9"/>
        <w:rPr>
          <w:rFonts w:hint="eastAsia"/>
          <w:color w:val="000000" w:themeColor="text1"/>
          <w14:textFill>
            <w14:solidFill>
              <w14:schemeClr w14:val="tx1"/>
            </w14:solidFill>
          </w14:textFill>
        </w:rPr>
      </w:pPr>
    </w:p>
    <w:p>
      <w:pPr>
        <w:pStyle w:val="19"/>
        <w:outlineLvl w:val="9"/>
        <w:rPr>
          <w:rFonts w:hint="eastAsia"/>
          <w:color w:val="000000" w:themeColor="text1"/>
          <w14:textFill>
            <w14:solidFill>
              <w14:schemeClr w14:val="tx1"/>
            </w14:solidFill>
          </w14:textFill>
        </w:rPr>
      </w:pPr>
    </w:p>
    <w:p>
      <w:pPr>
        <w:pStyle w:val="19"/>
        <w:outlineLvl w:val="9"/>
        <w:rPr>
          <w:rFonts w:hint="eastAsia"/>
          <w:color w:val="000000" w:themeColor="text1"/>
          <w14:textFill>
            <w14:solidFill>
              <w14:schemeClr w14:val="tx1"/>
            </w14:solidFill>
          </w14:textFill>
        </w:rPr>
      </w:pPr>
    </w:p>
    <w:p>
      <w:pPr>
        <w:pStyle w:val="19"/>
        <w:outlineLvl w:val="9"/>
        <w:rPr>
          <w:rFonts w:hint="eastAsia"/>
          <w:color w:val="000000" w:themeColor="text1"/>
          <w14:textFill>
            <w14:solidFill>
              <w14:schemeClr w14:val="tx1"/>
            </w14:solidFill>
          </w14:textFill>
        </w:rPr>
      </w:pPr>
    </w:p>
    <w:p>
      <w:pPr>
        <w:pStyle w:val="19"/>
        <w:outlineLvl w:val="9"/>
        <w:rPr>
          <w:rFonts w:hint="eastAsia"/>
          <w:color w:val="000000" w:themeColor="text1"/>
          <w14:textFill>
            <w14:solidFill>
              <w14:schemeClr w14:val="tx1"/>
            </w14:solidFill>
          </w14:textFill>
        </w:rPr>
      </w:pPr>
    </w:p>
    <w:p>
      <w:pPr>
        <w:pStyle w:val="19"/>
        <w:rPr>
          <w:color w:val="000000" w:themeColor="text1"/>
          <w14:textFill>
            <w14:solidFill>
              <w14:schemeClr w14:val="tx1"/>
            </w14:solidFill>
          </w14:textFill>
        </w:rPr>
      </w:pPr>
      <w:bookmarkStart w:id="17" w:name="_Toc116051293"/>
      <w:r>
        <w:rPr>
          <w:rFonts w:hint="eastAsia"/>
          <w:color w:val="000000" w:themeColor="text1"/>
          <w14:textFill>
            <w14:solidFill>
              <w14:schemeClr w14:val="tx1"/>
            </w14:solidFill>
          </w14:textFill>
        </w:rPr>
        <w:t>第二章  报价人须知</w:t>
      </w:r>
      <w:bookmarkEnd w:id="17"/>
    </w:p>
    <w:p>
      <w:pPr>
        <w:pStyle w:val="33"/>
        <w:rPr>
          <w:rFonts w:ascii="宋体" w:hAnsi="宋体"/>
          <w:color w:val="000000" w:themeColor="text1"/>
          <w14:textFill>
            <w14:solidFill>
              <w14:schemeClr w14:val="tx1"/>
            </w14:solidFill>
          </w14:textFill>
        </w:rPr>
      </w:pPr>
    </w:p>
    <w:p>
      <w:pPr>
        <w:snapToGrid w:val="0"/>
        <w:spacing w:line="480" w:lineRule="exact"/>
        <w:rPr>
          <w:rFonts w:ascii="宋体" w:hAnsi="宋体" w:cs="仿宋"/>
          <w:bCs/>
          <w:color w:val="000000" w:themeColor="text1"/>
          <w:sz w:val="28"/>
          <w:szCs w:val="28"/>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r>
        <w:rPr>
          <w:rFonts w:hint="eastAsia" w:ascii="宋体" w:hAnsi="宋体" w:cs="仿宋"/>
          <w:bCs/>
          <w:color w:val="000000" w:themeColor="text1"/>
          <w:sz w:val="28"/>
          <w:szCs w:val="28"/>
          <w14:textFill>
            <w14:solidFill>
              <w14:schemeClr w14:val="tx1"/>
            </w14:solidFill>
          </w14:textFill>
        </w:rPr>
        <w:t>一、报价人一旦下载或领取了本询价文件并决定参加报价，即被认为接受了本询价文件的规定和约束，并视为自询价公告发布之日起已经知道或应当知道自身权益是否受到了损害。</w:t>
      </w:r>
    </w:p>
    <w:p>
      <w:pPr>
        <w:snapToGrid w:val="0"/>
        <w:spacing w:line="480" w:lineRule="exact"/>
        <w:rPr>
          <w:rFonts w:ascii="宋体" w:hAnsi="宋体" w:cs="仿宋"/>
          <w:bCs/>
          <w:color w:val="000000" w:themeColor="text1"/>
          <w:sz w:val="28"/>
          <w:szCs w:val="28"/>
          <w14:textFill>
            <w14:solidFill>
              <w14:schemeClr w14:val="tx1"/>
            </w14:solidFill>
          </w14:textFill>
        </w:rPr>
      </w:pPr>
      <w:r>
        <w:rPr>
          <w:rFonts w:hint="eastAsia" w:ascii="宋体" w:hAnsi="宋体" w:cs="仿宋"/>
          <w:bCs/>
          <w:color w:val="000000" w:themeColor="text1"/>
          <w:sz w:val="28"/>
          <w:szCs w:val="28"/>
          <w14:textFill>
            <w14:solidFill>
              <w14:schemeClr w14:val="tx1"/>
            </w14:solidFill>
          </w14:textFill>
        </w:rPr>
        <w:t xml:space="preserve">    二、对项目需求部分的如有询问、质疑，以书面形式向采购人提出，由使用部门负责解释。</w:t>
      </w:r>
    </w:p>
    <w:p>
      <w:pPr>
        <w:snapToGrid w:val="0"/>
        <w:spacing w:line="480" w:lineRule="exact"/>
        <w:rPr>
          <w:rFonts w:ascii="宋体" w:hAnsi="宋体" w:cs="仿宋"/>
          <w:bCs/>
          <w:color w:val="000000" w:themeColor="text1"/>
          <w:sz w:val="28"/>
          <w:szCs w:val="28"/>
          <w14:textFill>
            <w14:solidFill>
              <w14:schemeClr w14:val="tx1"/>
            </w14:solidFill>
          </w14:textFill>
        </w:rPr>
      </w:pPr>
      <w:r>
        <w:rPr>
          <w:rFonts w:hint="eastAsia" w:ascii="宋体" w:hAnsi="宋体" w:cs="仿宋"/>
          <w:bCs/>
          <w:color w:val="000000" w:themeColor="text1"/>
          <w:sz w:val="28"/>
          <w:szCs w:val="28"/>
          <w14:textFill>
            <w14:solidFill>
              <w14:schemeClr w14:val="tx1"/>
            </w14:solidFill>
          </w14:textFill>
        </w:rPr>
        <w:t xml:space="preserve">   </w:t>
      </w:r>
      <w:r>
        <w:rPr>
          <w:rFonts w:hint="eastAsia" w:ascii="宋体" w:hAnsi="宋体" w:cs="仿宋"/>
          <w:b/>
          <w:bCs/>
          <w:color w:val="000000" w:themeColor="text1"/>
          <w:sz w:val="28"/>
          <w:szCs w:val="28"/>
          <w14:textFill>
            <w14:solidFill>
              <w14:schemeClr w14:val="tx1"/>
            </w14:solidFill>
          </w14:textFill>
        </w:rPr>
        <w:t xml:space="preserve"> 三、报价要求：</w:t>
      </w:r>
      <w:r>
        <w:rPr>
          <w:rFonts w:hint="eastAsia" w:ascii="宋体" w:hAnsi="宋体" w:cs="仿宋"/>
          <w:bCs/>
          <w:color w:val="000000" w:themeColor="text1"/>
          <w:sz w:val="28"/>
          <w:szCs w:val="28"/>
          <w14:textFill>
            <w14:solidFill>
              <w14:schemeClr w14:val="tx1"/>
            </w14:solidFill>
          </w14:textFill>
        </w:rPr>
        <w:t>报价人须按询价文件的要求进行响应，报价文件一式三份，即正本一份，副本二份。不论报价人中标与否，报价文件均不退回。报价文件至少应包括：法定代表人授权书、报价单及有关承诺、说明和报价人符合招标公告申请人资格要求中所需提供的相关资料等。报价单及有关承诺、说明须按要求进行盖章签字。同时还须提供询价文件中规定要求提供的其他证明材料和供应商认为需要提供的其他材料。</w:t>
      </w:r>
    </w:p>
    <w:p>
      <w:pPr>
        <w:pStyle w:val="33"/>
        <w:spacing w:line="480" w:lineRule="exact"/>
        <w:ind w:firstLine="480"/>
        <w:rPr>
          <w:rFonts w:ascii="宋体" w:hAnsi="宋体" w:cs="仿宋"/>
          <w:b/>
          <w:bCs/>
          <w:color w:val="000000" w:themeColor="text1"/>
          <w:kern w:val="2"/>
          <w:sz w:val="28"/>
          <w:szCs w:val="28"/>
          <w14:textFill>
            <w14:solidFill>
              <w14:schemeClr w14:val="tx1"/>
            </w14:solidFill>
          </w14:textFill>
        </w:rPr>
      </w:pPr>
      <w:r>
        <w:rPr>
          <w:rFonts w:hint="eastAsia" w:ascii="宋体" w:hAnsi="宋体" w:cs="仿宋"/>
          <w:b/>
          <w:bCs/>
          <w:color w:val="000000" w:themeColor="text1"/>
          <w:kern w:val="2"/>
          <w:sz w:val="28"/>
          <w:szCs w:val="28"/>
          <w14:textFill>
            <w14:solidFill>
              <w14:schemeClr w14:val="tx1"/>
            </w14:solidFill>
          </w14:textFill>
        </w:rPr>
        <w:t>四、成交供应商的确定</w:t>
      </w:r>
    </w:p>
    <w:p>
      <w:pPr>
        <w:pStyle w:val="33"/>
        <w:spacing w:line="480" w:lineRule="exact"/>
        <w:ind w:firstLine="700" w:firstLineChars="250"/>
        <w:rPr>
          <w:rFonts w:ascii="宋体" w:hAnsi="宋体" w:cs="仿宋"/>
          <w:bCs/>
          <w:color w:val="000000" w:themeColor="text1"/>
          <w:kern w:val="2"/>
          <w:sz w:val="28"/>
          <w:szCs w:val="28"/>
          <w14:textFill>
            <w14:solidFill>
              <w14:schemeClr w14:val="tx1"/>
            </w14:solidFill>
          </w14:textFill>
        </w:rPr>
      </w:pPr>
      <w:r>
        <w:rPr>
          <w:rFonts w:hint="eastAsia" w:ascii="宋体" w:hAnsi="宋体" w:cs="仿宋"/>
          <w:bCs/>
          <w:color w:val="000000" w:themeColor="text1"/>
          <w:kern w:val="2"/>
          <w:sz w:val="28"/>
          <w:szCs w:val="28"/>
          <w14:textFill>
            <w14:solidFill>
              <w14:schemeClr w14:val="tx1"/>
            </w14:solidFill>
          </w14:textFill>
        </w:rPr>
        <w:t>询价评标小组将对响应的报价文件进行评审和比较。在符合采购需求、质量和服务相等的前提下，价低者确定为中标意向单位。如最低投标报价相同，由评标小组抽签确定排序。评标小组在评审中可要求供应商对其报价文件作出必要的澄清和确认。评标小组将审查报价文件是否对询价文件做出了实质性响应而没有重大偏离。重大偏离的认定需经过评标小组三分之二及以上成员的认定。</w:t>
      </w:r>
    </w:p>
    <w:p>
      <w:pPr>
        <w:pStyle w:val="33"/>
        <w:spacing w:line="480" w:lineRule="exact"/>
        <w:rPr>
          <w:rFonts w:ascii="宋体" w:hAnsi="宋体" w:cs="仿宋"/>
          <w:bCs/>
          <w:color w:val="000000" w:themeColor="text1"/>
          <w:kern w:val="2"/>
          <w:sz w:val="28"/>
          <w:szCs w:val="28"/>
          <w14:textFill>
            <w14:solidFill>
              <w14:schemeClr w14:val="tx1"/>
            </w14:solidFill>
          </w14:textFill>
        </w:rPr>
      </w:pPr>
      <w:r>
        <w:rPr>
          <w:rFonts w:hint="eastAsia" w:ascii="宋体" w:hAnsi="宋体" w:cs="仿宋"/>
          <w:bCs/>
          <w:color w:val="000000" w:themeColor="text1"/>
          <w:kern w:val="2"/>
          <w:sz w:val="28"/>
          <w:szCs w:val="28"/>
          <w14:textFill>
            <w14:solidFill>
              <w14:schemeClr w14:val="tx1"/>
            </w14:solidFill>
          </w14:textFill>
        </w:rPr>
        <w:t xml:space="preserve">    五、如由于采购需求中对该采购商品要求不详细，请各报价人在报价时补充说明其详细规格型号。</w:t>
      </w:r>
    </w:p>
    <w:p>
      <w:pPr>
        <w:spacing w:line="480" w:lineRule="exact"/>
        <w:rPr>
          <w:rFonts w:ascii="宋体" w:hAnsi="宋体" w:cs="仿宋"/>
          <w:bCs/>
          <w:color w:val="000000" w:themeColor="text1"/>
          <w:sz w:val="28"/>
          <w:szCs w:val="28"/>
          <w14:textFill>
            <w14:solidFill>
              <w14:schemeClr w14:val="tx1"/>
            </w14:solidFill>
          </w14:textFill>
        </w:rPr>
      </w:pPr>
      <w:r>
        <w:rPr>
          <w:rFonts w:hint="eastAsia" w:ascii="宋体" w:hAnsi="宋体" w:cs="仿宋"/>
          <w:bCs/>
          <w:color w:val="000000" w:themeColor="text1"/>
          <w:sz w:val="28"/>
          <w:szCs w:val="28"/>
          <w14:textFill>
            <w14:solidFill>
              <w14:schemeClr w14:val="tx1"/>
            </w14:solidFill>
          </w14:textFill>
        </w:rPr>
        <w:t xml:space="preserve">    六、报价人须在2022年10月11日15：00 时前将询价文件提交给询价单位。</w:t>
      </w:r>
    </w:p>
    <w:p>
      <w:pPr>
        <w:spacing w:line="480" w:lineRule="exact"/>
        <w:ind w:firstLine="560" w:firstLineChars="200"/>
        <w:rPr>
          <w:rFonts w:ascii="宋体" w:hAnsi="宋体" w:cs="仿宋"/>
          <w:bCs/>
          <w:color w:val="000000" w:themeColor="text1"/>
          <w:sz w:val="28"/>
          <w:szCs w:val="28"/>
          <w14:textFill>
            <w14:solidFill>
              <w14:schemeClr w14:val="tx1"/>
            </w14:solidFill>
          </w14:textFill>
        </w:rPr>
      </w:pPr>
      <w:r>
        <w:rPr>
          <w:rFonts w:hint="eastAsia" w:ascii="宋体" w:hAnsi="宋体" w:cs="仿宋"/>
          <w:bCs/>
          <w:color w:val="000000" w:themeColor="text1"/>
          <w:sz w:val="28"/>
          <w:szCs w:val="28"/>
          <w14:textFill>
            <w14:solidFill>
              <w14:schemeClr w14:val="tx1"/>
            </w14:solidFill>
          </w14:textFill>
        </w:rPr>
        <w:t>送交地点：江苏医药职业学院解放校区行政楼208室</w:t>
      </w:r>
    </w:p>
    <w:p>
      <w:pPr>
        <w:spacing w:line="480" w:lineRule="exact"/>
        <w:ind w:firstLine="560" w:firstLineChars="200"/>
        <w:rPr>
          <w:rFonts w:ascii="宋体" w:hAnsi="宋体" w:cs="仿宋"/>
          <w:bCs/>
          <w:color w:val="000000" w:themeColor="text1"/>
          <w:sz w:val="28"/>
          <w:szCs w:val="28"/>
          <w14:textFill>
            <w14:solidFill>
              <w14:schemeClr w14:val="tx1"/>
            </w14:solidFill>
          </w14:textFill>
        </w:rPr>
      </w:pPr>
      <w:r>
        <w:rPr>
          <w:rFonts w:hint="eastAsia" w:ascii="宋体" w:hAnsi="宋体" w:cs="仿宋"/>
          <w:bCs/>
          <w:color w:val="000000" w:themeColor="text1"/>
          <w:sz w:val="28"/>
          <w:szCs w:val="28"/>
          <w14:textFill>
            <w14:solidFill>
              <w14:schemeClr w14:val="tx1"/>
            </w14:solidFill>
          </w14:textFill>
        </w:rPr>
        <w:t>联系人：刘老师，联系电话：0515-88550311。</w:t>
      </w:r>
    </w:p>
    <w:p>
      <w:pPr>
        <w:spacing w:line="480" w:lineRule="exact"/>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七、代理服务费由成交供应商承担。成交供应商须在领取成交通知书时，向代理公司一次性缴纳：</w:t>
      </w:r>
    </w:p>
    <w:p>
      <w:pPr>
        <w:pStyle w:val="33"/>
        <w:spacing w:line="480" w:lineRule="exact"/>
        <w:ind w:firstLine="700" w:firstLineChars="250"/>
        <w:rPr>
          <w:rFonts w:ascii="宋体" w:hAnsi="宋体" w:cs="仿宋"/>
          <w:color w:val="000000" w:themeColor="text1"/>
          <w:kern w:val="2"/>
          <w:sz w:val="28"/>
          <w:szCs w:val="28"/>
          <w14:textFill>
            <w14:solidFill>
              <w14:schemeClr w14:val="tx1"/>
            </w14:solidFill>
          </w14:textFill>
        </w:rPr>
      </w:pPr>
      <w:r>
        <w:rPr>
          <w:rFonts w:hint="eastAsia" w:ascii="宋体" w:hAnsi="宋体" w:cs="仿宋"/>
          <w:color w:val="000000" w:themeColor="text1"/>
          <w:kern w:val="2"/>
          <w:sz w:val="28"/>
          <w:szCs w:val="28"/>
          <w14:textFill>
            <w14:solidFill>
              <w14:schemeClr w14:val="tx1"/>
            </w14:solidFill>
          </w14:textFill>
        </w:rPr>
        <w:t>代理服务费参照原《招标代理服务收费管理暂行办法》（计价格[2002]1980号）收费标准计取（如低于2000元的，按2000元计取）。</w:t>
      </w:r>
    </w:p>
    <w:p>
      <w:pPr>
        <w:pStyle w:val="19"/>
        <w:rPr>
          <w:color w:val="000000" w:themeColor="text1"/>
          <w14:textFill>
            <w14:solidFill>
              <w14:schemeClr w14:val="tx1"/>
            </w14:solidFill>
          </w14:textFill>
        </w:rPr>
      </w:pPr>
      <w:bookmarkStart w:id="52" w:name="_GoBack"/>
      <w:bookmarkEnd w:id="52"/>
      <w:bookmarkStart w:id="18" w:name="_Toc116051294"/>
      <w:r>
        <w:rPr>
          <w:rFonts w:hint="eastAsia"/>
          <w:color w:val="000000" w:themeColor="text1"/>
          <w14:textFill>
            <w14:solidFill>
              <w14:schemeClr w14:val="tx1"/>
            </w14:solidFill>
          </w14:textFill>
        </w:rPr>
        <w:t>第三章  合同条款及格式</w:t>
      </w:r>
      <w:bookmarkEnd w:id="18"/>
      <w:bookmarkStart w:id="19" w:name="_Toc20823315"/>
      <w:bookmarkStart w:id="20" w:name="_Toc513029243"/>
      <w:bookmarkStart w:id="21" w:name="_Toc16938559"/>
    </w:p>
    <w:p>
      <w:pPr>
        <w:pStyle w:val="33"/>
        <w:rPr>
          <w:rFonts w:asciiTheme="minorEastAsia" w:hAnsiTheme="minorEastAsia" w:eastAsiaTheme="minorEastAsia"/>
          <w:color w:val="000000" w:themeColor="text1"/>
          <w14:textFill>
            <w14:solidFill>
              <w14:schemeClr w14:val="tx1"/>
            </w14:solidFill>
          </w14:textFill>
        </w:rPr>
      </w:pPr>
    </w:p>
    <w:bookmarkEnd w:id="19"/>
    <w:bookmarkEnd w:id="20"/>
    <w:bookmarkEnd w:id="21"/>
    <w:p>
      <w:pPr>
        <w:spacing w:line="500" w:lineRule="exact"/>
        <w:ind w:firstLine="560" w:firstLineChars="200"/>
        <w:rPr>
          <w:rFonts w:asciiTheme="majorEastAsia" w:hAnsiTheme="majorEastAsia" w:eastAsiaTheme="majorEastAsia"/>
          <w:bCs/>
          <w:color w:val="000000" w:themeColor="text1"/>
          <w:sz w:val="28"/>
          <w:szCs w:val="28"/>
          <w14:textFill>
            <w14:solidFill>
              <w14:schemeClr w14:val="tx1"/>
            </w14:solidFill>
          </w14:textFill>
        </w:rPr>
      </w:pPr>
      <w:r>
        <w:rPr>
          <w:rFonts w:hint="eastAsia" w:asciiTheme="majorEastAsia" w:hAnsiTheme="majorEastAsia" w:eastAsiaTheme="majorEastAsia"/>
          <w:bCs/>
          <w:color w:val="000000" w:themeColor="text1"/>
          <w:sz w:val="28"/>
          <w:szCs w:val="28"/>
          <w14:textFill>
            <w14:solidFill>
              <w14:schemeClr w14:val="tx1"/>
            </w14:solidFill>
          </w14:textFill>
        </w:rPr>
        <w:t>以下为中标后签定本项目合同的通用条款，中标供应商不得提出实质性的修改，关于专用条款将由采购人与中标供应商结合本项目具体情况协商后签订。</w:t>
      </w:r>
    </w:p>
    <w:p>
      <w:pPr>
        <w:snapToGrid w:val="0"/>
        <w:spacing w:line="500" w:lineRule="exact"/>
        <w:jc w:val="center"/>
        <w:rPr>
          <w:rFonts w:asciiTheme="majorEastAsia" w:hAnsiTheme="majorEastAsia" w:eastAsiaTheme="majorEastAsia"/>
          <w:b/>
          <w:color w:val="000000" w:themeColor="text1"/>
          <w:sz w:val="28"/>
          <w:szCs w:val="28"/>
          <w14:textFill>
            <w14:solidFill>
              <w14:schemeClr w14:val="tx1"/>
            </w14:solidFill>
          </w14:textFill>
        </w:rPr>
      </w:pPr>
    </w:p>
    <w:p>
      <w:pPr>
        <w:snapToGrid w:val="0"/>
        <w:spacing w:line="500" w:lineRule="exact"/>
        <w:jc w:val="center"/>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政府采购合同（货物格式）</w:t>
      </w:r>
    </w:p>
    <w:p>
      <w:pPr>
        <w:pStyle w:val="33"/>
        <w:spacing w:line="500" w:lineRule="exact"/>
        <w:rPr>
          <w:color w:val="000000" w:themeColor="text1"/>
          <w:sz w:val="28"/>
          <w:szCs w:val="28"/>
          <w14:textFill>
            <w14:solidFill>
              <w14:schemeClr w14:val="tx1"/>
            </w14:solidFill>
          </w14:textFill>
        </w:rPr>
      </w:pPr>
    </w:p>
    <w:p>
      <w:pPr>
        <w:pStyle w:val="14"/>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项目名称：</w:t>
      </w:r>
      <w:r>
        <w:rPr>
          <w:rFonts w:hint="eastAsia" w:asciiTheme="majorEastAsia" w:hAnsiTheme="majorEastAsia" w:eastAsiaTheme="majorEastAsia"/>
          <w:bCs/>
          <w:color w:val="000000" w:themeColor="text1"/>
          <w:sz w:val="28"/>
          <w:szCs w:val="28"/>
          <w14:textFill>
            <w14:solidFill>
              <w14:schemeClr w14:val="tx1"/>
            </w14:solidFill>
          </w14:textFill>
        </w:rPr>
        <w:t>江苏医药职业学院</w:t>
      </w:r>
      <w:r>
        <w:rPr>
          <w:rFonts w:hint="eastAsia" w:asciiTheme="minorEastAsia" w:hAnsiTheme="minorEastAsia" w:eastAsiaTheme="minorEastAsia" w:cstheme="minorEastAsia"/>
          <w:color w:val="000000" w:themeColor="text1"/>
          <w:sz w:val="28"/>
          <w:szCs w:val="28"/>
          <w14:textFill>
            <w14:solidFill>
              <w14:schemeClr w14:val="tx1"/>
            </w14:solidFill>
          </w14:textFill>
        </w:rPr>
        <w:t>审计信息系统软件采购</w:t>
      </w:r>
      <w:r>
        <w:rPr>
          <w:rFonts w:hint="eastAsia" w:asciiTheme="majorEastAsia" w:hAnsiTheme="majorEastAsia" w:eastAsiaTheme="majorEastAsia"/>
          <w:color w:val="000000" w:themeColor="text1"/>
          <w:sz w:val="28"/>
          <w:szCs w:val="28"/>
          <w14:textFill>
            <w14:solidFill>
              <w14:schemeClr w14:val="tx1"/>
            </w14:solidFill>
          </w14:textFill>
        </w:rPr>
        <w:t xml:space="preserve">       </w:t>
      </w:r>
    </w:p>
    <w:p>
      <w:pPr>
        <w:pStyle w:val="14"/>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14:textFill>
            <w14:solidFill>
              <w14:schemeClr w14:val="tx1"/>
            </w14:solidFill>
          </w14:textFill>
        </w:rPr>
        <w:t>SY2022-092-HW-XJ</w:t>
      </w:r>
    </w:p>
    <w:p>
      <w:pPr>
        <w:pStyle w:val="14"/>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甲方：（买方）</w:t>
      </w:r>
      <w:r>
        <w:rPr>
          <w:rFonts w:asciiTheme="majorEastAsia" w:hAnsiTheme="majorEastAsia" w:eastAsiaTheme="majorEastAsia"/>
          <w:color w:val="000000" w:themeColor="text1"/>
          <w:sz w:val="28"/>
          <w:szCs w:val="28"/>
          <w14:textFill>
            <w14:solidFill>
              <w14:schemeClr w14:val="tx1"/>
            </w14:solidFill>
          </w14:textFill>
        </w:rPr>
        <w:t>_________</w:t>
      </w:r>
    </w:p>
    <w:p>
      <w:pPr>
        <w:pStyle w:val="14"/>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乙方：（卖方）</w:t>
      </w:r>
      <w:r>
        <w:rPr>
          <w:rFonts w:asciiTheme="majorEastAsia" w:hAnsiTheme="majorEastAsia" w:eastAsiaTheme="majorEastAsia"/>
          <w:color w:val="000000" w:themeColor="text1"/>
          <w:sz w:val="28"/>
          <w:szCs w:val="28"/>
          <w14:textFill>
            <w14:solidFill>
              <w14:schemeClr w14:val="tx1"/>
            </w14:solidFill>
          </w14:textFill>
        </w:rPr>
        <w:t>_________</w:t>
      </w:r>
    </w:p>
    <w:p>
      <w:pPr>
        <w:pStyle w:val="14"/>
        <w:snapToGrid w:val="0"/>
        <w:spacing w:line="500" w:lineRule="exact"/>
        <w:ind w:firstLine="560"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甲、乙双方根据项目公开询价的结果，签署本合同。</w:t>
      </w:r>
    </w:p>
    <w:p>
      <w:pPr>
        <w:pStyle w:val="14"/>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一、货物内容</w:t>
      </w:r>
    </w:p>
    <w:p>
      <w:pPr>
        <w:pStyle w:val="14"/>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1.1 </w:t>
      </w:r>
      <w:r>
        <w:rPr>
          <w:rFonts w:hint="eastAsia" w:asciiTheme="majorEastAsia" w:hAnsiTheme="majorEastAsia" w:eastAsiaTheme="majorEastAsia"/>
          <w:color w:val="000000" w:themeColor="text1"/>
          <w:sz w:val="28"/>
          <w:szCs w:val="28"/>
          <w14:textFill>
            <w14:solidFill>
              <w14:schemeClr w14:val="tx1"/>
            </w14:solidFill>
          </w14:textFill>
        </w:rPr>
        <w:t>货物名称：</w:t>
      </w:r>
    </w:p>
    <w:p>
      <w:pPr>
        <w:pStyle w:val="14"/>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1.2 </w:t>
      </w:r>
      <w:r>
        <w:rPr>
          <w:rFonts w:hint="eastAsia" w:asciiTheme="majorEastAsia" w:hAnsiTheme="majorEastAsia" w:eastAsiaTheme="majorEastAsia"/>
          <w:color w:val="000000" w:themeColor="text1"/>
          <w:sz w:val="28"/>
          <w:szCs w:val="28"/>
          <w14:textFill>
            <w14:solidFill>
              <w14:schemeClr w14:val="tx1"/>
            </w14:solidFill>
          </w14:textFill>
        </w:rPr>
        <w:t>型号规格：</w:t>
      </w:r>
    </w:p>
    <w:p>
      <w:pPr>
        <w:pStyle w:val="14"/>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1.3 </w:t>
      </w:r>
      <w:r>
        <w:rPr>
          <w:rFonts w:hint="eastAsia" w:asciiTheme="majorEastAsia" w:hAnsiTheme="majorEastAsia" w:eastAsiaTheme="majorEastAsia"/>
          <w:color w:val="000000" w:themeColor="text1"/>
          <w:sz w:val="28"/>
          <w:szCs w:val="28"/>
          <w14:textFill>
            <w14:solidFill>
              <w14:schemeClr w14:val="tx1"/>
            </w14:solidFill>
          </w14:textFill>
        </w:rPr>
        <w:t>数量（单位）：</w:t>
      </w:r>
    </w:p>
    <w:p>
      <w:pPr>
        <w:pStyle w:val="14"/>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二、合同金额</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2.1 </w:t>
      </w:r>
      <w:r>
        <w:rPr>
          <w:rFonts w:hint="eastAsia" w:asciiTheme="majorEastAsia" w:hAnsiTheme="majorEastAsia" w:eastAsiaTheme="majorEastAsia"/>
          <w:color w:val="000000" w:themeColor="text1"/>
          <w:sz w:val="28"/>
          <w:szCs w:val="28"/>
          <w14:textFill>
            <w14:solidFill>
              <w14:schemeClr w14:val="tx1"/>
            </w14:solidFill>
          </w14:textFill>
        </w:rPr>
        <w:t>本合同金额为（大写）：</w:t>
      </w:r>
      <w:r>
        <w:rPr>
          <w:rFonts w:asciiTheme="majorEastAsia" w:hAnsiTheme="majorEastAsia" w:eastAsiaTheme="majorEastAsia"/>
          <w:color w:val="000000" w:themeColor="text1"/>
          <w:sz w:val="28"/>
          <w:szCs w:val="28"/>
          <w14:textFill>
            <w14:solidFill>
              <w14:schemeClr w14:val="tx1"/>
            </w14:solidFill>
          </w14:textFill>
        </w:rPr>
        <w:t>___________</w:t>
      </w:r>
      <w:r>
        <w:rPr>
          <w:rFonts w:hint="eastAsia" w:asciiTheme="majorEastAsia" w:hAnsiTheme="majorEastAsia" w:eastAsiaTheme="majorEastAsia"/>
          <w:color w:val="000000" w:themeColor="text1"/>
          <w:sz w:val="28"/>
          <w:szCs w:val="28"/>
          <w14:textFill>
            <w14:solidFill>
              <w14:schemeClr w14:val="tx1"/>
            </w14:solidFill>
          </w14:textFill>
        </w:rPr>
        <w:t>元（</w:t>
      </w:r>
      <w:r>
        <w:rPr>
          <w:rFonts w:asciiTheme="majorEastAsia" w:hAnsiTheme="majorEastAsia" w:eastAsiaTheme="majorEastAsia"/>
          <w:color w:val="000000" w:themeColor="text1"/>
          <w:sz w:val="28"/>
          <w:szCs w:val="28"/>
          <w14:textFill>
            <w14:solidFill>
              <w14:schemeClr w14:val="tx1"/>
            </w14:solidFill>
          </w14:textFill>
        </w:rPr>
        <w:t>__________</w:t>
      </w:r>
      <w:r>
        <w:rPr>
          <w:rFonts w:hint="eastAsia" w:asciiTheme="majorEastAsia" w:hAnsiTheme="majorEastAsia" w:eastAsiaTheme="majorEastAsia"/>
          <w:color w:val="000000" w:themeColor="text1"/>
          <w:sz w:val="28"/>
          <w:szCs w:val="28"/>
          <w14:textFill>
            <w14:solidFill>
              <w14:schemeClr w14:val="tx1"/>
            </w14:solidFill>
          </w14:textFill>
        </w:rPr>
        <w:t>元）人民币或其他币种。</w:t>
      </w:r>
    </w:p>
    <w:p>
      <w:pPr>
        <w:pStyle w:val="14"/>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三、技术资料</w:t>
      </w:r>
    </w:p>
    <w:p>
      <w:pPr>
        <w:pStyle w:val="14"/>
        <w:snapToGrid w:val="0"/>
        <w:spacing w:line="500" w:lineRule="exac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w:t>
      </w:r>
      <w:r>
        <w:rPr>
          <w:rFonts w:asciiTheme="majorEastAsia" w:hAnsiTheme="majorEastAsia" w:eastAsiaTheme="majorEastAsia"/>
          <w:color w:val="000000" w:themeColor="text1"/>
          <w:sz w:val="28"/>
          <w:szCs w:val="28"/>
          <w14:textFill>
            <w14:solidFill>
              <w14:schemeClr w14:val="tx1"/>
            </w14:solidFill>
          </w14:textFill>
        </w:rPr>
        <w:t>3.1</w:t>
      </w:r>
      <w:r>
        <w:rPr>
          <w:rFonts w:hint="eastAsia" w:asciiTheme="majorEastAsia" w:hAnsiTheme="majorEastAsia" w:eastAsiaTheme="majorEastAsia"/>
          <w:color w:val="000000" w:themeColor="text1"/>
          <w:sz w:val="28"/>
          <w:szCs w:val="28"/>
          <w14:textFill>
            <w14:solidFill>
              <w14:schemeClr w14:val="tx1"/>
            </w14:solidFill>
          </w14:textFill>
        </w:rPr>
        <w:t>乙方应按招标文件规定的时间向甲方提供使用货物的有关技术资料。</w:t>
      </w:r>
    </w:p>
    <w:p>
      <w:pPr>
        <w:spacing w:line="500" w:lineRule="exact"/>
        <w:rPr>
          <w:rFonts w:asciiTheme="majorEastAsia" w:hAnsiTheme="majorEastAsia" w:eastAsiaTheme="majorEastAsia"/>
          <w:bCs/>
          <w:color w:val="000000" w:themeColor="text1"/>
          <w:sz w:val="28"/>
          <w:szCs w:val="28"/>
          <w14:textFill>
            <w14:solidFill>
              <w14:schemeClr w14:val="tx1"/>
            </w14:solidFill>
          </w14:textFill>
        </w:rPr>
      </w:pPr>
      <w:r>
        <w:rPr>
          <w:rFonts w:hint="eastAsia" w:asciiTheme="majorEastAsia" w:hAnsiTheme="majorEastAsia" w:eastAsiaTheme="majorEastAsia"/>
          <w:bCs/>
          <w:color w:val="000000" w:themeColor="text1"/>
          <w:sz w:val="28"/>
          <w:szCs w:val="28"/>
          <w14:textFill>
            <w14:solidFill>
              <w14:schemeClr w14:val="tx1"/>
            </w14:solidFill>
          </w14:textFill>
        </w:rPr>
        <w:t xml:space="preserve">    </w:t>
      </w:r>
      <w:r>
        <w:rPr>
          <w:rFonts w:asciiTheme="majorEastAsia" w:hAnsiTheme="majorEastAsia" w:eastAsiaTheme="majorEastAsia"/>
          <w:bCs/>
          <w:color w:val="000000" w:themeColor="text1"/>
          <w:sz w:val="28"/>
          <w:szCs w:val="28"/>
          <w14:textFill>
            <w14:solidFill>
              <w14:schemeClr w14:val="tx1"/>
            </w14:solidFill>
          </w14:textFill>
        </w:rPr>
        <w:t xml:space="preserve">3.2 </w:t>
      </w:r>
      <w:r>
        <w:rPr>
          <w:rFonts w:hint="eastAsia" w:asciiTheme="majorEastAsia" w:hAnsiTheme="majorEastAsia" w:eastAsiaTheme="majorEastAsia"/>
          <w:bCs/>
          <w:color w:val="000000" w:themeColor="text1"/>
          <w:sz w:val="28"/>
          <w:szCs w:val="28"/>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line="500" w:lineRule="exact"/>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 xml:space="preserve">    四、知识产权</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4.1</w:t>
      </w:r>
      <w:r>
        <w:rPr>
          <w:rFonts w:hint="eastAsia" w:asciiTheme="majorEastAsia" w:hAnsiTheme="majorEastAsia" w:eastAsiaTheme="majorEastAsia"/>
          <w:color w:val="000000" w:themeColor="text1"/>
          <w:sz w:val="28"/>
          <w:szCs w:val="28"/>
          <w14:textFill>
            <w14:solidFill>
              <w14:schemeClr w14:val="tx1"/>
            </w14:solidFill>
          </w14:textFill>
        </w:rPr>
        <w:t>乙方应保证甲方在使用、接受本合同货物和服务或其任何一部分时不受第三方提出侵犯其专利权、版权、商标权和工业设计权等知识产权的起诉。一旦出现侵权，由乙方负全部责任。</w:t>
      </w:r>
    </w:p>
    <w:p>
      <w:pPr>
        <w:pStyle w:val="14"/>
        <w:snapToGrid w:val="0"/>
        <w:spacing w:line="500" w:lineRule="exact"/>
        <w:ind w:firstLine="562" w:firstLineChars="200"/>
        <w:rPr>
          <w:rFonts w:asciiTheme="majorEastAsia" w:hAnsiTheme="majorEastAsia" w:eastAsiaTheme="majorEastAsia"/>
          <w:color w:val="000000" w:themeColor="text1"/>
          <w:sz w:val="28"/>
          <w:szCs w:val="28"/>
          <w:u w:val="single"/>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五、产权担保</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5.1 </w:t>
      </w:r>
      <w:r>
        <w:rPr>
          <w:rFonts w:hint="eastAsia" w:asciiTheme="majorEastAsia" w:hAnsiTheme="majorEastAsia" w:eastAsiaTheme="majorEastAsia"/>
          <w:color w:val="000000" w:themeColor="text1"/>
          <w:sz w:val="28"/>
          <w:szCs w:val="28"/>
          <w14:textFill>
            <w14:solidFill>
              <w14:schemeClr w14:val="tx1"/>
            </w14:solidFill>
          </w14:textFill>
        </w:rPr>
        <w:t>乙方保证所交付的货物的所有权完全属于乙方且无任何抵押、查封等产权瑕疵。</w:t>
      </w:r>
    </w:p>
    <w:p>
      <w:pPr>
        <w:pStyle w:val="14"/>
        <w:snapToGrid w:val="0"/>
        <w:spacing w:line="500" w:lineRule="exact"/>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 xml:space="preserve">    六、履约保证金</w:t>
      </w:r>
    </w:p>
    <w:p>
      <w:pPr>
        <w:spacing w:line="500" w:lineRule="exact"/>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6.</w:t>
      </w:r>
      <w:r>
        <w:rPr>
          <w:rFonts w:ascii="宋体" w:hAnsi="宋体"/>
          <w:bCs/>
          <w:color w:val="000000" w:themeColor="text1"/>
          <w:sz w:val="28"/>
          <w:szCs w:val="28"/>
          <w14:textFill>
            <w14:solidFill>
              <w14:schemeClr w14:val="tx1"/>
            </w14:solidFill>
          </w14:textFill>
        </w:rPr>
        <w:t xml:space="preserve">1 </w:t>
      </w:r>
      <w:r>
        <w:rPr>
          <w:rFonts w:hint="eastAsia" w:ascii="宋体" w:hAnsi="宋体"/>
          <w:bCs/>
          <w:color w:val="000000" w:themeColor="text1"/>
          <w:sz w:val="28"/>
          <w:szCs w:val="28"/>
          <w14:textFill>
            <w14:solidFill>
              <w14:schemeClr w14:val="tx1"/>
            </w14:solidFill>
          </w14:textFill>
        </w:rPr>
        <w:t>在签订合同前，中标人需向招标人交纳履约保证金（请将履约保证金汇款凭证发送至QQ邮箱：532223373@qq.com），具体金额为中标价的5%。拟中标人应当按照招标人的要求及时、足额缴纳履约保证金，履约保证金待项目验收结束后</w:t>
      </w:r>
      <w:r>
        <w:rPr>
          <w:rFonts w:hint="eastAsia" w:ascii="宋体" w:hAnsi="宋体" w:cs="宋体"/>
          <w:color w:val="000000" w:themeColor="text1"/>
          <w:sz w:val="28"/>
          <w:szCs w:val="28"/>
          <w14:textFill>
            <w14:solidFill>
              <w14:schemeClr w14:val="tx1"/>
            </w14:solidFill>
          </w14:textFill>
        </w:rPr>
        <w:t>无质量问题</w:t>
      </w:r>
      <w:r>
        <w:rPr>
          <w:rFonts w:ascii="宋体" w:hAnsi="宋体" w:cs="宋体"/>
          <w:color w:val="000000" w:themeColor="text1"/>
          <w:sz w:val="28"/>
          <w:szCs w:val="28"/>
          <w14:textFill>
            <w14:solidFill>
              <w14:schemeClr w14:val="tx1"/>
            </w14:solidFill>
          </w14:textFill>
        </w:rPr>
        <w:t>一次性无息退还</w:t>
      </w:r>
      <w:r>
        <w:rPr>
          <w:rFonts w:hint="eastAsia" w:ascii="宋体" w:hAnsi="宋体"/>
          <w:bCs/>
          <w:color w:val="000000" w:themeColor="text1"/>
          <w:sz w:val="28"/>
          <w:szCs w:val="28"/>
          <w14:textFill>
            <w14:solidFill>
              <w14:schemeClr w14:val="tx1"/>
            </w14:solidFill>
          </w14:textFill>
        </w:rPr>
        <w:t>。</w:t>
      </w:r>
    </w:p>
    <w:p>
      <w:pPr>
        <w:spacing w:line="500" w:lineRule="exact"/>
        <w:ind w:firstLine="560" w:firstLineChars="2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6</w:t>
      </w:r>
      <w:r>
        <w:rPr>
          <w:rFonts w:ascii="宋体" w:hAnsi="宋体"/>
          <w:bCs/>
          <w:color w:val="000000" w:themeColor="text1"/>
          <w:sz w:val="28"/>
          <w:szCs w:val="28"/>
          <w14:textFill>
            <w14:solidFill>
              <w14:schemeClr w14:val="tx1"/>
            </w14:solidFill>
          </w14:textFill>
        </w:rPr>
        <w:t>.2</w:t>
      </w:r>
      <w:r>
        <w:rPr>
          <w:rFonts w:hint="eastAsia" w:ascii="宋体" w:hAnsi="宋体"/>
          <w:bCs/>
          <w:color w:val="000000" w:themeColor="text1"/>
          <w:sz w:val="28"/>
          <w:szCs w:val="28"/>
          <w14:textFill>
            <w14:solidFill>
              <w14:schemeClr w14:val="tx1"/>
            </w14:solidFill>
          </w14:textFill>
        </w:rPr>
        <w:t>履约保证金专户帐户信息。</w:t>
      </w:r>
    </w:p>
    <w:p>
      <w:pPr>
        <w:spacing w:line="500" w:lineRule="exact"/>
        <w:ind w:firstLine="560" w:firstLineChars="2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单位名称：江苏医药职业学院</w:t>
      </w:r>
    </w:p>
    <w:p>
      <w:pPr>
        <w:spacing w:line="500" w:lineRule="exact"/>
        <w:ind w:firstLine="560" w:firstLineChars="2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开户行名称：建行盐城市城南支行</w:t>
      </w:r>
    </w:p>
    <w:p>
      <w:pPr>
        <w:spacing w:line="500" w:lineRule="exact"/>
        <w:ind w:firstLine="560" w:firstLineChars="2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银行帐号：</w:t>
      </w:r>
      <w:r>
        <w:rPr>
          <w:rFonts w:ascii="宋体" w:hAnsi="宋体"/>
          <w:bCs/>
          <w:color w:val="000000" w:themeColor="text1"/>
          <w:sz w:val="28"/>
          <w:szCs w:val="28"/>
          <w14:textFill>
            <w14:solidFill>
              <w14:schemeClr w14:val="tx1"/>
            </w14:solidFill>
          </w14:textFill>
        </w:rPr>
        <w:t>32001735038052500575</w:t>
      </w:r>
    </w:p>
    <w:p>
      <w:pPr>
        <w:spacing w:line="500" w:lineRule="exact"/>
        <w:ind w:firstLine="560" w:firstLineChars="2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地址：江苏省盐城市解放南路</w:t>
      </w:r>
      <w:r>
        <w:rPr>
          <w:rFonts w:ascii="宋体" w:hAnsi="宋体"/>
          <w:bCs/>
          <w:color w:val="000000" w:themeColor="text1"/>
          <w:sz w:val="28"/>
          <w:szCs w:val="28"/>
          <w14:textFill>
            <w14:solidFill>
              <w14:schemeClr w14:val="tx1"/>
            </w14:solidFill>
          </w14:textFill>
        </w:rPr>
        <w:t>283</w:t>
      </w:r>
      <w:r>
        <w:rPr>
          <w:rFonts w:hint="eastAsia" w:ascii="宋体" w:hAnsi="宋体"/>
          <w:bCs/>
          <w:color w:val="000000" w:themeColor="text1"/>
          <w:sz w:val="28"/>
          <w:szCs w:val="28"/>
          <w14:textFill>
            <w14:solidFill>
              <w14:schemeClr w14:val="tx1"/>
            </w14:solidFill>
          </w14:textFill>
        </w:rPr>
        <w:t>号</w:t>
      </w:r>
    </w:p>
    <w:p>
      <w:pPr>
        <w:spacing w:line="500" w:lineRule="exact"/>
        <w:ind w:firstLine="560" w:firstLineChars="2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电话：</w:t>
      </w:r>
      <w:r>
        <w:rPr>
          <w:rFonts w:ascii="宋体" w:hAnsi="宋体"/>
          <w:bCs/>
          <w:color w:val="000000" w:themeColor="text1"/>
          <w:sz w:val="28"/>
          <w:szCs w:val="28"/>
          <w14:textFill>
            <w14:solidFill>
              <w14:schemeClr w14:val="tx1"/>
            </w14:solidFill>
          </w14:textFill>
        </w:rPr>
        <w:t>0515-88550311</w:t>
      </w:r>
    </w:p>
    <w:p>
      <w:pPr>
        <w:spacing w:line="500" w:lineRule="exact"/>
        <w:ind w:firstLine="560" w:firstLineChars="200"/>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6</w:t>
      </w:r>
      <w:r>
        <w:rPr>
          <w:rFonts w:ascii="宋体" w:hAnsi="宋体"/>
          <w:bCs/>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3如果拟中标人没有在规定的时间内交纳履约保证金，或对招标项目的质疑（投诉）成立，或拒绝遵守招标文件规定、响应承诺，或拒绝签订合同，或虽签署合同但不予履行等，则取消（拟）中标人资格，已经缴纳的履约保证金作为违约金不予退还。</w:t>
      </w:r>
    </w:p>
    <w:p>
      <w:pPr>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6</w:t>
      </w:r>
      <w:r>
        <w:rPr>
          <w:rFonts w:ascii="宋体" w:hAnsi="宋体"/>
          <w:bCs/>
          <w:color w:val="000000" w:themeColor="text1"/>
          <w:sz w:val="28"/>
          <w:szCs w:val="28"/>
          <w14:textFill>
            <w14:solidFill>
              <w14:schemeClr w14:val="tx1"/>
            </w14:solidFill>
          </w14:textFill>
        </w:rPr>
        <w:t>.</w:t>
      </w:r>
      <w:r>
        <w:rPr>
          <w:rFonts w:hint="eastAsia" w:ascii="宋体" w:hAnsi="宋体"/>
          <w:bCs/>
          <w:color w:val="000000" w:themeColor="text1"/>
          <w:sz w:val="28"/>
          <w:szCs w:val="28"/>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履约保证金退还：中标人缴纳的履约保证金</w:t>
      </w:r>
      <w:r>
        <w:rPr>
          <w:rFonts w:hint="eastAsia" w:ascii="宋体" w:hAnsi="宋体" w:cs="宋体"/>
          <w:bCs/>
          <w:color w:val="000000" w:themeColor="text1"/>
          <w:sz w:val="28"/>
          <w:szCs w:val="28"/>
          <w14:textFill>
            <w14:solidFill>
              <w14:schemeClr w14:val="tx1"/>
            </w14:solidFill>
          </w14:textFill>
        </w:rPr>
        <w:t>待项目验收结束后</w:t>
      </w:r>
      <w:r>
        <w:rPr>
          <w:rFonts w:hint="eastAsia" w:ascii="宋体" w:hAnsi="宋体" w:cs="宋体"/>
          <w:color w:val="000000" w:themeColor="text1"/>
          <w:sz w:val="28"/>
          <w:szCs w:val="28"/>
          <w14:textFill>
            <w14:solidFill>
              <w14:schemeClr w14:val="tx1"/>
            </w14:solidFill>
          </w14:textFill>
        </w:rPr>
        <w:t>无质量问题</w:t>
      </w:r>
      <w:r>
        <w:rPr>
          <w:rFonts w:ascii="宋体" w:hAnsi="宋体" w:cs="宋体"/>
          <w:color w:val="000000" w:themeColor="text1"/>
          <w:sz w:val="28"/>
          <w:szCs w:val="28"/>
          <w14:textFill>
            <w14:solidFill>
              <w14:schemeClr w14:val="tx1"/>
            </w14:solidFill>
          </w14:textFill>
        </w:rPr>
        <w:t>一次性无息退还</w:t>
      </w:r>
      <w:r>
        <w:rPr>
          <w:rFonts w:hint="eastAsia" w:ascii="宋体" w:hAnsi="宋体" w:cs="宋体"/>
          <w:color w:val="000000" w:themeColor="text1"/>
          <w:sz w:val="28"/>
          <w:szCs w:val="28"/>
          <w14:textFill>
            <w14:solidFill>
              <w14:schemeClr w14:val="tx1"/>
            </w14:solidFill>
          </w14:textFill>
        </w:rPr>
        <w:t>，（凭</w:t>
      </w:r>
      <w:r>
        <w:rPr>
          <w:rFonts w:hint="eastAsia" w:asci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保证金请退函</w:t>
      </w:r>
      <w:r>
        <w:rPr>
          <w:rFonts w:hint="eastAsia" w:asci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到学校国资处办理退款手续）。如果中标人不履行合同约定的义务，未能完全履行合同规定的义务或其履行不符合合同的约定，招标人有权扣除履约保证金取得补偿。</w:t>
      </w:r>
    </w:p>
    <w:p>
      <w:pPr>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七、转包或分包</w:t>
      </w:r>
    </w:p>
    <w:p>
      <w:pPr>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7.1</w:t>
      </w:r>
      <w:r>
        <w:rPr>
          <w:rFonts w:hint="eastAsia" w:asciiTheme="majorEastAsia" w:hAnsiTheme="majorEastAsia" w:eastAsiaTheme="majorEastAsia"/>
          <w:color w:val="000000" w:themeColor="text1"/>
          <w:sz w:val="28"/>
          <w:szCs w:val="28"/>
          <w14:textFill>
            <w14:solidFill>
              <w14:schemeClr w14:val="tx1"/>
            </w14:solidFill>
          </w14:textFill>
        </w:rPr>
        <w:t>本合同范围的货物，应由乙方直接供应，不得转让他人供应；</w:t>
      </w:r>
    </w:p>
    <w:p>
      <w:pPr>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7.2 </w:t>
      </w:r>
      <w:r>
        <w:rPr>
          <w:rFonts w:hint="eastAsia" w:asciiTheme="majorEastAsia" w:hAnsiTheme="majorEastAsia" w:eastAsiaTheme="majorEastAsia"/>
          <w:color w:val="000000" w:themeColor="text1"/>
          <w:sz w:val="28"/>
          <w:szCs w:val="28"/>
          <w14:textFill>
            <w14:solidFill>
              <w14:schemeClr w14:val="tx1"/>
            </w14:solidFill>
          </w14:textFill>
        </w:rPr>
        <w:t>除非得到甲方的书面同意，乙方不得部分分包给他人供应。</w:t>
      </w:r>
    </w:p>
    <w:p>
      <w:pPr>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7.3</w:t>
      </w:r>
      <w:r>
        <w:rPr>
          <w:rFonts w:hint="eastAsia" w:asciiTheme="majorEastAsia" w:hAnsiTheme="majorEastAsia" w:eastAsiaTheme="majorEastAsia"/>
          <w:color w:val="000000" w:themeColor="text1"/>
          <w:sz w:val="28"/>
          <w:szCs w:val="28"/>
          <w14:textFill>
            <w14:solidFill>
              <w14:schemeClr w14:val="tx1"/>
            </w14:solidFill>
          </w14:textFill>
        </w:rPr>
        <w:t>如有转让和未经甲方同意的分包行为，甲方有权给予终止合同。</w:t>
      </w:r>
    </w:p>
    <w:p>
      <w:pPr>
        <w:pStyle w:val="14"/>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八、交货期、交货方式及交货地点</w:t>
      </w:r>
    </w:p>
    <w:p>
      <w:pPr>
        <w:pStyle w:val="9"/>
        <w:spacing w:line="500" w:lineRule="exact"/>
        <w:ind w:firstLine="560" w:firstLineChars="200"/>
        <w:rPr>
          <w:rFonts w:asciiTheme="majorEastAsia" w:hAnsiTheme="majorEastAsia" w:eastAsiaTheme="majorEastAsia"/>
          <w:bCs/>
          <w:color w:val="000000" w:themeColor="text1"/>
          <w:kern w:val="0"/>
          <w:sz w:val="28"/>
          <w:szCs w:val="28"/>
          <w14:textFill>
            <w14:solidFill>
              <w14:schemeClr w14:val="tx1"/>
            </w14:solidFill>
          </w14:textFill>
        </w:rPr>
      </w:pPr>
      <w:r>
        <w:rPr>
          <w:rFonts w:asciiTheme="majorEastAsia" w:hAnsiTheme="majorEastAsia" w:eastAsiaTheme="majorEastAsia"/>
          <w:bCs/>
          <w:color w:val="000000" w:themeColor="text1"/>
          <w:kern w:val="0"/>
          <w:sz w:val="28"/>
          <w:szCs w:val="28"/>
          <w14:textFill>
            <w14:solidFill>
              <w14:schemeClr w14:val="tx1"/>
            </w14:solidFill>
          </w14:textFill>
        </w:rPr>
        <w:t xml:space="preserve">9.1 </w:t>
      </w:r>
      <w:r>
        <w:rPr>
          <w:rFonts w:hint="eastAsia" w:asciiTheme="majorEastAsia" w:hAnsiTheme="majorEastAsia" w:eastAsiaTheme="majorEastAsia"/>
          <w:bCs/>
          <w:color w:val="000000" w:themeColor="text1"/>
          <w:kern w:val="0"/>
          <w:sz w:val="28"/>
          <w:szCs w:val="28"/>
          <w14:textFill>
            <w14:solidFill>
              <w14:schemeClr w14:val="tx1"/>
            </w14:solidFill>
          </w14:textFill>
        </w:rPr>
        <w:t>交货期：具体时间由学校发函确认。</w:t>
      </w:r>
    </w:p>
    <w:p>
      <w:pPr>
        <w:pStyle w:val="14"/>
        <w:snapToGrid w:val="0"/>
        <w:spacing w:line="500" w:lineRule="exact"/>
        <w:ind w:firstLine="560" w:firstLineChars="200"/>
        <w:rPr>
          <w:rFonts w:asciiTheme="majorEastAsia" w:hAnsiTheme="majorEastAsia" w:eastAsiaTheme="majorEastAsia"/>
          <w:bCs/>
          <w:color w:val="000000" w:themeColor="text1"/>
          <w:sz w:val="28"/>
          <w:szCs w:val="28"/>
          <w14:textFill>
            <w14:solidFill>
              <w14:schemeClr w14:val="tx1"/>
            </w14:solidFill>
          </w14:textFill>
        </w:rPr>
      </w:pPr>
      <w:r>
        <w:rPr>
          <w:rFonts w:asciiTheme="majorEastAsia" w:hAnsiTheme="majorEastAsia" w:eastAsiaTheme="majorEastAsia"/>
          <w:bCs/>
          <w:color w:val="000000" w:themeColor="text1"/>
          <w:sz w:val="28"/>
          <w:szCs w:val="28"/>
          <w14:textFill>
            <w14:solidFill>
              <w14:schemeClr w14:val="tx1"/>
            </w14:solidFill>
          </w14:textFill>
        </w:rPr>
        <w:t xml:space="preserve">9.2 </w:t>
      </w:r>
      <w:r>
        <w:rPr>
          <w:rFonts w:hint="eastAsia" w:asciiTheme="majorEastAsia" w:hAnsiTheme="majorEastAsia" w:eastAsiaTheme="majorEastAsia"/>
          <w:bCs/>
          <w:color w:val="000000" w:themeColor="text1"/>
          <w:sz w:val="28"/>
          <w:szCs w:val="28"/>
          <w14:textFill>
            <w14:solidFill>
              <w14:schemeClr w14:val="tx1"/>
            </w14:solidFill>
          </w14:textFill>
        </w:rPr>
        <w:t>交货方式：货物由供应商免费送货上门、安装、调试</w:t>
      </w:r>
    </w:p>
    <w:p>
      <w:pPr>
        <w:pStyle w:val="14"/>
        <w:snapToGrid w:val="0"/>
        <w:spacing w:line="500" w:lineRule="exact"/>
        <w:ind w:firstLine="560" w:firstLineChars="200"/>
        <w:rPr>
          <w:rFonts w:asciiTheme="majorEastAsia" w:hAnsiTheme="majorEastAsia" w:eastAsiaTheme="majorEastAsia"/>
          <w:b/>
          <w:color w:val="000000" w:themeColor="text1"/>
          <w:sz w:val="28"/>
          <w:szCs w:val="28"/>
          <w14:textFill>
            <w14:solidFill>
              <w14:schemeClr w14:val="tx1"/>
            </w14:solidFill>
          </w14:textFill>
        </w:rPr>
      </w:pPr>
      <w:r>
        <w:rPr>
          <w:rFonts w:asciiTheme="majorEastAsia" w:hAnsiTheme="majorEastAsia" w:eastAsiaTheme="majorEastAsia"/>
          <w:bCs/>
          <w:color w:val="000000" w:themeColor="text1"/>
          <w:sz w:val="28"/>
          <w:szCs w:val="28"/>
          <w14:textFill>
            <w14:solidFill>
              <w14:schemeClr w14:val="tx1"/>
            </w14:solidFill>
          </w14:textFill>
        </w:rPr>
        <w:t xml:space="preserve">9.3 </w:t>
      </w:r>
      <w:r>
        <w:rPr>
          <w:rFonts w:hint="eastAsia" w:asciiTheme="majorEastAsia" w:hAnsiTheme="majorEastAsia" w:eastAsiaTheme="majorEastAsia"/>
          <w:bCs/>
          <w:color w:val="000000" w:themeColor="text1"/>
          <w:sz w:val="28"/>
          <w:szCs w:val="28"/>
          <w14:textFill>
            <w14:solidFill>
              <w14:schemeClr w14:val="tx1"/>
            </w14:solidFill>
          </w14:textFill>
        </w:rPr>
        <w:t>交货地点：</w:t>
      </w:r>
      <w:r>
        <w:rPr>
          <w:rFonts w:hint="eastAsia" w:asciiTheme="majorEastAsia" w:hAnsiTheme="majorEastAsia" w:eastAsiaTheme="majorEastAsia"/>
          <w:color w:val="000000" w:themeColor="text1"/>
          <w:sz w:val="28"/>
          <w:szCs w:val="28"/>
          <w:u w:val="single"/>
          <w14:textFill>
            <w14:solidFill>
              <w14:schemeClr w14:val="tx1"/>
            </w14:solidFill>
          </w14:textFill>
        </w:rPr>
        <w:t>甲方指定地点。</w:t>
      </w:r>
    </w:p>
    <w:p>
      <w:pPr>
        <w:pStyle w:val="14"/>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九、货款支付</w:t>
      </w:r>
    </w:p>
    <w:p>
      <w:pPr>
        <w:snapToGrid w:val="0"/>
        <w:spacing w:before="120" w:after="120" w:line="500" w:lineRule="exact"/>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项目验收合格后无质量问题一次性无息付清全部款项。</w:t>
      </w:r>
    </w:p>
    <w:p>
      <w:pPr>
        <w:snapToGrid w:val="0"/>
        <w:spacing w:before="120" w:after="120" w:line="50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以上付款均以人民币通过银行支付，付款前需提供我校财务处认可的增值税发票（仪器设备须开具增值税专用发票）。</w:t>
      </w:r>
    </w:p>
    <w:p>
      <w:pPr>
        <w:snapToGrid w:val="0"/>
        <w:spacing w:before="120" w:after="120"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十</w:t>
      </w:r>
      <w:r>
        <w:rPr>
          <w:rFonts w:asciiTheme="majorEastAsia" w:hAnsiTheme="majorEastAsia" w:eastAsiaTheme="majorEastAsia"/>
          <w:b/>
          <w:color w:val="000000" w:themeColor="text1"/>
          <w:sz w:val="28"/>
          <w:szCs w:val="28"/>
          <w14:textFill>
            <w14:solidFill>
              <w14:schemeClr w14:val="tx1"/>
            </w14:solidFill>
          </w14:textFill>
        </w:rPr>
        <w:t>、</w:t>
      </w:r>
      <w:r>
        <w:rPr>
          <w:rFonts w:hint="eastAsia" w:asciiTheme="majorEastAsia" w:hAnsiTheme="majorEastAsia" w:eastAsiaTheme="majorEastAsia"/>
          <w:b/>
          <w:color w:val="000000" w:themeColor="text1"/>
          <w:sz w:val="28"/>
          <w:szCs w:val="28"/>
          <w14:textFill>
            <w14:solidFill>
              <w14:schemeClr w14:val="tx1"/>
            </w14:solidFill>
          </w14:textFill>
        </w:rPr>
        <w:t>税费</w:t>
      </w:r>
    </w:p>
    <w:p>
      <w:pPr>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11.1</w:t>
      </w:r>
      <w:r>
        <w:rPr>
          <w:rFonts w:hint="eastAsia" w:asciiTheme="majorEastAsia" w:hAnsiTheme="majorEastAsia" w:eastAsiaTheme="majorEastAsia"/>
          <w:color w:val="000000" w:themeColor="text1"/>
          <w:sz w:val="28"/>
          <w:szCs w:val="28"/>
          <w14:textFill>
            <w14:solidFill>
              <w14:schemeClr w14:val="tx1"/>
            </w14:solidFill>
          </w14:textFill>
        </w:rPr>
        <w:t>本合同执行中相关的一切税费均由乙方负担。</w:t>
      </w:r>
    </w:p>
    <w:p>
      <w:pPr>
        <w:pStyle w:val="14"/>
        <w:snapToGrid w:val="0"/>
        <w:spacing w:line="500" w:lineRule="exac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 xml:space="preserve">    十一、质量保证及售后服务</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12.1 </w:t>
      </w:r>
      <w:r>
        <w:rPr>
          <w:rFonts w:hint="eastAsia" w:asciiTheme="majorEastAsia" w:hAnsiTheme="majorEastAsia" w:eastAsiaTheme="majorEastAsia"/>
          <w:color w:val="000000" w:themeColor="text1"/>
          <w:sz w:val="28"/>
          <w:szCs w:val="28"/>
          <w14:textFill>
            <w14:solidFill>
              <w14:schemeClr w14:val="tx1"/>
            </w14:solidFill>
          </w14:textFill>
        </w:rPr>
        <w:t>乙方应按招标文件规定的货物性能、技术要求、质量标准向甲方提供未经使用的全新产品。</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12.2 </w:t>
      </w:r>
      <w:r>
        <w:rPr>
          <w:rFonts w:hint="eastAsia" w:asciiTheme="majorEastAsia" w:hAnsiTheme="majorEastAsia" w:eastAsiaTheme="majorEastAsia"/>
          <w:color w:val="000000" w:themeColor="text1"/>
          <w:sz w:val="28"/>
          <w:szCs w:val="28"/>
          <w14:textFill>
            <w14:solidFill>
              <w14:schemeClr w14:val="tx1"/>
            </w14:solidFill>
          </w14:textFill>
        </w:rPr>
        <w:t>乙方提供的货物在质量期内因货物本身的质量问题发生故障，乙方应负责免费更换。对达不到技术要求者，根据实际情况，经双方协商，可按以下办法处理：</w:t>
      </w:r>
    </w:p>
    <w:p>
      <w:pPr>
        <w:spacing w:line="500" w:lineRule="exact"/>
        <w:ind w:firstLine="560" w:firstLineChars="200"/>
        <w:jc w:val="left"/>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12.2</w:t>
      </w:r>
      <w:r>
        <w:rPr>
          <w:rFonts w:hint="eastAsia" w:asciiTheme="majorEastAsia" w:hAnsiTheme="majorEastAsia" w:eastAsiaTheme="majorEastAsia"/>
          <w:color w:val="000000" w:themeColor="text1"/>
          <w:sz w:val="28"/>
          <w:szCs w:val="28"/>
          <w14:textFill>
            <w14:solidFill>
              <w14:schemeClr w14:val="tx1"/>
            </w14:solidFill>
          </w14:textFill>
        </w:rPr>
        <w:t>.1 更换：由乙方承担所发生的全部费用。</w:t>
      </w:r>
    </w:p>
    <w:p>
      <w:pPr>
        <w:spacing w:line="500" w:lineRule="exact"/>
        <w:ind w:firstLine="560" w:firstLineChars="200"/>
        <w:jc w:val="left"/>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12.2</w:t>
      </w:r>
      <w:r>
        <w:rPr>
          <w:rFonts w:hint="eastAsia" w:asciiTheme="majorEastAsia" w:hAnsiTheme="majorEastAsia" w:eastAsiaTheme="majorEastAsia"/>
          <w:color w:val="000000" w:themeColor="text1"/>
          <w:sz w:val="28"/>
          <w:szCs w:val="28"/>
          <w14:textFill>
            <w14:solidFill>
              <w14:schemeClr w14:val="tx1"/>
            </w14:solidFill>
          </w14:textFill>
        </w:rPr>
        <w:t>.2 贬值处理：由甲乙双方合议定价。</w:t>
      </w:r>
    </w:p>
    <w:p>
      <w:pPr>
        <w:spacing w:line="500" w:lineRule="exact"/>
        <w:ind w:firstLine="560" w:firstLineChars="200"/>
        <w:jc w:val="left"/>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12.2</w:t>
      </w:r>
      <w:r>
        <w:rPr>
          <w:rFonts w:hint="eastAsia" w:asciiTheme="majorEastAsia" w:hAnsiTheme="majorEastAsia" w:eastAsiaTheme="majorEastAsia"/>
          <w:color w:val="000000" w:themeColor="text1"/>
          <w:sz w:val="28"/>
          <w:szCs w:val="28"/>
          <w14:textFill>
            <w14:solidFill>
              <w14:schemeClr w14:val="tx1"/>
            </w14:solidFill>
          </w14:textFill>
        </w:rPr>
        <w:t>.3 退货处理：乙方应退还甲方支付的合同款，同时应承担该货物的直接费用（运输、保险、检验、货款利息及银行手续费等）。</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12.3 </w:t>
      </w:r>
      <w:r>
        <w:rPr>
          <w:rFonts w:hint="eastAsia" w:asciiTheme="majorEastAsia" w:hAnsiTheme="majorEastAsia" w:eastAsiaTheme="majorEastAsia"/>
          <w:color w:val="000000" w:themeColor="text1"/>
          <w:sz w:val="28"/>
          <w:szCs w:val="28"/>
          <w14:textFill>
            <w14:solidFill>
              <w14:schemeClr w14:val="tx1"/>
            </w14:solidFill>
          </w14:textFill>
        </w:rPr>
        <w:t>如在使用过程中发生质量问题，乙方在接到甲方通知后在</w:t>
      </w:r>
      <w:r>
        <w:rPr>
          <w:rFonts w:asciiTheme="majorEastAsia" w:hAnsiTheme="majorEastAsia" w:eastAsiaTheme="majorEastAsia"/>
          <w:color w:val="000000" w:themeColor="text1"/>
          <w:sz w:val="28"/>
          <w:szCs w:val="28"/>
          <w:u w:val="single"/>
          <w14:textFill>
            <w14:solidFill>
              <w14:schemeClr w14:val="tx1"/>
            </w14:solidFill>
          </w14:textFill>
        </w:rPr>
        <w:t>_</w:t>
      </w:r>
      <w:r>
        <w:rPr>
          <w:rFonts w:hint="eastAsia" w:asciiTheme="majorEastAsia" w:hAnsiTheme="majorEastAsia" w:eastAsiaTheme="majorEastAsia"/>
          <w:color w:val="000000" w:themeColor="text1"/>
          <w:sz w:val="28"/>
          <w:szCs w:val="28"/>
          <w:u w:val="single"/>
          <w14:textFill>
            <w14:solidFill>
              <w14:schemeClr w14:val="tx1"/>
            </w14:solidFill>
          </w14:textFill>
        </w:rPr>
        <w:t>12</w:t>
      </w:r>
      <w:r>
        <w:rPr>
          <w:rFonts w:hint="eastAsia" w:asciiTheme="majorEastAsia" w:hAnsiTheme="majorEastAsia" w:eastAsiaTheme="majorEastAsia"/>
          <w:color w:val="000000" w:themeColor="text1"/>
          <w:sz w:val="28"/>
          <w:szCs w:val="28"/>
          <w14:textFill>
            <w14:solidFill>
              <w14:schemeClr w14:val="tx1"/>
            </w14:solidFill>
          </w14:textFill>
        </w:rPr>
        <w:t>小时内到达甲方现场。</w:t>
      </w:r>
    </w:p>
    <w:p>
      <w:pPr>
        <w:pStyle w:val="14"/>
        <w:snapToGrid w:val="0"/>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12.4 </w:t>
      </w:r>
      <w:r>
        <w:rPr>
          <w:rFonts w:hint="eastAsia" w:asciiTheme="majorEastAsia" w:hAnsiTheme="majorEastAsia" w:eastAsiaTheme="majorEastAsia"/>
          <w:color w:val="000000" w:themeColor="text1"/>
          <w:sz w:val="28"/>
          <w:szCs w:val="28"/>
          <w14:textFill>
            <w14:solidFill>
              <w14:schemeClr w14:val="tx1"/>
            </w14:solidFill>
          </w14:textFill>
        </w:rPr>
        <w:t>在质保期内，乙方应对货物出现的质量及安全问题负责处理解决并承担一切费用。</w:t>
      </w:r>
    </w:p>
    <w:p>
      <w:pPr>
        <w:pStyle w:val="14"/>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十二、调试和验收</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13.1 </w:t>
      </w:r>
      <w:r>
        <w:rPr>
          <w:rFonts w:hint="eastAsia" w:asciiTheme="majorEastAsia" w:hAnsiTheme="majorEastAsia" w:eastAsiaTheme="majorEastAsia"/>
          <w:color w:val="000000" w:themeColor="text1"/>
          <w:sz w:val="28"/>
          <w:szCs w:val="28"/>
          <w14:textFill>
            <w14:solidFill>
              <w14:schemeClr w14:val="tx1"/>
            </w14:solidFill>
          </w14:textFill>
        </w:rPr>
        <w:t>甲方对乙方提交的货物依据询价文件上的技术规格要求和国家有关质量标准进行现场初步验收，外观、说明书符合招标文件技术要求的，给予签收，初步验收不合格的不予签收。</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13.2 </w:t>
      </w:r>
      <w:r>
        <w:rPr>
          <w:rFonts w:hint="eastAsia" w:asciiTheme="majorEastAsia" w:hAnsiTheme="majorEastAsia" w:eastAsiaTheme="majorEastAsia"/>
          <w:color w:val="000000" w:themeColor="text1"/>
          <w:sz w:val="28"/>
          <w:szCs w:val="28"/>
          <w14:textFill>
            <w14:solidFill>
              <w14:schemeClr w14:val="tx1"/>
            </w14:solidFill>
          </w14:textFill>
        </w:rPr>
        <w:t>乙方交货前应对产品作出全面检查和对验收文件进行整理，并列出清单，作为甲方收货验收和使用的技术条件依据，检验的结果应随货物交甲方。</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13.3 </w:t>
      </w:r>
      <w:r>
        <w:rPr>
          <w:rFonts w:hint="eastAsia" w:asciiTheme="majorEastAsia" w:hAnsiTheme="majorEastAsia" w:eastAsiaTheme="majorEastAsia"/>
          <w:color w:val="000000" w:themeColor="text1"/>
          <w:sz w:val="28"/>
          <w:szCs w:val="28"/>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13.4 </w:t>
      </w:r>
      <w:r>
        <w:rPr>
          <w:rFonts w:hint="eastAsia" w:asciiTheme="majorEastAsia" w:hAnsiTheme="majorEastAsia" w:eastAsiaTheme="majorEastAsia"/>
          <w:color w:val="000000" w:themeColor="text1"/>
          <w:sz w:val="28"/>
          <w:szCs w:val="28"/>
          <w14:textFill>
            <w14:solidFill>
              <w14:schemeClr w14:val="tx1"/>
            </w14:solidFill>
          </w14:textFill>
        </w:rPr>
        <w:t>对技术复杂的货物，甲方可请国家认可的专业检测机构参与初步验收及最终验收，并由其出具质量检测报告。</w:t>
      </w:r>
    </w:p>
    <w:p>
      <w:pPr>
        <w:pStyle w:val="14"/>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十三、违约责任</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15.1 </w:t>
      </w:r>
      <w:r>
        <w:rPr>
          <w:rFonts w:hint="eastAsia" w:asciiTheme="majorEastAsia" w:hAnsiTheme="majorEastAsia" w:eastAsiaTheme="majorEastAsia"/>
          <w:color w:val="000000" w:themeColor="text1"/>
          <w:sz w:val="28"/>
          <w:szCs w:val="28"/>
          <w14:textFill>
            <w14:solidFill>
              <w14:schemeClr w14:val="tx1"/>
            </w14:solidFill>
          </w14:textFill>
        </w:rPr>
        <w:t>甲方无正当理由拒收货物的，甲方向乙方偿付拒收货款总值的百分之五违约金。</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15.2 </w:t>
      </w:r>
      <w:r>
        <w:rPr>
          <w:rFonts w:hint="eastAsia" w:asciiTheme="majorEastAsia" w:hAnsiTheme="majorEastAsia" w:eastAsiaTheme="majorEastAsia"/>
          <w:color w:val="000000" w:themeColor="text1"/>
          <w:sz w:val="28"/>
          <w:szCs w:val="28"/>
          <w14:textFill>
            <w14:solidFill>
              <w14:schemeClr w14:val="tx1"/>
            </w14:solidFill>
          </w14:textFill>
        </w:rPr>
        <w:t>甲方无故逾期验收和办理货款支付手续的</w:t>
      </w:r>
      <w:r>
        <w:rPr>
          <w:rFonts w:asciiTheme="majorEastAsia" w:hAnsiTheme="majorEastAsia" w:eastAsiaTheme="majorEastAsia"/>
          <w:color w:val="000000" w:themeColor="text1"/>
          <w:sz w:val="28"/>
          <w:szCs w:val="28"/>
          <w14:textFill>
            <w14:solidFill>
              <w14:schemeClr w14:val="tx1"/>
            </w14:solidFill>
          </w14:textFill>
        </w:rPr>
        <w:t>,</w:t>
      </w:r>
      <w:r>
        <w:rPr>
          <w:rFonts w:hint="eastAsia" w:asciiTheme="majorEastAsia" w:hAnsiTheme="majorEastAsia" w:eastAsiaTheme="majorEastAsia"/>
          <w:color w:val="000000" w:themeColor="text1"/>
          <w:sz w:val="28"/>
          <w:szCs w:val="28"/>
          <w14:textFill>
            <w14:solidFill>
              <w14:schemeClr w14:val="tx1"/>
            </w14:solidFill>
          </w14:textFill>
        </w:rPr>
        <w:t>甲方应按逾期付款总额每日万分之五向乙方支付违约金。</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15.3 </w:t>
      </w:r>
      <w:r>
        <w:rPr>
          <w:rFonts w:hint="eastAsia" w:asciiTheme="majorEastAsia" w:hAnsiTheme="majorEastAsia" w:eastAsiaTheme="majorEastAsia"/>
          <w:color w:val="000000" w:themeColor="text1"/>
          <w:sz w:val="28"/>
          <w:szCs w:val="28"/>
          <w14:textFill>
            <w14:solidFill>
              <w14:schemeClr w14:val="tx1"/>
            </w14:solidFill>
          </w14:textFill>
        </w:rPr>
        <w:t>乙方逾期交付货物的，乙方应按逾期交货总额每日千分之六向甲方支付违约金，由甲方从待付货款中扣除。逾期超过约定日期</w:t>
      </w:r>
      <w:r>
        <w:rPr>
          <w:rFonts w:asciiTheme="majorEastAsia" w:hAnsiTheme="majorEastAsia" w:eastAsiaTheme="majorEastAsia"/>
          <w:color w:val="000000" w:themeColor="text1"/>
          <w:sz w:val="28"/>
          <w:szCs w:val="28"/>
          <w14:textFill>
            <w14:solidFill>
              <w14:schemeClr w14:val="tx1"/>
            </w14:solidFill>
          </w14:textFill>
        </w:rPr>
        <w:t>10</w:t>
      </w:r>
      <w:r>
        <w:rPr>
          <w:rFonts w:hint="eastAsia" w:asciiTheme="majorEastAsia" w:hAnsiTheme="majorEastAsia" w:eastAsiaTheme="majorEastAsia"/>
          <w:color w:val="000000" w:themeColor="text1"/>
          <w:sz w:val="28"/>
          <w:szCs w:val="28"/>
          <w14:textFill>
            <w14:solidFill>
              <w14:schemeClr w14:val="tx1"/>
            </w14:solidFill>
          </w14:textFill>
        </w:rPr>
        <w:t>个工作日不能交货的，甲方可解除本合同。乙方因逾期交货或因其他违约行为导致甲方解除合同的，乙方应向甲方支付合同总值</w:t>
      </w:r>
      <w:r>
        <w:rPr>
          <w:rFonts w:asciiTheme="majorEastAsia" w:hAnsiTheme="majorEastAsia" w:eastAsiaTheme="majorEastAsia"/>
          <w:color w:val="000000" w:themeColor="text1"/>
          <w:sz w:val="28"/>
          <w:szCs w:val="28"/>
          <w14:textFill>
            <w14:solidFill>
              <w14:schemeClr w14:val="tx1"/>
            </w14:solidFill>
          </w14:textFill>
        </w:rPr>
        <w:t>5%</w:t>
      </w:r>
      <w:r>
        <w:rPr>
          <w:rFonts w:hint="eastAsia" w:asciiTheme="majorEastAsia" w:hAnsiTheme="majorEastAsia" w:eastAsiaTheme="majorEastAsia"/>
          <w:color w:val="000000" w:themeColor="text1"/>
          <w:sz w:val="28"/>
          <w:szCs w:val="28"/>
          <w14:textFill>
            <w14:solidFill>
              <w14:schemeClr w14:val="tx1"/>
            </w14:solidFill>
          </w14:textFill>
        </w:rPr>
        <w:t>的违约金，如造成甲方损失超过违约金的，超出部分由乙方继续承担赔偿责任。</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15.4 </w:t>
      </w:r>
      <w:r>
        <w:rPr>
          <w:rFonts w:hint="eastAsia" w:asciiTheme="majorEastAsia" w:hAnsiTheme="majorEastAsia" w:eastAsiaTheme="majorEastAsia"/>
          <w:color w:val="000000" w:themeColor="text1"/>
          <w:sz w:val="28"/>
          <w:szCs w:val="28"/>
          <w14:textFill>
            <w14:solidFill>
              <w14:schemeClr w14:val="tx1"/>
            </w14:solidFill>
          </w14:textFill>
        </w:rPr>
        <w:t>乙方所交的货物品种、型号、规格、技术参数、质量不符合合同规定及询价文件规定标准的，甲方有权拒收该货物，乙方愿意更换货物但逾期交货的，按乙方逾期交货处理。乙方拒绝更换货物的，甲方可单方面解除合同。</w:t>
      </w:r>
    </w:p>
    <w:p>
      <w:pPr>
        <w:pStyle w:val="14"/>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十四、不可抗力事件处理</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16.1 </w:t>
      </w:r>
      <w:r>
        <w:rPr>
          <w:rFonts w:hint="eastAsia" w:asciiTheme="majorEastAsia" w:hAnsiTheme="majorEastAsia" w:eastAsiaTheme="majorEastAsia"/>
          <w:color w:val="000000" w:themeColor="text1"/>
          <w:sz w:val="28"/>
          <w:szCs w:val="28"/>
          <w14:textFill>
            <w14:solidFill>
              <w14:schemeClr w14:val="tx1"/>
            </w14:solidFill>
          </w14:textFill>
        </w:rPr>
        <w:t>在合同有效期内，任何一方因不可抗力事件导致不能履行合同，则合同履行期可延长，其延长期与不可抗力影响期相同。</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16.2 </w:t>
      </w:r>
      <w:r>
        <w:rPr>
          <w:rFonts w:hint="eastAsia" w:asciiTheme="majorEastAsia" w:hAnsiTheme="majorEastAsia" w:eastAsiaTheme="majorEastAsia"/>
          <w:color w:val="000000" w:themeColor="text1"/>
          <w:sz w:val="28"/>
          <w:szCs w:val="28"/>
          <w14:textFill>
            <w14:solidFill>
              <w14:schemeClr w14:val="tx1"/>
            </w14:solidFill>
          </w14:textFill>
        </w:rPr>
        <w:t>不可抗力事件发生后，应立即通知对方，并寄送有关权威机构出具的证明。</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16.3 </w:t>
      </w:r>
      <w:r>
        <w:rPr>
          <w:rFonts w:hint="eastAsia" w:asciiTheme="majorEastAsia" w:hAnsiTheme="majorEastAsia" w:eastAsiaTheme="majorEastAsia"/>
          <w:color w:val="000000" w:themeColor="text1"/>
          <w:sz w:val="28"/>
          <w:szCs w:val="28"/>
          <w14:textFill>
            <w14:solidFill>
              <w14:schemeClr w14:val="tx1"/>
            </w14:solidFill>
          </w14:textFill>
        </w:rPr>
        <w:t>不可抗力事件延续</w:t>
      </w:r>
      <w:r>
        <w:rPr>
          <w:rFonts w:asciiTheme="majorEastAsia" w:hAnsiTheme="majorEastAsia" w:eastAsiaTheme="majorEastAsia"/>
          <w:color w:val="000000" w:themeColor="text1"/>
          <w:sz w:val="28"/>
          <w:szCs w:val="28"/>
          <w14:textFill>
            <w14:solidFill>
              <w14:schemeClr w14:val="tx1"/>
            </w14:solidFill>
          </w14:textFill>
        </w:rPr>
        <w:t>120</w:t>
      </w:r>
      <w:r>
        <w:rPr>
          <w:rFonts w:hint="eastAsia" w:asciiTheme="majorEastAsia" w:hAnsiTheme="majorEastAsia" w:eastAsiaTheme="majorEastAsia"/>
          <w:color w:val="000000" w:themeColor="text1"/>
          <w:sz w:val="28"/>
          <w:szCs w:val="28"/>
          <w14:textFill>
            <w14:solidFill>
              <w14:schemeClr w14:val="tx1"/>
            </w14:solidFill>
          </w14:textFill>
        </w:rPr>
        <w:t>天以上，双方应通过友好协商，确定是否继续履行合同。</w:t>
      </w:r>
    </w:p>
    <w:p>
      <w:pPr>
        <w:pStyle w:val="14"/>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十五、诉讼</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17.1 </w:t>
      </w:r>
      <w:r>
        <w:rPr>
          <w:rFonts w:hint="eastAsia" w:asciiTheme="majorEastAsia" w:hAnsiTheme="majorEastAsia" w:eastAsiaTheme="majorEastAsia"/>
          <w:color w:val="000000" w:themeColor="text1"/>
          <w:sz w:val="28"/>
          <w:szCs w:val="28"/>
          <w14:textFill>
            <w14:solidFill>
              <w14:schemeClr w14:val="tx1"/>
            </w14:solidFill>
          </w14:textFill>
        </w:rPr>
        <w:t>双方在执行合同中所发生的一切争议，应通过协商解决。如协商不成，可向合同签订地法院起诉，合同签订地在此约定为盐城市。</w:t>
      </w:r>
    </w:p>
    <w:p>
      <w:pPr>
        <w:pStyle w:val="14"/>
        <w:snapToGrid w:val="0"/>
        <w:spacing w:line="500" w:lineRule="exact"/>
        <w:ind w:firstLine="562" w:firstLineChars="2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十六、合同生效及其它</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18.1 </w:t>
      </w:r>
      <w:r>
        <w:rPr>
          <w:rFonts w:hint="eastAsia" w:asciiTheme="majorEastAsia" w:hAnsiTheme="majorEastAsia" w:eastAsiaTheme="majorEastAsia"/>
          <w:color w:val="000000" w:themeColor="text1"/>
          <w:sz w:val="28"/>
          <w:szCs w:val="28"/>
          <w14:textFill>
            <w14:solidFill>
              <w14:schemeClr w14:val="tx1"/>
            </w14:solidFill>
          </w14:textFill>
        </w:rPr>
        <w:t>合同经双方法定代表人或授权委托代表人签字并加盖单位公章，并经采购中心见证盖章后生效。</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18.2</w:t>
      </w:r>
      <w:r>
        <w:rPr>
          <w:rFonts w:hint="eastAsia" w:asciiTheme="majorEastAsia" w:hAnsiTheme="majorEastAsia" w:eastAsiaTheme="majorEastAsia"/>
          <w:color w:val="000000" w:themeColor="text1"/>
          <w:sz w:val="28"/>
          <w:szCs w:val="28"/>
          <w14:textFill>
            <w14:solidFill>
              <w14:schemeClr w14:val="tx1"/>
            </w14:solidFill>
          </w14:textFill>
        </w:rPr>
        <w:t>本合同未尽事宜，遵照《中华人民共和国民法典》有关条文执行。</w:t>
      </w:r>
    </w:p>
    <w:p>
      <w:pPr>
        <w:spacing w:line="50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 xml:space="preserve">18.3 </w:t>
      </w:r>
      <w:r>
        <w:rPr>
          <w:rFonts w:hint="eastAsia" w:asciiTheme="majorEastAsia" w:hAnsiTheme="majorEastAsia" w:eastAsiaTheme="majorEastAsia"/>
          <w:color w:val="000000" w:themeColor="text1"/>
          <w:sz w:val="28"/>
          <w:szCs w:val="28"/>
          <w14:textFill>
            <w14:solidFill>
              <w14:schemeClr w14:val="tx1"/>
            </w14:solidFill>
          </w14:textFill>
        </w:rPr>
        <w:t>本合同正本一式四份，具有同等法律效力，甲方、乙方各执二份。</w:t>
      </w:r>
    </w:p>
    <w:p>
      <w:pPr>
        <w:spacing w:line="500" w:lineRule="exact"/>
        <w:rPr>
          <w:rFonts w:asciiTheme="majorEastAsia" w:hAnsiTheme="majorEastAsia" w:eastAsiaTheme="majorEastAsia"/>
          <w:color w:val="000000" w:themeColor="text1"/>
          <w:sz w:val="28"/>
          <w:szCs w:val="28"/>
          <w14:textFill>
            <w14:solidFill>
              <w14:schemeClr w14:val="tx1"/>
            </w14:solidFill>
          </w14:textFill>
        </w:rPr>
      </w:pPr>
    </w:p>
    <w:p>
      <w:pPr>
        <w:pStyle w:val="24"/>
        <w:spacing w:line="500" w:lineRule="exact"/>
        <w:ind w:firstLine="560"/>
        <w:rPr>
          <w:color w:val="000000" w:themeColor="text1"/>
          <w:sz w:val="28"/>
          <w:szCs w:val="28"/>
          <w14:textFill>
            <w14:solidFill>
              <w14:schemeClr w14:val="tx1"/>
            </w14:solidFill>
          </w14:textFill>
        </w:rPr>
      </w:pPr>
    </w:p>
    <w:p>
      <w:pPr>
        <w:pStyle w:val="24"/>
        <w:spacing w:line="500" w:lineRule="exact"/>
        <w:ind w:firstLine="560"/>
        <w:rPr>
          <w:color w:val="000000" w:themeColor="text1"/>
          <w:sz w:val="28"/>
          <w:szCs w:val="28"/>
          <w14:textFill>
            <w14:solidFill>
              <w14:schemeClr w14:val="tx1"/>
            </w14:solidFill>
          </w14:textFill>
        </w:rPr>
      </w:pPr>
    </w:p>
    <w:p>
      <w:pPr>
        <w:pStyle w:val="14"/>
        <w:snapToGrid w:val="0"/>
        <w:spacing w:line="500" w:lineRule="exact"/>
        <w:ind w:left="476" w:leftChars="203" w:hanging="50" w:hangingChars="18"/>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甲方：                                乙方：</w:t>
      </w:r>
    </w:p>
    <w:p>
      <w:pPr>
        <w:pStyle w:val="14"/>
        <w:snapToGrid w:val="0"/>
        <w:spacing w:line="500" w:lineRule="exact"/>
        <w:ind w:firstLine="425" w:firstLineChars="152"/>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地址：                                地址：</w:t>
      </w:r>
    </w:p>
    <w:p>
      <w:pPr>
        <w:pStyle w:val="14"/>
        <w:snapToGrid w:val="0"/>
        <w:spacing w:line="500" w:lineRule="exact"/>
        <w:ind w:firstLine="425" w:firstLineChars="152"/>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法定代表人或授权代表：                法定代表人或授权代表：</w:t>
      </w:r>
    </w:p>
    <w:p>
      <w:pPr>
        <w:pStyle w:val="14"/>
        <w:snapToGrid w:val="0"/>
        <w:spacing w:line="500" w:lineRule="exact"/>
        <w:ind w:firstLine="425" w:firstLineChars="152"/>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联系电话：                            联系电话：</w:t>
      </w:r>
    </w:p>
    <w:p>
      <w:pPr>
        <w:pStyle w:val="14"/>
        <w:snapToGrid w:val="0"/>
        <w:spacing w:line="500" w:lineRule="exact"/>
        <w:ind w:firstLine="5740" w:firstLineChars="2050"/>
        <w:rPr>
          <w:rFonts w:asciiTheme="majorEastAsia" w:hAnsiTheme="majorEastAsia" w:eastAsiaTheme="majorEastAsia"/>
          <w:color w:val="000000" w:themeColor="text1"/>
          <w:sz w:val="28"/>
          <w:szCs w:val="28"/>
          <w14:textFill>
            <w14:solidFill>
              <w14:schemeClr w14:val="tx1"/>
            </w14:solidFill>
          </w14:textFill>
        </w:rPr>
      </w:pPr>
    </w:p>
    <w:p>
      <w:pPr>
        <w:pStyle w:val="14"/>
        <w:snapToGrid w:val="0"/>
        <w:spacing w:line="500" w:lineRule="exact"/>
        <w:ind w:firstLine="5740" w:firstLineChars="2050"/>
        <w:rPr>
          <w:rFonts w:asciiTheme="majorEastAsia" w:hAnsiTheme="majorEastAsia" w:eastAsiaTheme="majorEastAsia"/>
          <w:color w:val="000000" w:themeColor="text1"/>
          <w:sz w:val="28"/>
          <w:szCs w:val="28"/>
          <w14:textFill>
            <w14:solidFill>
              <w14:schemeClr w14:val="tx1"/>
            </w14:solidFill>
          </w14:textFill>
        </w:rPr>
      </w:pPr>
    </w:p>
    <w:p>
      <w:pPr>
        <w:pStyle w:val="14"/>
        <w:snapToGrid w:val="0"/>
        <w:spacing w:line="500" w:lineRule="exact"/>
        <w:ind w:firstLine="5320" w:firstLineChars="190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签订日期：   年   月  日</w:t>
      </w:r>
    </w:p>
    <w:p>
      <w:pPr>
        <w:pStyle w:val="33"/>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33"/>
        <w:spacing w:line="520" w:lineRule="exact"/>
        <w:jc w:val="center"/>
        <w:rPr>
          <w:rFonts w:asciiTheme="minorEastAsia" w:hAnsiTheme="minorEastAsia" w:eastAsiaTheme="minorEastAsia"/>
          <w:b/>
          <w:color w:val="000000" w:themeColor="text1"/>
          <w:sz w:val="36"/>
          <w:szCs w:val="36"/>
          <w14:textFill>
            <w14:solidFill>
              <w14:schemeClr w14:val="tx1"/>
            </w14:solidFill>
          </w14:textFill>
        </w:rPr>
      </w:pPr>
    </w:p>
    <w:p>
      <w:pPr>
        <w:pStyle w:val="33"/>
        <w:spacing w:line="520" w:lineRule="exact"/>
        <w:jc w:val="both"/>
        <w:rPr>
          <w:rFonts w:asciiTheme="minorEastAsia" w:hAnsiTheme="minorEastAsia" w:eastAsiaTheme="minorEastAsia"/>
          <w:b/>
          <w:color w:val="000000" w:themeColor="text1"/>
          <w:sz w:val="36"/>
          <w:szCs w:val="36"/>
          <w14:textFill>
            <w14:solidFill>
              <w14:schemeClr w14:val="tx1"/>
            </w14:solidFill>
          </w14:textFill>
        </w:rPr>
      </w:pPr>
    </w:p>
    <w:p>
      <w:pPr>
        <w:pStyle w:val="19"/>
        <w:rPr>
          <w:color w:val="000000" w:themeColor="text1"/>
          <w14:textFill>
            <w14:solidFill>
              <w14:schemeClr w14:val="tx1"/>
            </w14:solidFill>
          </w14:textFill>
        </w:rPr>
      </w:pPr>
      <w:bookmarkStart w:id="22" w:name="_Toc116051295"/>
      <w:r>
        <w:rPr>
          <w:rFonts w:hint="eastAsia"/>
          <w:color w:val="000000" w:themeColor="text1"/>
          <w14:textFill>
            <w14:solidFill>
              <w14:schemeClr w14:val="tx1"/>
            </w14:solidFill>
          </w14:textFill>
        </w:rPr>
        <w:t>第四章 项目需求</w:t>
      </w:r>
      <w:bookmarkEnd w:id="22"/>
    </w:p>
    <w:tbl>
      <w:tblPr>
        <w:tblStyle w:val="25"/>
        <w:tblW w:w="9517" w:type="dxa"/>
        <w:jc w:val="center"/>
        <w:tblLayout w:type="fixed"/>
        <w:tblCellMar>
          <w:top w:w="0" w:type="dxa"/>
          <w:left w:w="0" w:type="dxa"/>
          <w:bottom w:w="0" w:type="dxa"/>
          <w:right w:w="0" w:type="dxa"/>
        </w:tblCellMar>
      </w:tblPr>
      <w:tblGrid>
        <w:gridCol w:w="891"/>
        <w:gridCol w:w="7835"/>
        <w:gridCol w:w="791"/>
      </w:tblGrid>
      <w:tr>
        <w:tblPrEx>
          <w:tblCellMar>
            <w:top w:w="0" w:type="dxa"/>
            <w:left w:w="0" w:type="dxa"/>
            <w:bottom w:w="0" w:type="dxa"/>
            <w:right w:w="0" w:type="dxa"/>
          </w:tblCellMar>
        </w:tblPrEx>
        <w:trPr>
          <w:trHeight w:val="439" w:hRule="atLeast"/>
          <w:tblHeader/>
          <w:jc w:val="center"/>
        </w:trPr>
        <w:tc>
          <w:tcPr>
            <w:tcW w:w="891" w:type="dxa"/>
            <w:tcBorders>
              <w:top w:val="single" w:color="auto" w:sz="8" w:space="0"/>
              <w:left w:val="single" w:color="auto" w:sz="8" w:space="0"/>
              <w:bottom w:val="single" w:color="auto" w:sz="8" w:space="0"/>
              <w:right w:val="single" w:color="auto" w:sz="8" w:space="0"/>
            </w:tcBorders>
            <w:shd w:val="clear" w:color="auto" w:fill="8DB3E2"/>
            <w:tcMar>
              <w:top w:w="0" w:type="dxa"/>
              <w:left w:w="108" w:type="dxa"/>
              <w:bottom w:w="0" w:type="dxa"/>
              <w:right w:w="108" w:type="dxa"/>
            </w:tcMar>
            <w:vAlign w:val="center"/>
          </w:tcPr>
          <w:p>
            <w:pPr>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名称</w:t>
            </w:r>
          </w:p>
        </w:tc>
        <w:tc>
          <w:tcPr>
            <w:tcW w:w="7835" w:type="dxa"/>
            <w:tcBorders>
              <w:top w:val="single" w:color="auto" w:sz="8" w:space="0"/>
              <w:left w:val="nil"/>
              <w:bottom w:val="single" w:color="auto" w:sz="8" w:space="0"/>
              <w:right w:val="single" w:color="auto" w:sz="8" w:space="0"/>
            </w:tcBorders>
            <w:shd w:val="clear" w:color="auto" w:fill="8DB3E2"/>
            <w:tcMar>
              <w:top w:w="0" w:type="dxa"/>
              <w:left w:w="108" w:type="dxa"/>
              <w:bottom w:w="0" w:type="dxa"/>
              <w:right w:w="108" w:type="dxa"/>
            </w:tcMar>
            <w:vAlign w:val="center"/>
          </w:tcPr>
          <w:p>
            <w:pPr>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参数要求</w:t>
            </w:r>
          </w:p>
        </w:tc>
        <w:tc>
          <w:tcPr>
            <w:tcW w:w="791" w:type="dxa"/>
            <w:tcBorders>
              <w:top w:val="single" w:color="auto" w:sz="8" w:space="0"/>
              <w:left w:val="nil"/>
              <w:bottom w:val="single" w:color="auto" w:sz="8" w:space="0"/>
              <w:right w:val="single" w:color="auto" w:sz="8" w:space="0"/>
            </w:tcBorders>
            <w:shd w:val="clear" w:color="auto" w:fill="8DB3E2"/>
            <w:tcMar>
              <w:top w:w="0" w:type="dxa"/>
              <w:left w:w="108" w:type="dxa"/>
              <w:bottom w:w="0" w:type="dxa"/>
              <w:right w:w="108" w:type="dxa"/>
            </w:tcMar>
            <w:vAlign w:val="center"/>
          </w:tcPr>
          <w:p>
            <w:pPr>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数量</w:t>
            </w:r>
          </w:p>
        </w:tc>
      </w:tr>
      <w:tr>
        <w:tblPrEx>
          <w:tblCellMar>
            <w:top w:w="0" w:type="dxa"/>
            <w:left w:w="0" w:type="dxa"/>
            <w:bottom w:w="0" w:type="dxa"/>
            <w:right w:w="0" w:type="dxa"/>
          </w:tblCellMar>
        </w:tblPrEx>
        <w:trPr>
          <w:trHeight w:val="623" w:hRule="atLeast"/>
          <w:jc w:val="center"/>
        </w:trPr>
        <w:tc>
          <w:tcPr>
            <w:tcW w:w="8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高校内部审计管理系统</w:t>
            </w:r>
          </w:p>
        </w:tc>
        <w:tc>
          <w:tcPr>
            <w:tcW w:w="78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ind w:firstLine="482" w:firstLineChars="200"/>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 xml:space="preserve">一、技术要求： </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1、基于SOA 的.NET开发平台进行系统设计，实现客户端免维护，支持至少 户并发访问；</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2、技术框架使用XAF（DevExpress eXpressApp Framework），允许同时开发ASP.NET和WinForms，可以保障系统未来功能的拓展；</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3、支持Window Server 2003/2008/2012/2016/2019等服务器操作系统和各种主流数据库，如SQL Server、Oracle等；</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4、支持Windows XP/Windows7/Windows8/Windows10等操作系统；</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5、具有标准Web service接口，基于可编程的web的应用程序，可使用开放的XML（标准通用标记语言下的一个子集）标准与第三方系统实现信息数据的交互；</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6、具有文档导入、导出功能，系统在使用过程中查询、分析得到的结果，可以直接导出为Word、Excel、PDF、Html、TXT等多种格式，同时在进行审计作业时也能支持Word、Excel文档的导入；</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7、可以直接使用办公软件进行文档的在线编辑，同时均可实现自动取数、快速生成工作底稿；</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8、提供分析结果图形化展示，并可以在分析窗口中对相关数据进行追溯查询，帮助审计人员快速找出疑点数据；</w:t>
            </w:r>
          </w:p>
          <w:p>
            <w:pPr>
              <w:widowControl/>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9、支持2019年1月1日起执行的新政府会计制度；</w:t>
            </w:r>
          </w:p>
          <w:p>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10、支持国家标准、地方标准下导出的财务数据的直接转换；支持财务系统数据的采集；</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11、支持U盘采集、联网采集、财务数据备份采集、 Excel手工账等多种方式；同时支持CSIAABM 98001号标准、信息技术会计核算软件数据接口（GB/T19581—2004）标准下导出的财务数据的直接转换；</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12、支持基础库（主库）和账套库物理分离管理维护；</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13、支持一个项目包括多个账套，多个账套之间可以查询界面切换查询、列表方式进行查询；</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14、系统支持与任意品牌高拍仪对接，实现附件取证；</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15、支持底稿与法规进行关联，生成底稿时根据选择的问题自动与法律法规关联；</w:t>
            </w:r>
          </w:p>
          <w:p>
            <w:pPr>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16、系统包含审计计划管理、项目立项管理、数据采集导入、审计数据查询、审计数据分析、报表审计分析、内控审计工具、其他审计工具、审计工作记录、审计结论、后续跟踪、审计项目管理、审计成果管理、审计档案管理、审计综合管理、工程审计管理、物资采购审计、风险内控审计、法律法规、审计案例、系统管理功能。</w:t>
            </w:r>
          </w:p>
          <w:p>
            <w:p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二、功能需求</w:t>
            </w:r>
          </w:p>
          <w:p>
            <w:p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1、审计计划</w:t>
            </w:r>
          </w:p>
          <w:p>
            <w:pPr>
              <w:numPr>
                <w:ilvl w:val="0"/>
                <w:numId w:val="1"/>
              </w:numPr>
              <w:ind w:firstLine="482"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kern w:val="0"/>
                <w:sz w:val="24"/>
              </w:rPr>
              <w:t>审计计划管理</w:t>
            </w:r>
          </w:p>
          <w:p>
            <w:pPr>
              <w:ind w:firstLine="480"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提供审计计划编制与立项审批功能，可进行详细的审计计划编制，并对编辑保存的审计计划，提请立项审批。</w:t>
            </w:r>
          </w:p>
          <w:p>
            <w:pPr>
              <w:numPr>
                <w:ilvl w:val="0"/>
                <w:numId w:val="1"/>
              </w:numPr>
              <w:ind w:firstLine="482"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kern w:val="0"/>
                <w:sz w:val="24"/>
              </w:rPr>
              <w:t>项目立项管理</w:t>
            </w:r>
          </w:p>
          <w:p>
            <w:pPr>
              <w:ind w:firstLine="480"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计划内与计划外审计项目一同管理，立项信息管理全面，包括项目基本信息、项目参与人员、项目人员分工、审计数据挂接等。</w:t>
            </w:r>
          </w:p>
          <w:p>
            <w:pPr>
              <w:numPr>
                <w:ilvl w:val="0"/>
                <w:numId w:val="1"/>
              </w:numPr>
              <w:ind w:firstLine="482"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kern w:val="0"/>
                <w:sz w:val="24"/>
              </w:rPr>
              <w:t>项目审计准备-标准化的流程模版</w:t>
            </w:r>
          </w:p>
          <w:p>
            <w:pPr>
              <w:ind w:firstLine="480" w:firstLineChars="200"/>
              <w:jc w:val="left"/>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提供标准化的作业流程底稿模版，在执行相关作业文档编辑时可以随时调用，从而规范审计作业流程。</w:t>
            </w:r>
          </w:p>
          <w:p>
            <w:pPr>
              <w:numPr>
                <w:ilvl w:val="0"/>
                <w:numId w:val="1"/>
              </w:num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kern w:val="0"/>
                <w:sz w:val="24"/>
              </w:rPr>
              <w:t>项目审计准备-数据采集与导入</w:t>
            </w:r>
          </w:p>
          <w:p>
            <w:pPr>
              <w:ind w:firstLine="480"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kern w:val="0"/>
                <w:sz w:val="24"/>
              </w:rPr>
              <w:t>实现财务软件数据的采集与数据导入，数据采集快捷方便、安全可靠，采集导入速度快，支持1000多种财务软件各版本数据的采集与导入；向导式的采集工具操作快捷简便，能够智能识别软件类型、搜索财务账套、数据文件搜索等智能化的辅助采集功能；采用“只读不写”的安全采集方式，确保采集时原财务数据的安全性；导入后的数据完整准确，包含财务的总账和辅助核算数据，保持与原财务软件数据一致。支持高校特殊以部门为独立审计对象，避免在数据采集过程中采集其他部门数据，采集工具需要支持按部门过滤数据，只采集选择部门相关数据，对于多借多贷凭证涉及多个部门取完整凭证数据。</w:t>
            </w:r>
          </w:p>
          <w:p>
            <w:p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2、审计执行</w:t>
            </w:r>
          </w:p>
          <w:p>
            <w:pPr>
              <w:numPr>
                <w:ilvl w:val="0"/>
                <w:numId w:val="2"/>
              </w:num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审计数据查询</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（1）数据审前准备-准确性校验：</w:t>
            </w:r>
            <w:r>
              <w:rPr>
                <w:rFonts w:hint="eastAsia" w:asciiTheme="minorEastAsia" w:hAnsiTheme="minorEastAsia" w:eastAsiaTheme="minorEastAsia" w:cstheme="minorEastAsia"/>
                <w:color w:val="000000"/>
                <w:sz w:val="24"/>
              </w:rPr>
              <w:t>全面的审计数据校验检查功能，对于所取得的审计数据进行准确性、完整性、规范性检查，包括各年度的证借贷平衡校验、年初总账平衡校验明细、凭证分录统计表、科目辅助核算信息等。</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（2）数据审前准备-行业科目对照：</w:t>
            </w:r>
            <w:r>
              <w:rPr>
                <w:rFonts w:hint="eastAsia" w:asciiTheme="minorEastAsia" w:hAnsiTheme="minorEastAsia" w:eastAsiaTheme="minorEastAsia" w:cstheme="minorEastAsia"/>
                <w:color w:val="000000"/>
                <w:sz w:val="24"/>
              </w:rPr>
              <w:t>通过行业科目智能对照功能，各种行业报表和财务审计底稿就可以快速、准确、完整生成。</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（3）常用查账工具：</w:t>
            </w:r>
            <w:r>
              <w:rPr>
                <w:rFonts w:hint="eastAsia" w:asciiTheme="minorEastAsia" w:hAnsiTheme="minorEastAsia" w:eastAsiaTheme="minorEastAsia" w:cstheme="minorEastAsia"/>
                <w:color w:val="000000"/>
                <w:sz w:val="24"/>
              </w:rPr>
              <w:t>包括“科目汇总表查询、明细账查询、凭证综合查询、数量汇总表查询”等功能，满足对被审计单位基本财务信息的查询。</w:t>
            </w:r>
          </w:p>
          <w:p>
            <w:pPr>
              <w:widowControl/>
              <w:ind w:firstLine="482" w:firstLineChars="20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b/>
                <w:color w:val="000000"/>
                <w:sz w:val="24"/>
              </w:rPr>
              <w:t>（4）多种辅助查账工具：</w:t>
            </w:r>
            <w:r>
              <w:rPr>
                <w:rFonts w:hint="eastAsia" w:asciiTheme="minorEastAsia" w:hAnsiTheme="minorEastAsia" w:eastAsiaTheme="minorEastAsia" w:cstheme="minorEastAsia"/>
                <w:color w:val="000000"/>
                <w:sz w:val="24"/>
              </w:rPr>
              <w:t>包括“辅助核算查询、多重辅助核算查询、项目核算收支余、经济分类收支余、经济分类汇总分析、跨年统计分析、收支汇总分析、项目余额表”等功能，满足审计时的辅助查账需要。</w:t>
            </w:r>
          </w:p>
          <w:p>
            <w:pPr>
              <w:numPr>
                <w:ilvl w:val="0"/>
                <w:numId w:val="2"/>
              </w:num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审计数据分析</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（1）审计智能查账专家：</w:t>
            </w:r>
            <w:r>
              <w:rPr>
                <w:rFonts w:hint="eastAsia" w:asciiTheme="minorEastAsia" w:hAnsiTheme="minorEastAsia" w:eastAsiaTheme="minorEastAsia" w:cstheme="minorEastAsia"/>
                <w:color w:val="000000"/>
                <w:sz w:val="24"/>
              </w:rPr>
              <w:t>各种查账分析方法设置成智能查账方案，可快速地执行疑点智能排查，存在疑点的凭证按审计问题分类显示，供审计人员进行快速的疑点排查；对于排查的疑点可快速生成智能查账底稿，按审计问题分类自动引入关联法规依据，实现疑点问题快速发现、快速记录、疑点取证等智能审计功能。</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（2）多视角的审计数据分析：</w:t>
            </w:r>
            <w:r>
              <w:rPr>
                <w:rFonts w:hint="eastAsia" w:asciiTheme="minorEastAsia" w:hAnsiTheme="minorEastAsia" w:eastAsiaTheme="minorEastAsia" w:cstheme="minorEastAsia"/>
                <w:color w:val="000000"/>
                <w:sz w:val="24"/>
              </w:rPr>
              <w:t>包括目总体分析、账龄综合分析、余额方向异常分析、对方科目分析、多科目结构分析、与上年总体对比分析、与上年各月比较分析、科目横向对比分析”等功能，分析结果图文并茂，易于发现审计疑点。</w:t>
            </w:r>
          </w:p>
          <w:p>
            <w:pPr>
              <w:numPr>
                <w:ilvl w:val="0"/>
                <w:numId w:val="2"/>
              </w:num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报表审计分析</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提供对《资产负债表》《利润（收入支出）表》等报表数据的快速生成，并可对生成后的报表数据进行多种报表分析功能，包括“其他期间报表数据、年度对比分析”等。</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（1）截止期报表数据生成：</w:t>
            </w:r>
            <w:r>
              <w:rPr>
                <w:rFonts w:hint="eastAsia" w:asciiTheme="minorEastAsia" w:hAnsiTheme="minorEastAsia" w:eastAsiaTheme="minorEastAsia" w:cstheme="minorEastAsia"/>
                <w:color w:val="000000"/>
                <w:sz w:val="24"/>
              </w:rPr>
              <w:t>报表生成分析，提供完整的报表编辑，可快速自动生成截止期的资产负债表、利润（收入支出）表等。</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（2）其他期间报表数据：</w:t>
            </w:r>
            <w:r>
              <w:rPr>
                <w:rFonts w:hint="eastAsia" w:asciiTheme="minorEastAsia" w:hAnsiTheme="minorEastAsia" w:eastAsiaTheme="minorEastAsia" w:cstheme="minorEastAsia"/>
                <w:color w:val="000000"/>
                <w:sz w:val="24"/>
              </w:rPr>
              <w:t>可生成其他期间报表数据。</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（3）年度对比分析：</w:t>
            </w:r>
            <w:r>
              <w:rPr>
                <w:rFonts w:hint="eastAsia" w:asciiTheme="minorEastAsia" w:hAnsiTheme="minorEastAsia" w:eastAsiaTheme="minorEastAsia" w:cstheme="minorEastAsia"/>
                <w:color w:val="000000"/>
                <w:sz w:val="24"/>
              </w:rPr>
              <w:t>对报表数据做年度对比分析。</w:t>
            </w:r>
          </w:p>
          <w:p>
            <w:pPr>
              <w:numPr>
                <w:ilvl w:val="0"/>
                <w:numId w:val="2"/>
              </w:num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其他审计工具：</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（1）数据审前准备：</w:t>
            </w:r>
            <w:r>
              <w:rPr>
                <w:rFonts w:hint="eastAsia" w:asciiTheme="minorEastAsia" w:hAnsiTheme="minorEastAsia" w:eastAsiaTheme="minorEastAsia" w:cstheme="minorEastAsia"/>
                <w:color w:val="000000"/>
                <w:sz w:val="24"/>
              </w:rPr>
              <w:t>包括科目对照手工调整、数据按年度测试、跨年辅助核算调整、跨年科目批量调整”。</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（2）辅助查账工具：</w:t>
            </w:r>
            <w:r>
              <w:rPr>
                <w:rFonts w:hint="eastAsia" w:asciiTheme="minorEastAsia" w:hAnsiTheme="minorEastAsia" w:eastAsiaTheme="minorEastAsia" w:cstheme="minorEastAsia"/>
                <w:color w:val="000000"/>
                <w:sz w:val="24"/>
              </w:rPr>
              <w:t>包括“集成查账中心、跨期科目汇总表查询、自定义明细账、指定期间汇总、外币汇总表查询、审计差异调整汇总表”等。</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（3）其他测试工具：</w:t>
            </w:r>
            <w:r>
              <w:rPr>
                <w:rFonts w:hint="eastAsia" w:asciiTheme="minorEastAsia" w:hAnsiTheme="minorEastAsia" w:eastAsiaTheme="minorEastAsia" w:cstheme="minorEastAsia"/>
                <w:color w:val="000000"/>
                <w:sz w:val="24"/>
              </w:rPr>
              <w:t>包括“单科目抽样、多科目批量抽样、存货计价分析、固定资产测试、利息计算工具、银行对账工具”等。</w:t>
            </w:r>
          </w:p>
          <w:p>
            <w:pPr>
              <w:numPr>
                <w:ilvl w:val="0"/>
                <w:numId w:val="2"/>
              </w:num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审计工作记录</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将各种审计查询与分析所形成的记录结果按类管理，分为抽查凭证记录、疑点凭证记录、审计函证管理、编制调整分录。</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可对整个审计过程中形成的工作底稿，统一管理。</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可将审计人员每天工作情况，生成审计工作日记进行存放。</w:t>
            </w:r>
          </w:p>
          <w:p>
            <w:p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3、审计结论</w:t>
            </w:r>
          </w:p>
          <w:p>
            <w:pPr>
              <w:numPr>
                <w:ilvl w:val="0"/>
                <w:numId w:val="3"/>
              </w:num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审计结论汇总</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生成的结论性底稿，可以按底稿编制人员进行审计小结】的生成，汇总审计发现的问题、审计意见及建议等。</w:t>
            </w:r>
          </w:p>
          <w:p>
            <w:pPr>
              <w:numPr>
                <w:ilvl w:val="0"/>
                <w:numId w:val="3"/>
              </w:num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自动生成审计报告</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在项目报告阶段，项目主审可通过审计组成员生成的【审计小结】自动生成审计报告。</w:t>
            </w:r>
          </w:p>
          <w:p>
            <w:pPr>
              <w:numPr>
                <w:ilvl w:val="0"/>
                <w:numId w:val="3"/>
              </w:numPr>
              <w:ind w:firstLine="482"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sz w:val="24"/>
              </w:rPr>
              <w:t>审计报告管理</w:t>
            </w:r>
          </w:p>
          <w:p>
            <w:pPr>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sz w:val="24"/>
              </w:rPr>
              <w:t>对于自动生成的审计报告进行报告管理，以及记录</w:t>
            </w:r>
            <w:r>
              <w:rPr>
                <w:rFonts w:hint="eastAsia" w:asciiTheme="minorEastAsia" w:hAnsiTheme="minorEastAsia" w:eastAsiaTheme="minorEastAsia" w:cstheme="minorEastAsia"/>
                <w:color w:val="000000"/>
                <w:kern w:val="0"/>
                <w:sz w:val="24"/>
              </w:rPr>
              <w:t>被审单位对审计报告的意见反馈等。</w:t>
            </w:r>
          </w:p>
          <w:p>
            <w:pPr>
              <w:numPr>
                <w:ilvl w:val="0"/>
                <w:numId w:val="3"/>
              </w:numPr>
              <w:ind w:firstLine="482"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sz w:val="24"/>
              </w:rPr>
              <w:t>项目工作记录</w:t>
            </w:r>
          </w:p>
          <w:p>
            <w:pPr>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sz w:val="24"/>
              </w:rPr>
              <w:t>可查看当前项目账套项目作业底稿、工作底稿、会计报表、疑点凭证、抽查凭证、调整分录、账龄分析等工作记录</w:t>
            </w:r>
            <w:r>
              <w:rPr>
                <w:rFonts w:hint="eastAsia" w:asciiTheme="minorEastAsia" w:hAnsiTheme="minorEastAsia" w:eastAsiaTheme="minorEastAsia" w:cstheme="minorEastAsia"/>
                <w:color w:val="000000"/>
                <w:kern w:val="0"/>
                <w:sz w:val="24"/>
              </w:rPr>
              <w:t>。</w:t>
            </w:r>
          </w:p>
          <w:p>
            <w:p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4、后续跟踪</w:t>
            </w:r>
          </w:p>
          <w:p>
            <w:pPr>
              <w:numPr>
                <w:ilvl w:val="0"/>
                <w:numId w:val="4"/>
              </w:numPr>
              <w:ind w:firstLine="482"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kern w:val="0"/>
                <w:sz w:val="24"/>
              </w:rPr>
              <w:t>审计整改情况</w:t>
            </w:r>
          </w:p>
          <w:p>
            <w:pPr>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在后续跟踪过程中，可对被审计单位的整改情况进行跟踪、督办，并进行《审计整改报告》和《被审单位整改报告》的记录与管理。</w:t>
            </w:r>
          </w:p>
          <w:p>
            <w:pPr>
              <w:numPr>
                <w:ilvl w:val="0"/>
                <w:numId w:val="4"/>
              </w:numPr>
              <w:ind w:firstLine="482"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kern w:val="0"/>
                <w:sz w:val="24"/>
              </w:rPr>
              <w:t>后续跟踪底稿</w:t>
            </w:r>
          </w:p>
          <w:p>
            <w:pPr>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实现对后续审计过程中的审计底稿、回访记录等进行管理。</w:t>
            </w:r>
          </w:p>
          <w:p>
            <w:p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5、审计管理</w:t>
            </w:r>
          </w:p>
          <w:p>
            <w:pPr>
              <w:numPr>
                <w:ilvl w:val="0"/>
                <w:numId w:val="3"/>
              </w:numPr>
              <w:ind w:firstLine="482"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sz w:val="24"/>
              </w:rPr>
              <w:t xml:space="preserve">审计项目管理 </w:t>
            </w:r>
          </w:p>
          <w:p>
            <w:pPr>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用于对于审计计划、审计项目、审计整改情况的进展及成果进行综合的查询，便于组织协调项目进展，跟踪监督审计项目实施过程及审计整改情况跟踪管理。</w:t>
            </w:r>
          </w:p>
          <w:p>
            <w:pPr>
              <w:numPr>
                <w:ilvl w:val="0"/>
                <w:numId w:val="3"/>
              </w:num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审计成果管理</w:t>
            </w:r>
            <w:r>
              <w:rPr>
                <w:rFonts w:hint="eastAsia" w:asciiTheme="minorEastAsia" w:hAnsiTheme="minorEastAsia" w:eastAsiaTheme="minorEastAsia" w:cstheme="minorEastAsia"/>
                <w:color w:val="000000"/>
                <w:kern w:val="0"/>
                <w:sz w:val="24"/>
              </w:rPr>
              <w:t xml:space="preserve"> </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用于反映整个审计部门的业务成果的系统模块，审计部门可将本部门每年审计工作中发现的问题、整改建议、后续审计情况等进行台账登记，并且可以根据各期间台账内容，自动生成审计统计报表数据，从而使整个审计作业流程达到更加规范化和完整。用于审计项目台账的填列、汇总。根据审计项目台账，可以自动生成审计意见落实台账部分内容、各审计统计报表相关各项内容。实现审计意见落实台账填列、汇总，并能实现分类管理，可结合公司目前的审计统计报表体系，可以实现自由定制审计统计报表格式、自动汇总以及查询统计报表等功能。</w:t>
            </w:r>
          </w:p>
          <w:p>
            <w:pPr>
              <w:numPr>
                <w:ilvl w:val="0"/>
                <w:numId w:val="3"/>
              </w:numPr>
              <w:ind w:firstLine="482"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sz w:val="24"/>
              </w:rPr>
              <w:t>审计档案管理</w:t>
            </w:r>
            <w:r>
              <w:rPr>
                <w:rFonts w:hint="eastAsia" w:asciiTheme="minorEastAsia" w:hAnsiTheme="minorEastAsia" w:eastAsiaTheme="minorEastAsia" w:cstheme="minorEastAsia"/>
                <w:color w:val="000000"/>
                <w:kern w:val="0"/>
                <w:sz w:val="24"/>
              </w:rPr>
              <w:t xml:space="preserve"> </w:t>
            </w:r>
          </w:p>
          <w:p>
            <w:pPr>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在项目审计结束时，所有项目相关的电子文档可自动归档；项目档案一键自动归档，审计档案目录自动生成，系统自动按照档案目录模板生成档案目录及页码；系统可自动将审计档案附件Word、Excel、图片等合并成一个PDF文档文件，自动生成档案页码，支持一键打印。对于审计部门日常的其他电子文档，如“会议、培训、收发文需要进行归档管理的电子资料”等，进行业务档案归档管理。对于归档的电子资料，进行用户查询的授权管理，保证档案资料的保密性；提供审计档案借阅管理功能。</w:t>
            </w:r>
          </w:p>
          <w:p>
            <w:pPr>
              <w:numPr>
                <w:ilvl w:val="0"/>
                <w:numId w:val="3"/>
              </w:num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审计综合管理</w:t>
            </w:r>
            <w:r>
              <w:rPr>
                <w:rFonts w:hint="eastAsia" w:asciiTheme="minorEastAsia" w:hAnsiTheme="minorEastAsia" w:eastAsiaTheme="minorEastAsia" w:cstheme="minorEastAsia"/>
                <w:color w:val="000000"/>
                <w:kern w:val="0"/>
                <w:sz w:val="24"/>
              </w:rPr>
              <w:t xml:space="preserve"> </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审计综合管理是对审计部门日常工作的管理统计，包括审计部门的人员培训管理、</w:t>
            </w:r>
            <w:r>
              <w:rPr>
                <w:rFonts w:hint="eastAsia" w:asciiTheme="minorEastAsia" w:hAnsiTheme="minorEastAsia" w:eastAsiaTheme="minorEastAsia" w:cstheme="minorEastAsia"/>
                <w:iCs/>
                <w:color w:val="000000"/>
                <w:sz w:val="24"/>
              </w:rPr>
              <w:t>员工绩效考核、绩效考核统计、网上投稿管理、个人参加项目、年度工作业绩等功能</w:t>
            </w:r>
            <w:r>
              <w:rPr>
                <w:rFonts w:hint="eastAsia" w:asciiTheme="minorEastAsia" w:hAnsiTheme="minorEastAsia" w:eastAsiaTheme="minorEastAsia" w:cstheme="minorEastAsia"/>
                <w:color w:val="000000"/>
                <w:sz w:val="24"/>
              </w:rPr>
              <w:t>。</w:t>
            </w:r>
          </w:p>
          <w:p>
            <w:p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6、专项审计</w:t>
            </w:r>
          </w:p>
          <w:p>
            <w:pPr>
              <w:numPr>
                <w:ilvl w:val="0"/>
                <w:numId w:val="3"/>
              </w:num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工程审计管理</w:t>
            </w:r>
            <w:r>
              <w:rPr>
                <w:rFonts w:hint="eastAsia" w:asciiTheme="minorEastAsia" w:hAnsiTheme="minorEastAsia" w:eastAsiaTheme="minorEastAsia" w:cstheme="minorEastAsia"/>
                <w:color w:val="000000"/>
                <w:sz w:val="24"/>
              </w:rPr>
              <w:t xml:space="preserve"> </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针对高校工程管理过程，采用现代化的工程审计管理，创新高校工程项目和信息流的管理手段，实现全面集中的管理。审计部门可即时了解项目进度，实时掌握项目运营状况，及时发现及解决问题；项目资源数据共享，有效协同。全面实现从工程送审到工程审定的全过程流程管理。从招标控制价审核、招标文件审核、合同文本审核、工程变更、签证审计、工程进度款审计进度跟踪管理。 </w:t>
            </w:r>
          </w:p>
          <w:p>
            <w:pPr>
              <w:widowControl/>
              <w:ind w:firstLine="482" w:firstLineChars="200"/>
              <w:contextualSpacing/>
              <w:rPr>
                <w:rFonts w:asciiTheme="minorEastAsia" w:hAnsiTheme="minorEastAsia" w:eastAsiaTheme="minorEastAsia" w:cstheme="minorEastAsia"/>
                <w:color w:val="000000"/>
                <w:sz w:val="24"/>
              </w:rPr>
            </w:pPr>
            <w:bookmarkStart w:id="23" w:name="OLE_LINK3"/>
            <w:bookmarkStart w:id="24" w:name="_Toc446487858"/>
            <w:r>
              <w:rPr>
                <w:rFonts w:hint="eastAsia" w:asciiTheme="minorEastAsia" w:hAnsiTheme="minorEastAsia" w:eastAsiaTheme="minorEastAsia" w:cstheme="minorEastAsia"/>
                <w:b/>
                <w:color w:val="000000"/>
                <w:sz w:val="24"/>
              </w:rPr>
              <w:t>（1）立项</w:t>
            </w:r>
            <w:bookmarkEnd w:id="23"/>
            <w:r>
              <w:rPr>
                <w:rFonts w:hint="eastAsia" w:asciiTheme="minorEastAsia" w:hAnsiTheme="minorEastAsia" w:eastAsiaTheme="minorEastAsia" w:cstheme="minorEastAsia"/>
                <w:b/>
                <w:color w:val="000000"/>
                <w:sz w:val="24"/>
              </w:rPr>
              <w:t>阶段</w:t>
            </w:r>
            <w:bookmarkEnd w:id="24"/>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sz w:val="24"/>
              </w:rPr>
              <w:t>主要实现工程审计项目建立，项目附件接收、项目审核三个方面内容，项目立项信息包括项目编号、项目分类、项目名称、工程项目管理部门、设计单位、施工单位等内容，项目附件接收实现在资料的送审材料按预先设定的清单栏逐项提交并打钩。项目审核对工程管理人员上报的资料进行审核，审核通过后可以进入下一阶段。</w:t>
            </w:r>
          </w:p>
          <w:p>
            <w:pPr>
              <w:widowControl/>
              <w:ind w:firstLine="482" w:firstLineChars="200"/>
              <w:contextualSpacing/>
              <w:rPr>
                <w:rFonts w:asciiTheme="minorEastAsia" w:hAnsiTheme="minorEastAsia" w:eastAsiaTheme="minorEastAsia" w:cstheme="minorEastAsia"/>
                <w:color w:val="000000"/>
                <w:sz w:val="24"/>
              </w:rPr>
            </w:pPr>
            <w:bookmarkStart w:id="25" w:name="_Toc446487859"/>
            <w:r>
              <w:rPr>
                <w:rFonts w:hint="eastAsia" w:asciiTheme="minorEastAsia" w:hAnsiTheme="minorEastAsia" w:eastAsiaTheme="minorEastAsia" w:cstheme="minorEastAsia"/>
                <w:b/>
                <w:color w:val="000000"/>
                <w:sz w:val="24"/>
              </w:rPr>
              <w:t>（2）招投标阶段</w:t>
            </w:r>
            <w:bookmarkEnd w:id="25"/>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sz w:val="24"/>
              </w:rPr>
              <w:t>实现对招标文件审核和招标价格审核，招标文件审核实现在资料的送审材料按预先设定的清单栏逐项提交并打钩。招标价格审核审计人员在审计信息平台上签署审计意见，及最终审定金额，并出具事前审定单，反馈基建管理部门签字、确认。</w:t>
            </w:r>
          </w:p>
          <w:p>
            <w:pPr>
              <w:widowControl/>
              <w:ind w:firstLine="482" w:firstLineChars="200"/>
              <w:contextualSpacing/>
              <w:rPr>
                <w:rFonts w:asciiTheme="minorEastAsia" w:hAnsiTheme="minorEastAsia" w:eastAsiaTheme="minorEastAsia" w:cstheme="minorEastAsia"/>
                <w:color w:val="000000"/>
                <w:sz w:val="24"/>
              </w:rPr>
            </w:pPr>
            <w:bookmarkStart w:id="26" w:name="_Toc446487860"/>
            <w:r>
              <w:rPr>
                <w:rFonts w:hint="eastAsia" w:asciiTheme="minorEastAsia" w:hAnsiTheme="minorEastAsia" w:eastAsiaTheme="minorEastAsia" w:cstheme="minorEastAsia"/>
                <w:b/>
                <w:color w:val="000000"/>
                <w:sz w:val="24"/>
              </w:rPr>
              <w:t>（3）施工准备</w:t>
            </w:r>
            <w:bookmarkEnd w:id="26"/>
            <w:r>
              <w:rPr>
                <w:rFonts w:hint="eastAsia" w:asciiTheme="minorEastAsia" w:hAnsiTheme="minorEastAsia" w:eastAsiaTheme="minorEastAsia" w:cstheme="minorEastAsia"/>
                <w:b/>
                <w:color w:val="000000"/>
                <w:sz w:val="24"/>
              </w:rPr>
              <w:t>阶段：</w:t>
            </w:r>
            <w:bookmarkStart w:id="27" w:name="OLE_LINK16"/>
            <w:r>
              <w:rPr>
                <w:rFonts w:hint="eastAsia" w:asciiTheme="minorEastAsia" w:hAnsiTheme="minorEastAsia" w:eastAsiaTheme="minorEastAsia" w:cstheme="minorEastAsia"/>
                <w:color w:val="000000"/>
                <w:sz w:val="24"/>
              </w:rPr>
              <w:t>实现合同审核和预付款支付审核，合同审核对基建管理人员将通过审计信息平台导入合同文件，审计处检查合同资料的完整性、合同条款的合理性，经过对数、合同金额等审核环节后，审计人员在审计信息平台上签署审计意见。</w:t>
            </w:r>
            <w:bookmarkEnd w:id="27"/>
            <w:bookmarkStart w:id="28" w:name="OLE_LINK17"/>
            <w:r>
              <w:rPr>
                <w:rFonts w:hint="eastAsia" w:asciiTheme="minorEastAsia" w:hAnsiTheme="minorEastAsia" w:eastAsiaTheme="minorEastAsia" w:cstheme="minorEastAsia"/>
                <w:color w:val="000000"/>
                <w:sz w:val="24"/>
              </w:rPr>
              <w:t>预付款支付审核在建设工程预付款活动中,经过对预付款金额与合同条款比对等审核环节后，审计人员在审计信息平台上签署审计意见，及最终审定预付款金额，并出具审定单，反馈基建管理部门签字、确认。</w:t>
            </w:r>
          </w:p>
          <w:bookmarkEnd w:id="28"/>
          <w:p>
            <w:pPr>
              <w:widowControl/>
              <w:ind w:firstLine="482" w:firstLineChars="200"/>
              <w:contextualSpacing/>
              <w:rPr>
                <w:rFonts w:asciiTheme="minorEastAsia" w:hAnsiTheme="minorEastAsia" w:eastAsiaTheme="minorEastAsia" w:cstheme="minorEastAsia"/>
                <w:color w:val="000000"/>
                <w:sz w:val="24"/>
              </w:rPr>
            </w:pPr>
            <w:bookmarkStart w:id="29" w:name="_Toc446487861"/>
            <w:r>
              <w:rPr>
                <w:rFonts w:hint="eastAsia" w:asciiTheme="minorEastAsia" w:hAnsiTheme="minorEastAsia" w:eastAsiaTheme="minorEastAsia" w:cstheme="minorEastAsia"/>
                <w:b/>
                <w:color w:val="000000"/>
                <w:sz w:val="24"/>
              </w:rPr>
              <w:t>（4）工程施工阶段</w:t>
            </w:r>
            <w:bookmarkEnd w:id="29"/>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sz w:val="24"/>
              </w:rPr>
              <w:t>实现进度款支付审核、工程签证审核、工程变更审核，进度款支付审核基建管理人员将通过审计信息平台提交进度款支付审核资料，审计人员在审计信息平台上签署审计意见，及最终审定金额，并出具审定单，反馈基建管理部门签字、确认。工程签证审核用于编制工程签证底稿和导入工程部门提供的签证资料，并完成资料审核。工程变更，基建管理人员将通过系统提交填报变更原因、相关图纸和变更工程量和造价信息，审计人员在审计信息平台上签署审计意见，及最终审定金额，并出具审定单，反馈基建管理部门签字、确认。</w:t>
            </w:r>
          </w:p>
          <w:p>
            <w:pPr>
              <w:ind w:firstLine="482" w:firstLineChars="200"/>
              <w:rPr>
                <w:rFonts w:asciiTheme="minorEastAsia" w:hAnsiTheme="minorEastAsia" w:eastAsiaTheme="minorEastAsia" w:cstheme="minorEastAsia"/>
                <w:color w:val="000000"/>
                <w:sz w:val="24"/>
              </w:rPr>
            </w:pPr>
            <w:bookmarkStart w:id="30" w:name="_Toc446487862"/>
            <w:bookmarkStart w:id="31" w:name="OLE_LINK7"/>
            <w:bookmarkStart w:id="32" w:name="OLE_LINK20"/>
            <w:bookmarkStart w:id="33" w:name="OLE_LINK8"/>
            <w:r>
              <w:rPr>
                <w:rFonts w:hint="eastAsia" w:asciiTheme="minorEastAsia" w:hAnsiTheme="minorEastAsia" w:eastAsiaTheme="minorEastAsia" w:cstheme="minorEastAsia"/>
                <w:b/>
                <w:color w:val="000000"/>
                <w:sz w:val="24"/>
              </w:rPr>
              <w:t>（5）工程竣工阶段</w:t>
            </w:r>
            <w:bookmarkEnd w:id="30"/>
            <w:bookmarkEnd w:id="31"/>
            <w:bookmarkEnd w:id="32"/>
            <w:bookmarkEnd w:id="33"/>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sz w:val="24"/>
              </w:rPr>
              <w:t>实现对接收审计资料审核和竣工审核，竣工资料审核实现在资料的送审材料按预先设定的清单栏逐项提交并打钩。竣工审核在建设工程竣工阶段活动中,经过对竣工金额与合同条款比对等审核环节后，审计人员在审计信息平台上签署审计意见，及最终审定结算金额，并出具审定单，反馈基建管理部门签字、确认。</w:t>
            </w:r>
          </w:p>
          <w:p>
            <w:pPr>
              <w:numPr>
                <w:ilvl w:val="0"/>
                <w:numId w:val="3"/>
              </w:num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物资采购审计</w:t>
            </w:r>
            <w:r>
              <w:rPr>
                <w:rFonts w:hint="eastAsia" w:asciiTheme="minorEastAsia" w:hAnsiTheme="minorEastAsia" w:eastAsiaTheme="minorEastAsia" w:cstheme="minorEastAsia"/>
                <w:color w:val="000000"/>
                <w:sz w:val="24"/>
              </w:rPr>
              <w:t xml:space="preserve"> </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实现审计部门对高校政府采购项目及零星采购业务，进行政府采购项目的审计审核管理，以及零星采购询价审计审核管理，包括采购预算、采购文件、采购合同等功能；采购审核审批流程，支持自定义流程设置。</w:t>
            </w:r>
          </w:p>
          <w:p>
            <w:pPr>
              <w:numPr>
                <w:ilvl w:val="0"/>
                <w:numId w:val="3"/>
              </w:num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风险内控审计</w:t>
            </w:r>
            <w:r>
              <w:rPr>
                <w:rFonts w:hint="eastAsia" w:asciiTheme="minorEastAsia" w:hAnsiTheme="minorEastAsia" w:eastAsiaTheme="minorEastAsia" w:cstheme="minorEastAsia"/>
                <w:color w:val="000000"/>
                <w:sz w:val="24"/>
              </w:rPr>
              <w:t xml:space="preserve"> </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据《高校内部控制配套指引》，进行全面设计，实现高校风险管理与内部控制审计。采用展现能力极强的商业智能组件，作为数据挖掘、数据展示的基础平台，在设置好预警风险值和时限的情况下，智能展示KPI（关键绩效指标）风险和事件。可对内控情况进行全面的测试评价，并可快速生成内控测试底稿。</w:t>
            </w:r>
          </w:p>
          <w:p>
            <w:p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7、法律法规</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涵盖所有当前有效的相关法律法规及用户所在省、市地方政策、规定并提供发布单位文件链接地址以方便用户查询准确的法律法规等规范性文件，</w:t>
            </w:r>
            <w:r>
              <w:rPr>
                <w:rFonts w:hint="eastAsia" w:asciiTheme="minorEastAsia" w:hAnsiTheme="minorEastAsia" w:eastAsiaTheme="minorEastAsia" w:cstheme="minorEastAsia"/>
                <w:color w:val="000000"/>
                <w:sz w:val="24"/>
              </w:rPr>
              <w:t>并提供1-3个月定期更新。</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一些管理制度、规定等内容，导入到用户法规资料库中进行管理，支持各种法规附件文件的直接导入，如Word、txt、html、PDF等。</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支持使用关键字进行模糊查询，根据“法规标题、颁布时间、主题词、法规内容”等条件进行快速的全文检索查询。</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法规资料库管理上，可以将各种审计发现问题的处理与相关法规依据精要内容进行关联，在进行结论性底稿编制时，可以快速引用法规依据。</w:t>
            </w:r>
          </w:p>
          <w:p>
            <w:p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8、审计案例</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（1）审计程序及技巧：</w:t>
            </w:r>
            <w:r>
              <w:rPr>
                <w:rFonts w:hint="eastAsia" w:asciiTheme="minorEastAsia" w:hAnsiTheme="minorEastAsia" w:eastAsiaTheme="minorEastAsia" w:cstheme="minorEastAsia"/>
                <w:color w:val="000000"/>
                <w:sz w:val="24"/>
              </w:rPr>
              <w:t>提供审计程序、查账技巧、案例分析等，进行资源共享。</w:t>
            </w:r>
          </w:p>
          <w:p>
            <w:pPr>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（2）风险案例管理：</w:t>
            </w:r>
            <w:r>
              <w:rPr>
                <w:rFonts w:hint="eastAsia" w:asciiTheme="minorEastAsia" w:hAnsiTheme="minorEastAsia" w:eastAsiaTheme="minorEastAsia" w:cstheme="minorEastAsia"/>
                <w:color w:val="000000"/>
                <w:sz w:val="24"/>
              </w:rPr>
              <w:t>提供内置风险案例库和风险案例库功能，有效利用审计管理系统的“网络资源共享”特点，整理和记录内部审计过程中形成的各种风险案例信息。</w:t>
            </w:r>
          </w:p>
          <w:p>
            <w:pPr>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9、系统管理</w:t>
            </w: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是整个审计系统的初始化设置中心，功能和模版定制中心，模块操作由系统管理员执行，包括：机构及人员管理、关键业务设置、系统参数及其他设置等。</w:t>
            </w:r>
          </w:p>
        </w:tc>
        <w:tc>
          <w:tcPr>
            <w:tcW w:w="79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1套</w:t>
            </w:r>
          </w:p>
          <w:p>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 用户</w:t>
            </w:r>
          </w:p>
        </w:tc>
      </w:tr>
    </w:tbl>
    <w:p>
      <w:pPr>
        <w:pStyle w:val="19"/>
        <w:outlineLvl w:val="9"/>
        <w:rPr>
          <w:rFonts w:hint="eastAsia" w:asciiTheme="minorEastAsia" w:hAnsiTheme="minorEastAsia" w:eastAsiaTheme="minorEastAsia"/>
          <w:b w:val="0"/>
          <w:color w:val="000000" w:themeColor="text1"/>
          <w:sz w:val="40"/>
          <w:szCs w:val="36"/>
          <w14:textFill>
            <w14:solidFill>
              <w14:schemeClr w14:val="tx1"/>
            </w14:solidFill>
          </w14:textFill>
        </w:rPr>
      </w:pPr>
    </w:p>
    <w:p>
      <w:pPr>
        <w:rPr>
          <w:rFonts w:hint="eastAsia"/>
        </w:rPr>
      </w:pPr>
    </w:p>
    <w:p>
      <w:pPr>
        <w:pStyle w:val="2"/>
        <w:ind w:left="3360"/>
        <w:rPr>
          <w:rFonts w:hint="eastAsia"/>
        </w:rPr>
      </w:pPr>
    </w:p>
    <w:p>
      <w:pPr>
        <w:rPr>
          <w:rFonts w:hint="eastAsia"/>
        </w:rPr>
      </w:pPr>
    </w:p>
    <w:p>
      <w:pPr>
        <w:pStyle w:val="2"/>
        <w:ind w:left="3360"/>
      </w:pPr>
    </w:p>
    <w:p>
      <w:pPr>
        <w:pStyle w:val="19"/>
        <w:rPr>
          <w:color w:val="000000" w:themeColor="text1"/>
          <w14:textFill>
            <w14:solidFill>
              <w14:schemeClr w14:val="tx1"/>
            </w14:solidFill>
          </w14:textFill>
        </w:rPr>
      </w:pPr>
      <w:bookmarkStart w:id="34" w:name="_Toc116051296"/>
      <w:r>
        <w:rPr>
          <w:rFonts w:hint="eastAsia"/>
          <w:color w:val="000000" w:themeColor="text1"/>
          <w14:textFill>
            <w14:solidFill>
              <w14:schemeClr w14:val="tx1"/>
            </w14:solidFill>
          </w14:textFill>
        </w:rPr>
        <w:t>第五章  询价响应文件的组成和格式</w:t>
      </w:r>
      <w:bookmarkEnd w:id="34"/>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jc w:val="center"/>
        <w:rPr>
          <w:rFonts w:ascii="宋体" w:hAnsi="宋体"/>
          <w:b/>
          <w:color w:val="000000" w:themeColor="text1"/>
          <w:sz w:val="72"/>
          <w:szCs w:val="21"/>
          <w14:textFill>
            <w14:solidFill>
              <w14:schemeClr w14:val="tx1"/>
            </w14:solidFill>
          </w14:textFill>
        </w:rPr>
      </w:pPr>
      <w:r>
        <w:rPr>
          <w:rFonts w:hint="eastAsia" w:ascii="宋体" w:hAnsi="宋体"/>
          <w:b/>
          <w:color w:val="000000" w:themeColor="text1"/>
          <w:sz w:val="72"/>
          <w:szCs w:val="21"/>
          <w14:textFill>
            <w14:solidFill>
              <w14:schemeClr w14:val="tx1"/>
            </w14:solidFill>
          </w14:textFill>
        </w:rPr>
        <w:t>询价响应文件</w:t>
      </w:r>
    </w:p>
    <w:p>
      <w:pPr>
        <w:pStyle w:val="105"/>
        <w:ind w:firstLine="0"/>
        <w:jc w:val="center"/>
        <w:rPr>
          <w:rFonts w:ascii="宋体" w:hAnsi="宋体"/>
          <w:b/>
          <w:bCs/>
          <w:color w:val="000000" w:themeColor="text1"/>
          <w:sz w:val="32"/>
          <w14:textFill>
            <w14:solidFill>
              <w14:schemeClr w14:val="tx1"/>
            </w14:solidFill>
          </w14:textFill>
        </w:rPr>
      </w:pPr>
    </w:p>
    <w:p>
      <w:pPr>
        <w:jc w:val="center"/>
        <w:rPr>
          <w:rFonts w:ascii="宋体" w:hAnsi="宋体"/>
          <w:b/>
          <w:color w:val="000000" w:themeColor="text1"/>
          <w:sz w:val="36"/>
          <w:szCs w:val="21"/>
          <w14:textFill>
            <w14:solidFill>
              <w14:schemeClr w14:val="tx1"/>
            </w14:solidFill>
          </w14:textFill>
        </w:rPr>
      </w:pPr>
      <w:r>
        <w:rPr>
          <w:rFonts w:hint="eastAsia" w:ascii="宋体" w:hAnsi="宋体"/>
          <w:b/>
          <w:color w:val="000000" w:themeColor="text1"/>
          <w:sz w:val="36"/>
          <w:szCs w:val="21"/>
          <w14:textFill>
            <w14:solidFill>
              <w14:schemeClr w14:val="tx1"/>
            </w14:solidFill>
          </w14:textFill>
        </w:rPr>
        <w:t>（正或副本）</w:t>
      </w:r>
    </w:p>
    <w:p>
      <w:pPr>
        <w:ind w:firstLine="1084" w:firstLineChars="300"/>
        <w:rPr>
          <w:rFonts w:ascii="宋体" w:hAnsi="宋体"/>
          <w:b/>
          <w:color w:val="000000" w:themeColor="text1"/>
          <w:sz w:val="36"/>
          <w:szCs w:val="21"/>
          <w14:textFill>
            <w14:solidFill>
              <w14:schemeClr w14:val="tx1"/>
            </w14:solidFill>
          </w14:textFill>
        </w:rPr>
      </w:pPr>
    </w:p>
    <w:p>
      <w:pPr>
        <w:ind w:firstLine="1084" w:firstLineChars="300"/>
        <w:rPr>
          <w:rFonts w:ascii="宋体" w:hAnsi="宋体"/>
          <w:b/>
          <w:color w:val="000000" w:themeColor="text1"/>
          <w:sz w:val="36"/>
          <w:szCs w:val="2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spacing w:line="360" w:lineRule="auto"/>
        <w:ind w:firstLine="1084" w:firstLineChars="300"/>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项 目 名 称：</w:t>
      </w:r>
    </w:p>
    <w:p>
      <w:pPr>
        <w:spacing w:line="360" w:lineRule="auto"/>
        <w:ind w:firstLine="1084" w:firstLineChars="300"/>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项 目 编 号：</w:t>
      </w:r>
    </w:p>
    <w:p>
      <w:pPr>
        <w:spacing w:line="360" w:lineRule="auto"/>
        <w:ind w:firstLine="1084" w:firstLineChars="300"/>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 xml:space="preserve">谈判供应商名称：               </w:t>
      </w:r>
    </w:p>
    <w:p>
      <w:pPr>
        <w:spacing w:line="360" w:lineRule="auto"/>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 xml:space="preserve">      日       期：</w:t>
      </w:r>
    </w:p>
    <w:p>
      <w:pPr>
        <w:pStyle w:val="105"/>
        <w:ind w:right="99" w:rightChars="47" w:firstLine="0"/>
        <w:jc w:val="center"/>
        <w:rPr>
          <w:rFonts w:ascii="宋体" w:hAnsi="宋体"/>
          <w:color w:val="000000" w:themeColor="text1"/>
          <w14:textFill>
            <w14:solidFill>
              <w14:schemeClr w14:val="tx1"/>
            </w14:solidFill>
          </w14:textFill>
        </w:rPr>
      </w:pPr>
    </w:p>
    <w:p>
      <w:pPr>
        <w:pStyle w:val="105"/>
        <w:spacing w:before="0" w:after="0"/>
        <w:ind w:firstLine="0"/>
        <w:rPr>
          <w:rFonts w:ascii="宋体" w:hAnsi="宋体"/>
          <w:color w:val="000000" w:themeColor="text1"/>
          <w14:textFill>
            <w14:solidFill>
              <w14:schemeClr w14:val="tx1"/>
            </w14:solidFill>
          </w14:textFill>
        </w:rPr>
      </w:pPr>
    </w:p>
    <w:p>
      <w:pPr>
        <w:pStyle w:val="105"/>
        <w:spacing w:before="0" w:after="0"/>
        <w:ind w:firstLine="0"/>
        <w:rPr>
          <w:rFonts w:ascii="宋体" w:hAnsi="宋体"/>
          <w:color w:val="000000" w:themeColor="text1"/>
          <w14:textFill>
            <w14:solidFill>
              <w14:schemeClr w14:val="tx1"/>
            </w14:solidFill>
          </w14:textFill>
        </w:rPr>
      </w:pPr>
    </w:p>
    <w:p>
      <w:pPr>
        <w:pStyle w:val="105"/>
        <w:spacing w:before="0" w:after="0"/>
        <w:ind w:firstLine="0"/>
        <w:rPr>
          <w:rFonts w:ascii="宋体" w:hAnsi="宋体"/>
          <w:color w:val="000000" w:themeColor="text1"/>
          <w14:textFill>
            <w14:solidFill>
              <w14:schemeClr w14:val="tx1"/>
            </w14:solidFill>
          </w14:textFill>
        </w:rPr>
      </w:pPr>
    </w:p>
    <w:p>
      <w:pPr>
        <w:pStyle w:val="105"/>
        <w:spacing w:before="0" w:after="0"/>
        <w:ind w:firstLine="0"/>
        <w:rPr>
          <w:rFonts w:ascii="宋体" w:hAnsi="宋体"/>
          <w:color w:val="000000" w:themeColor="text1"/>
          <w14:textFill>
            <w14:solidFill>
              <w14:schemeClr w14:val="tx1"/>
            </w14:solidFill>
          </w14:textFill>
        </w:rPr>
      </w:pPr>
    </w:p>
    <w:p>
      <w:pPr>
        <w:pStyle w:val="105"/>
        <w:spacing w:before="0" w:after="0"/>
        <w:ind w:firstLine="0"/>
        <w:rPr>
          <w:rFonts w:ascii="宋体" w:hAnsi="宋体"/>
          <w:color w:val="000000" w:themeColor="text1"/>
          <w14:textFill>
            <w14:solidFill>
              <w14:schemeClr w14:val="tx1"/>
            </w14:solidFill>
          </w14:textFill>
        </w:rPr>
      </w:pPr>
    </w:p>
    <w:p>
      <w:pPr>
        <w:pStyle w:val="105"/>
        <w:spacing w:before="0" w:after="0"/>
        <w:ind w:firstLine="0"/>
        <w:rPr>
          <w:rFonts w:ascii="宋体" w:hAnsi="宋体"/>
          <w:color w:val="000000" w:themeColor="text1"/>
          <w14:textFill>
            <w14:solidFill>
              <w14:schemeClr w14:val="tx1"/>
            </w14:solidFill>
          </w14:textFill>
        </w:rPr>
      </w:pPr>
    </w:p>
    <w:p>
      <w:pPr>
        <w:pStyle w:val="105"/>
        <w:spacing w:before="0" w:after="0"/>
        <w:ind w:firstLine="0"/>
        <w:rPr>
          <w:rFonts w:ascii="宋体" w:hAnsi="宋体"/>
          <w:color w:val="000000" w:themeColor="text1"/>
          <w14:textFill>
            <w14:solidFill>
              <w14:schemeClr w14:val="tx1"/>
            </w14:solidFill>
          </w14:textFill>
        </w:rPr>
      </w:pPr>
    </w:p>
    <w:p>
      <w:pPr>
        <w:spacing w:line="440" w:lineRule="exact"/>
        <w:jc w:val="center"/>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响应文件主要目录</w:t>
      </w:r>
    </w:p>
    <w:p>
      <w:pPr>
        <w:spacing w:line="560" w:lineRule="exact"/>
        <w:jc w:val="center"/>
        <w:rPr>
          <w:rFonts w:ascii="宋体" w:hAnsi="宋体"/>
          <w:b/>
          <w:bCs/>
          <w:color w:val="000000" w:themeColor="text1"/>
          <w:sz w:val="24"/>
          <w14:textFill>
            <w14:solidFill>
              <w14:schemeClr w14:val="tx1"/>
            </w14:solidFill>
          </w14:textFill>
        </w:rPr>
      </w:pPr>
    </w:p>
    <w:p>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一、</w:t>
      </w:r>
      <w:r>
        <w:rPr>
          <w:rFonts w:hint="eastAsia" w:ascii="宋体" w:hAnsi="宋体"/>
          <w:bCs/>
          <w:color w:val="000000" w:themeColor="text1"/>
          <w:sz w:val="28"/>
          <w14:textFill>
            <w14:solidFill>
              <w14:schemeClr w14:val="tx1"/>
            </w14:solidFill>
          </w14:textFill>
        </w:rPr>
        <w:t>资信证明文件要求</w:t>
      </w:r>
    </w:p>
    <w:p>
      <w:pPr>
        <w:spacing w:line="520" w:lineRule="exact"/>
        <w:ind w:firstLine="562" w:firstLineChars="200"/>
        <w:rPr>
          <w:rFonts w:ascii="宋体" w:hAnsi="宋体"/>
          <w:color w:val="000000" w:themeColor="text1"/>
          <w:sz w:val="28"/>
          <w14:textFill>
            <w14:solidFill>
              <w14:schemeClr w14:val="tx1"/>
            </w14:solidFill>
          </w14:textFill>
        </w:rPr>
      </w:pPr>
      <w:r>
        <w:rPr>
          <w:rFonts w:hint="eastAsia" w:ascii="宋体" w:hAnsi="宋体"/>
          <w:b/>
          <w:bCs/>
          <w:color w:val="000000" w:themeColor="text1"/>
          <w:sz w:val="28"/>
          <w14:textFill>
            <w14:solidFill>
              <w14:schemeClr w14:val="tx1"/>
            </w14:solidFill>
          </w14:textFill>
        </w:rPr>
        <w:t>二</w:t>
      </w:r>
      <w:r>
        <w:rPr>
          <w:rFonts w:hint="eastAsia" w:ascii="宋体" w:hAnsi="宋体"/>
          <w:color w:val="000000" w:themeColor="text1"/>
          <w:sz w:val="28"/>
          <w14:textFill>
            <w14:solidFill>
              <w14:schemeClr w14:val="tx1"/>
            </w14:solidFill>
          </w14:textFill>
        </w:rPr>
        <w:t>、资格性审查响应对照表</w:t>
      </w:r>
    </w:p>
    <w:p>
      <w:pPr>
        <w:spacing w:line="520" w:lineRule="exact"/>
        <w:ind w:firstLine="560" w:firstLineChars="200"/>
        <w:rPr>
          <w:rFonts w:ascii="宋体" w:hAnsi="宋体"/>
          <w:bCs/>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三、符合性检查响应对照表</w:t>
      </w:r>
    </w:p>
    <w:p>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四、投标承诺书</w:t>
      </w:r>
    </w:p>
    <w:p>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五</w:t>
      </w:r>
      <w:r>
        <w:rPr>
          <w:rFonts w:hint="eastAsia" w:ascii="宋体" w:hAnsi="宋体"/>
          <w:b/>
          <w:bCs/>
          <w:color w:val="000000" w:themeColor="text1"/>
          <w:sz w:val="28"/>
          <w14:textFill>
            <w14:solidFill>
              <w14:schemeClr w14:val="tx1"/>
            </w14:solidFill>
          </w14:textFill>
        </w:rPr>
        <w:t>、</w:t>
      </w:r>
      <w:r>
        <w:rPr>
          <w:rFonts w:hint="eastAsia" w:ascii="宋体" w:hAnsi="宋体"/>
          <w:color w:val="000000" w:themeColor="text1"/>
          <w:sz w:val="28"/>
          <w14:textFill>
            <w14:solidFill>
              <w14:schemeClr w14:val="tx1"/>
            </w14:solidFill>
          </w14:textFill>
        </w:rPr>
        <w:t>询价一览表</w:t>
      </w:r>
    </w:p>
    <w:p>
      <w:pPr>
        <w:spacing w:line="52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s="Courier New"/>
          <w:color w:val="000000" w:themeColor="text1"/>
          <w:sz w:val="28"/>
          <w14:textFill>
            <w14:solidFill>
              <w14:schemeClr w14:val="tx1"/>
            </w14:solidFill>
          </w14:textFill>
        </w:rPr>
        <w:t>六、</w:t>
      </w:r>
      <w:r>
        <w:rPr>
          <w:rFonts w:hint="eastAsia" w:ascii="宋体" w:hAnsi="宋体"/>
          <w:color w:val="000000" w:themeColor="text1"/>
          <w:sz w:val="28"/>
          <w14:textFill>
            <w14:solidFill>
              <w14:schemeClr w14:val="tx1"/>
            </w14:solidFill>
          </w14:textFill>
        </w:rPr>
        <w:t>技术参数响应及偏离表</w:t>
      </w:r>
    </w:p>
    <w:p>
      <w:pPr>
        <w:ind w:firstLine="560" w:firstLineChars="200"/>
        <w:rPr>
          <w:rFonts w:ascii="宋体" w:hAnsi="宋体"/>
          <w:color w:val="000000" w:themeColor="text1"/>
          <w:sz w:val="28"/>
          <w14:textFill>
            <w14:solidFill>
              <w14:schemeClr w14:val="tx1"/>
            </w14:solidFill>
          </w14:textFill>
        </w:rPr>
      </w:pPr>
    </w:p>
    <w:p>
      <w:pPr>
        <w:spacing w:line="560" w:lineRule="exact"/>
        <w:ind w:firstLine="560" w:firstLineChars="200"/>
        <w:rPr>
          <w:rFonts w:ascii="宋体" w:hAnsi="宋体"/>
          <w:color w:val="000000" w:themeColor="text1"/>
          <w:sz w:val="28"/>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一、资信证明文件要求</w:t>
      </w:r>
    </w:p>
    <w:p>
      <w:pPr>
        <w:snapToGrid w:val="0"/>
        <w:spacing w:before="50" w:after="50"/>
        <w:rPr>
          <w:rFonts w:ascii="宋体" w:hAnsi="宋体"/>
          <w:i/>
          <w:color w:val="000000" w:themeColor="text1"/>
          <w:u w:val="single"/>
          <w14:textFill>
            <w14:solidFill>
              <w14:schemeClr w14:val="tx1"/>
            </w14:solidFill>
          </w14:textFill>
        </w:rPr>
      </w:pPr>
    </w:p>
    <w:p>
      <w:pPr>
        <w:snapToGrid w:val="0"/>
        <w:spacing w:before="50" w:after="50" w:line="540" w:lineRule="exac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4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1、实质性资格证明文件目录</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文件1  法人或者其他组织的营业执照等证明文件，自然人的身份证明（复印件）</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文件2  上一年度财务状况报表（复印件，成立不满一年不需提供）</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文件3  依法缴纳税收和社会保障资金的相关材料（复印件）</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文件4  具备履行合同所必需的设备和专业技术能力证明材料</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文件5  参加政府采购活动前 3 年内在经营活动中没有重大违法记录的书面声明</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文件6 信用记录</w:t>
      </w:r>
    </w:p>
    <w:p>
      <w:pPr>
        <w:snapToGrid w:val="0"/>
        <w:spacing w:before="50" w:after="120" w:afterLines="50" w:line="540" w:lineRule="exact"/>
        <w:ind w:left="239" w:leftChars="114"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文件7  法人授权书</w:t>
      </w:r>
    </w:p>
    <w:p>
      <w:pPr>
        <w:snapToGrid w:val="0"/>
        <w:spacing w:before="50" w:after="120" w:afterLines="50" w:line="540" w:lineRule="exact"/>
        <w:ind w:left="239" w:leftChars="114" w:firstLine="240" w:firstLineChars="100"/>
        <w:jc w:val="left"/>
        <w:rPr>
          <w:rFonts w:ascii="宋体" w:hAnsi="宋体" w:cs="Arial"/>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文件8 询价文件中规定要求提供的证明材料和投标人认为需要提供的其他材料（询价文件要求提供原件的必须单独封装并与投标文件一起递交，评标结束后原件退回；未要求提供原件的提供复印件，原件自带备查）</w:t>
      </w:r>
    </w:p>
    <w:p>
      <w:pPr>
        <w:snapToGrid w:val="0"/>
        <w:spacing w:before="50" w:after="120" w:afterLines="50"/>
        <w:jc w:val="left"/>
        <w:rPr>
          <w:rFonts w:ascii="宋体" w:hAnsi="宋体"/>
          <w:b/>
          <w:i/>
          <w:color w:val="000000" w:themeColor="text1"/>
          <w:sz w:val="24"/>
          <w:u w:val="single"/>
          <w14:textFill>
            <w14:solidFill>
              <w14:schemeClr w14:val="tx1"/>
            </w14:solidFill>
          </w14:textFill>
        </w:rPr>
      </w:pPr>
    </w:p>
    <w:p>
      <w:pPr>
        <w:pStyle w:val="6"/>
        <w:spacing w:line="0" w:lineRule="atLeast"/>
        <w:rPr>
          <w:rFonts w:ascii="宋体" w:hAnsi="宋体"/>
          <w:color w:val="000000" w:themeColor="text1"/>
          <w:sz w:val="24"/>
          <w:szCs w:val="24"/>
          <w14:textFill>
            <w14:solidFill>
              <w14:schemeClr w14:val="tx1"/>
            </w14:solidFill>
          </w14:textFill>
        </w:rPr>
      </w:pPr>
    </w:p>
    <w:p>
      <w:pPr>
        <w:snapToGrid w:val="0"/>
        <w:spacing w:before="50" w:after="50"/>
        <w:jc w:val="center"/>
        <w:rPr>
          <w:rFonts w:hint="eastAsia" w:ascii="宋体" w:hAnsi="宋体"/>
          <w:color w:val="000000" w:themeColor="text1"/>
          <w:sz w:val="30"/>
          <w:szCs w:val="30"/>
          <w14:textFill>
            <w14:solidFill>
              <w14:schemeClr w14:val="tx1"/>
            </w14:solidFill>
          </w14:textFill>
        </w:rPr>
      </w:pPr>
      <w:r>
        <w:rPr>
          <w:rFonts w:ascii="宋体" w:hAnsi="宋体"/>
          <w:color w:val="000000" w:themeColor="text1"/>
          <w:sz w:val="30"/>
          <w:szCs w:val="30"/>
          <w14:textFill>
            <w14:solidFill>
              <w14:schemeClr w14:val="tx1"/>
            </w14:solidFill>
          </w14:textFill>
        </w:rPr>
        <w:br w:type="page"/>
      </w:r>
    </w:p>
    <w:p>
      <w:pPr>
        <w:snapToGrid w:val="0"/>
        <w:spacing w:before="50" w:after="50"/>
        <w:jc w:val="center"/>
        <w:rPr>
          <w:rFonts w:hint="eastAsia" w:ascii="宋体" w:hAnsi="宋体"/>
          <w:color w:val="000000" w:themeColor="text1"/>
          <w:sz w:val="30"/>
          <w:szCs w:val="30"/>
          <w14:textFill>
            <w14:solidFill>
              <w14:schemeClr w14:val="tx1"/>
            </w14:solidFill>
          </w14:textFill>
        </w:rPr>
      </w:pPr>
    </w:p>
    <w:p>
      <w:pPr>
        <w:snapToGrid w:val="0"/>
        <w:spacing w:before="50" w:after="50"/>
        <w:jc w:val="center"/>
        <w:rPr>
          <w:rFonts w:ascii="宋体" w:hAnsi="宋体"/>
          <w:b/>
          <w:color w:val="000000" w:themeColor="text1"/>
          <w:sz w:val="28"/>
          <w:szCs w:val="32"/>
          <w14:textFill>
            <w14:solidFill>
              <w14:schemeClr w14:val="tx1"/>
            </w14:solidFill>
          </w14:textFill>
        </w:rPr>
      </w:pPr>
      <w:r>
        <w:rPr>
          <w:rFonts w:hint="eastAsia" w:ascii="宋体" w:hAnsi="宋体"/>
          <w:b/>
          <w:color w:val="000000" w:themeColor="text1"/>
          <w:sz w:val="28"/>
          <w:szCs w:val="32"/>
          <w14:textFill>
            <w14:solidFill>
              <w14:schemeClr w14:val="tx1"/>
            </w14:solidFill>
          </w14:textFill>
        </w:rPr>
        <w:t>具备履行合同所必需的设备和专业技术能力的书面声明</w:t>
      </w:r>
    </w:p>
    <w:p>
      <w:pPr>
        <w:spacing w:line="460" w:lineRule="exact"/>
        <w:ind w:firstLine="492"/>
        <w:rPr>
          <w:rFonts w:hint="eastAsia" w:ascii="宋体" w:hAnsi="宋体"/>
          <w:bCs/>
          <w:color w:val="000000" w:themeColor="text1"/>
          <w:sz w:val="24"/>
          <w14:textFill>
            <w14:solidFill>
              <w14:schemeClr w14:val="tx1"/>
            </w14:solidFill>
          </w14:textFill>
        </w:rPr>
      </w:pPr>
    </w:p>
    <w:p>
      <w:pPr>
        <w:spacing w:line="460" w:lineRule="exact"/>
        <w:ind w:firstLine="49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我公司郑重声明：我公司具备履行本项采购合同所必需的设备和专业技术能力，为履行本项采购合同我公司具备如下主要设备和主要专业技术能力：</w:t>
      </w:r>
    </w:p>
    <w:p>
      <w:pPr>
        <w:spacing w:line="460" w:lineRule="exact"/>
        <w:ind w:firstLine="49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主要设备有：  。</w:t>
      </w:r>
    </w:p>
    <w:p>
      <w:pPr>
        <w:spacing w:line="460" w:lineRule="exact"/>
        <w:ind w:firstLine="492"/>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主要专业技术能力有：   。</w:t>
      </w:r>
    </w:p>
    <w:p>
      <w:pPr>
        <w:spacing w:line="460" w:lineRule="exact"/>
        <w:ind w:firstLine="492"/>
        <w:rPr>
          <w:rFonts w:ascii="宋体" w:hAnsi="宋体"/>
          <w:bCs/>
          <w:color w:val="000000" w:themeColor="text1"/>
          <w:sz w:val="24"/>
          <w14:textFill>
            <w14:solidFill>
              <w14:schemeClr w14:val="tx1"/>
            </w14:solidFill>
          </w14:textFill>
        </w:rPr>
      </w:pPr>
    </w:p>
    <w:p>
      <w:pPr>
        <w:spacing w:line="460" w:lineRule="exact"/>
        <w:ind w:firstLine="492"/>
        <w:rPr>
          <w:rFonts w:ascii="宋体" w:hAnsi="宋体"/>
          <w:bCs/>
          <w:color w:val="000000" w:themeColor="text1"/>
          <w:sz w:val="24"/>
          <w14:textFill>
            <w14:solidFill>
              <w14:schemeClr w14:val="tx1"/>
            </w14:solidFill>
          </w14:textFill>
        </w:rPr>
      </w:pPr>
    </w:p>
    <w:p>
      <w:pPr>
        <w:spacing w:line="460" w:lineRule="exact"/>
        <w:ind w:firstLine="492"/>
        <w:rPr>
          <w:rFonts w:ascii="宋体" w:hAnsi="宋体"/>
          <w:bCs/>
          <w:color w:val="000000" w:themeColor="text1"/>
          <w:sz w:val="24"/>
          <w14:textFill>
            <w14:solidFill>
              <w14:schemeClr w14:val="tx1"/>
            </w14:solidFill>
          </w14:textFill>
        </w:rPr>
      </w:pPr>
    </w:p>
    <w:p>
      <w:pPr>
        <w:spacing w:line="460" w:lineRule="exact"/>
        <w:ind w:firstLine="492"/>
        <w:rPr>
          <w:rFonts w:ascii="宋体" w:hAnsi="宋体"/>
          <w:bCs/>
          <w:color w:val="000000" w:themeColor="text1"/>
          <w:sz w:val="24"/>
          <w14:textFill>
            <w14:solidFill>
              <w14:schemeClr w14:val="tx1"/>
            </w14:solidFill>
          </w14:textFill>
        </w:rPr>
      </w:pPr>
    </w:p>
    <w:p>
      <w:pPr>
        <w:spacing w:line="460" w:lineRule="exact"/>
        <w:ind w:firstLine="492"/>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供应商名称（公章）：</w:t>
      </w: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日期：______年</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月</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日</w:t>
      </w:r>
    </w:p>
    <w:p>
      <w:pPr>
        <w:snapToGrid w:val="0"/>
        <w:spacing w:before="50" w:after="50"/>
        <w:jc w:val="center"/>
        <w:rPr>
          <w:rFonts w:ascii="宋体" w:hAnsi="宋体"/>
          <w:b/>
          <w:color w:val="000000" w:themeColor="text1"/>
          <w:sz w:val="28"/>
          <w:szCs w:val="32"/>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宋体" w:hAnsi="宋体"/>
          <w:b/>
          <w:color w:val="000000" w:themeColor="text1"/>
          <w:sz w:val="28"/>
          <w:szCs w:val="32"/>
          <w14:textFill>
            <w14:solidFill>
              <w14:schemeClr w14:val="tx1"/>
            </w14:solidFill>
          </w14:textFill>
        </w:rPr>
        <w:t>参加政府采购活动前 3 年内在经营活动中没有重大违法记录的书面声明</w:t>
      </w:r>
    </w:p>
    <w:p>
      <w:pPr>
        <w:spacing w:line="460" w:lineRule="exact"/>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w:t>
      </w:r>
      <w:r>
        <w:rPr>
          <w:rFonts w:hint="eastAsia" w:ascii="宋体" w:hAnsi="宋体"/>
          <w:b/>
          <w:bCs/>
          <w:color w:val="000000" w:themeColor="text1"/>
          <w:sz w:val="44"/>
          <w:szCs w:val="44"/>
          <w14:textFill>
            <w14:solidFill>
              <w14:schemeClr w14:val="tx1"/>
            </w14:solidFill>
          </w14:textFill>
        </w:rPr>
        <w:t xml:space="preserve">   </w:t>
      </w:r>
    </w:p>
    <w:p>
      <w:pPr>
        <w:spacing w:line="460" w:lineRule="exact"/>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 xml:space="preserve">                   声  明</w:t>
      </w:r>
    </w:p>
    <w:p>
      <w:pPr>
        <w:spacing w:line="460" w:lineRule="exact"/>
        <w:rPr>
          <w:rFonts w:ascii="宋体" w:hAnsi="宋体"/>
          <w:b/>
          <w:bCs/>
          <w:color w:val="000000" w:themeColor="text1"/>
          <w:sz w:val="44"/>
          <w:szCs w:val="4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我公司郑重声明：参加本次政府采购活动前 3 年内，我公司在经营活动中没有因违法经营受到刑事处罚或者责令停产停业、吊销许可证或者执照、较大数额罚款等行政处罚。</w:t>
      </w: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p>
    <w:p>
      <w:pPr>
        <w:spacing w:line="460" w:lineRule="exact"/>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p>
    <w:p>
      <w:pPr>
        <w:spacing w:line="460" w:lineRule="exact"/>
        <w:ind w:firstLine="4800" w:firstLineChars="20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供应商名称（公章）：</w:t>
      </w: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授权代表签字：_______________________</w:t>
      </w:r>
    </w:p>
    <w:p>
      <w:pPr>
        <w:spacing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日期：______年</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月</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日</w:t>
      </w:r>
    </w:p>
    <w:p>
      <w:pPr>
        <w:spacing w:line="460" w:lineRule="exact"/>
        <w:rPr>
          <w:rFonts w:ascii="宋体" w:hAnsi="宋体"/>
          <w:bCs/>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p>
    <w:p/>
    <w:p>
      <w:pPr>
        <w:pStyle w:val="14"/>
        <w:jc w:val="center"/>
        <w:rPr>
          <w:rFonts w:hAnsi="宋体"/>
          <w:bCs/>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br w:type="page"/>
      </w:r>
    </w:p>
    <w:p>
      <w:pPr>
        <w:pStyle w:val="14"/>
        <w:jc w:val="center"/>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信用记录</w:t>
      </w: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需提供在“信用中国”网站（www.creditchina.gov.cn）中未被列入失信被执行人、重大税收违法案件当事人名单和政府采购严重违法失信名单的信息记录截图；以上截图加盖公章；</w:t>
      </w:r>
    </w:p>
    <w:p>
      <w:pPr>
        <w:pStyle w:val="14"/>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附件：信用记录查询网页截图</w:t>
      </w:r>
    </w:p>
    <w:p>
      <w:pPr>
        <w:pStyle w:val="14"/>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p>
    <w:p>
      <w:pPr>
        <w:pStyle w:val="14"/>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以下网页截屏样式内容仅为参考。</w:t>
      </w:r>
    </w:p>
    <w:p>
      <w:pPr>
        <w:pStyle w:val="14"/>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信用中国网页截图（失信被执行人、重大税收违法案件当事人名单和政府采购严重违法失信名单查询页面）：</w:t>
      </w:r>
    </w:p>
    <w:p>
      <w:pPr>
        <w:pStyle w:val="14"/>
        <w:ind w:firstLine="480" w:firstLineChars="200"/>
        <w:jc w:val="left"/>
        <w:rPr>
          <w:rFonts w:asciiTheme="majorEastAsia" w:hAnsiTheme="majorEastAsia" w:eastAsiaTheme="majorEastAsia"/>
          <w:color w:val="000000" w:themeColor="text1"/>
          <w:sz w:val="24"/>
          <w:szCs w:val="24"/>
          <w14:textFill>
            <w14:solidFill>
              <w14:schemeClr w14:val="tx1"/>
            </w14:solidFill>
          </w14:textFill>
        </w:rPr>
      </w:pPr>
    </w:p>
    <w:p>
      <w:pPr>
        <w:spacing w:line="460" w:lineRule="exact"/>
        <w:ind w:firstLine="3600" w:firstLineChars="15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ascii="宋体" w:hAnsi="宋体"/>
          <w:bCs/>
          <w:color w:val="000000" w:themeColor="text1"/>
          <w:sz w:val="24"/>
          <w14:textFill>
            <w14:solidFill>
              <w14:schemeClr w14:val="tx1"/>
            </w14:solidFill>
          </w14:textFill>
        </w:rPr>
        <w:t>失信被执行人查询页面</w:t>
      </w:r>
    </w:p>
    <w:p>
      <w:pPr>
        <w:pStyle w:val="14"/>
        <w:jc w:val="center"/>
        <w:rPr>
          <w:rFonts w:asciiTheme="majorEastAsia" w:hAnsiTheme="majorEastAsia" w:eastAsiaTheme="majorEastAsia"/>
          <w:color w:val="000000" w:themeColor="text1"/>
          <w:sz w:val="24"/>
          <w:szCs w:val="24"/>
          <w14:textFill>
            <w14:solidFill>
              <w14:schemeClr w14:val="tx1"/>
            </w14:solidFill>
          </w14:textFill>
        </w:rPr>
      </w:pPr>
      <w:r>
        <w:rPr>
          <w:rFonts w:ascii="Times New Roman" w:hAnsi="Times New Roman"/>
          <w:color w:val="000000" w:themeColor="text1"/>
          <w:szCs w:val="24"/>
          <w14:textFill>
            <w14:solidFill>
              <w14:schemeClr w14:val="tx1"/>
            </w14:solidFill>
          </w14:textFill>
        </w:rPr>
        <w:drawing>
          <wp:anchor distT="0" distB="0" distL="0" distR="0" simplePos="0" relativeHeight="251660288" behindDoc="1" locked="0" layoutInCell="1" allowOverlap="1">
            <wp:simplePos x="0" y="0"/>
            <wp:positionH relativeFrom="page">
              <wp:posOffset>1209675</wp:posOffset>
            </wp:positionH>
            <wp:positionV relativeFrom="paragraph">
              <wp:posOffset>328930</wp:posOffset>
            </wp:positionV>
            <wp:extent cx="5497195" cy="2422525"/>
            <wp:effectExtent l="0" t="0" r="8255" b="0"/>
            <wp:wrapThrough wrapText="bothSides">
              <wp:wrapPolygon>
                <wp:start x="0" y="0"/>
                <wp:lineTo x="0" y="21402"/>
                <wp:lineTo x="21558" y="21402"/>
                <wp:lineTo x="21558" y="0"/>
                <wp:lineTo x="0" y="0"/>
              </wp:wrapPolygon>
            </wp:wrapThrough>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a:picLocks noChangeAspect="1"/>
                    </pic:cNvPicPr>
                  </pic:nvPicPr>
                  <pic:blipFill>
                    <a:blip r:embed="rId9" cstate="print"/>
                    <a:stretch>
                      <a:fillRect/>
                    </a:stretch>
                  </pic:blipFill>
                  <pic:spPr>
                    <a:xfrm>
                      <a:off x="0" y="0"/>
                      <a:ext cx="5497195" cy="2422525"/>
                    </a:xfrm>
                    <a:prstGeom prst="rect">
                      <a:avLst/>
                    </a:prstGeom>
                  </pic:spPr>
                </pic:pic>
              </a:graphicData>
            </a:graphic>
          </wp:anchor>
        </w:drawing>
      </w: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p>
    <w:p>
      <w:pPr>
        <w:tabs>
          <w:tab w:val="left" w:pos="898"/>
        </w:tabs>
        <w:autoSpaceDE w:val="0"/>
        <w:autoSpaceDN w:val="0"/>
        <w:spacing w:before="42"/>
        <w:ind w:left="898"/>
        <w:jc w:val="left"/>
        <w:rPr>
          <w:rFonts w:ascii="宋体" w:hAnsi="宋体" w:cs="宋体"/>
          <w:color w:val="000000" w:themeColor="text1"/>
          <w:kern w:val="0"/>
          <w:sz w:val="24"/>
          <w14:textFill>
            <w14:solidFill>
              <w14:schemeClr w14:val="tx1"/>
            </w14:solidFill>
          </w14:textFill>
        </w:rPr>
      </w:pPr>
      <w:r>
        <w:rPr>
          <w:color w:val="000000" w:themeColor="text1"/>
          <w14:textFill>
            <w14:solidFill>
              <w14:schemeClr w14:val="tx1"/>
            </w14:solidFill>
          </w14:textFill>
        </w:rPr>
        <w:drawing>
          <wp:anchor distT="0" distB="0" distL="0" distR="0" simplePos="0" relativeHeight="251661312" behindDoc="0" locked="0" layoutInCell="1" allowOverlap="1">
            <wp:simplePos x="0" y="0"/>
            <wp:positionH relativeFrom="page">
              <wp:posOffset>1060450</wp:posOffset>
            </wp:positionH>
            <wp:positionV relativeFrom="paragraph">
              <wp:posOffset>462915</wp:posOffset>
            </wp:positionV>
            <wp:extent cx="5478145" cy="2439035"/>
            <wp:effectExtent l="0" t="0" r="8255"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jpeg"/>
                    <pic:cNvPicPr>
                      <a:picLocks noChangeAspect="1"/>
                    </pic:cNvPicPr>
                  </pic:nvPicPr>
                  <pic:blipFill>
                    <a:blip r:embed="rId10" cstate="print"/>
                    <a:stretch>
                      <a:fillRect/>
                    </a:stretch>
                  </pic:blipFill>
                  <pic:spPr>
                    <a:xfrm>
                      <a:off x="0" y="0"/>
                      <a:ext cx="5478145" cy="2439035"/>
                    </a:xfrm>
                    <a:prstGeom prst="rect">
                      <a:avLst/>
                    </a:prstGeom>
                  </pic:spPr>
                </pic:pic>
              </a:graphicData>
            </a:graphic>
          </wp:anchor>
        </w:drawing>
      </w:r>
      <w:r>
        <w:rPr>
          <w:rFonts w:hint="eastAsia" w:ascii="宋体" w:hAnsi="宋体" w:cs="宋体"/>
          <w:color w:val="000000" w:themeColor="text1"/>
          <w:kern w:val="0"/>
          <w:sz w:val="24"/>
          <w14:textFill>
            <w14:solidFill>
              <w14:schemeClr w14:val="tx1"/>
            </w14:solidFill>
          </w14:textFill>
        </w:rPr>
        <w:t>2、</w:t>
      </w:r>
      <w:r>
        <w:rPr>
          <w:rFonts w:ascii="宋体" w:hAnsi="宋体" w:cs="宋体"/>
          <w:color w:val="000000" w:themeColor="text1"/>
          <w:kern w:val="0"/>
          <w:sz w:val="24"/>
          <w14:textFill>
            <w14:solidFill>
              <w14:schemeClr w14:val="tx1"/>
            </w14:solidFill>
          </w14:textFill>
        </w:rPr>
        <w:t>重大税收违法案件当事人名单查询页面</w:t>
      </w:r>
    </w:p>
    <w:p>
      <w:pPr>
        <w:spacing w:before="10" w:after="120"/>
        <w:rPr>
          <w:color w:val="000000" w:themeColor="text1"/>
          <w14:textFill>
            <w14:solidFill>
              <w14:schemeClr w14:val="tx1"/>
            </w14:solidFill>
          </w14:textFill>
        </w:rPr>
      </w:pPr>
    </w:p>
    <w:p>
      <w:pPr>
        <w:spacing w:before="10" w:after="120"/>
        <w:rPr>
          <w:color w:val="000000" w:themeColor="text1"/>
          <w14:textFill>
            <w14:solidFill>
              <w14:schemeClr w14:val="tx1"/>
            </w14:solidFill>
          </w14:textFill>
        </w:rPr>
      </w:pPr>
    </w:p>
    <w:p>
      <w:pPr>
        <w:spacing w:before="10" w:after="120"/>
        <w:rPr>
          <w:color w:val="000000" w:themeColor="text1"/>
          <w14:textFill>
            <w14:solidFill>
              <w14:schemeClr w14:val="tx1"/>
            </w14:solidFill>
          </w14:textFill>
        </w:rPr>
      </w:pPr>
    </w:p>
    <w:p>
      <w:pPr>
        <w:spacing w:before="10" w:after="120"/>
        <w:rPr>
          <w:color w:val="000000" w:themeColor="text1"/>
          <w14:textFill>
            <w14:solidFill>
              <w14:schemeClr w14:val="tx1"/>
            </w14:solidFill>
          </w14:textFill>
        </w:rPr>
      </w:pPr>
    </w:p>
    <w:p>
      <w:pPr>
        <w:spacing w:before="10" w:after="120"/>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spacing w:before="10" w:after="12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3、政府采购严重违法失信名单</w:t>
      </w:r>
      <w:r>
        <w:rPr>
          <w:rFonts w:ascii="宋体" w:hAnsi="宋体"/>
          <w:bCs/>
          <w:color w:val="000000" w:themeColor="text1"/>
          <w:sz w:val="24"/>
          <w14:textFill>
            <w14:solidFill>
              <w14:schemeClr w14:val="tx1"/>
            </w14:solidFill>
          </w14:textFill>
        </w:rPr>
        <w:t>查询页面</w:t>
      </w:r>
    </w:p>
    <w:p>
      <w:pP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2336" behindDoc="1" locked="0" layoutInCell="1" allowOverlap="1">
            <wp:simplePos x="0" y="0"/>
            <wp:positionH relativeFrom="column">
              <wp:posOffset>400685</wp:posOffset>
            </wp:positionH>
            <wp:positionV relativeFrom="paragraph">
              <wp:posOffset>108585</wp:posOffset>
            </wp:positionV>
            <wp:extent cx="5487035" cy="2559050"/>
            <wp:effectExtent l="0" t="0" r="0" b="0"/>
            <wp:wrapThrough wrapText="bothSides">
              <wp:wrapPolygon>
                <wp:start x="0" y="0"/>
                <wp:lineTo x="0" y="21386"/>
                <wp:lineTo x="21523" y="21386"/>
                <wp:lineTo x="21523"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487035" cy="2559050"/>
                    </a:xfrm>
                    <a:prstGeom prst="rect">
                      <a:avLst/>
                    </a:prstGeom>
                  </pic:spPr>
                </pic:pic>
              </a:graphicData>
            </a:graphic>
          </wp:anchor>
        </w:drawing>
      </w: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pStyle w:val="14"/>
        <w:jc w:val="center"/>
        <w:rPr>
          <w:rFonts w:asciiTheme="majorEastAsia" w:hAnsiTheme="majorEastAsia" w:eastAsiaTheme="majorEastAsia"/>
          <w:color w:val="000000" w:themeColor="text1"/>
          <w:sz w:val="24"/>
          <w:szCs w:val="24"/>
          <w14:textFill>
            <w14:solidFill>
              <w14:schemeClr w14:val="tx1"/>
            </w14:solidFill>
          </w14:textFill>
        </w:rPr>
      </w:pPr>
    </w:p>
    <w:p>
      <w:pPr>
        <w:jc w:val="center"/>
        <w:rPr>
          <w:rFonts w:ascii="宋体" w:hAnsi="宋体"/>
          <w:bCs/>
          <w:color w:val="000000" w:themeColor="text1"/>
          <w:sz w:val="24"/>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pStyle w:val="24"/>
        <w:rPr>
          <w:color w:val="000000" w:themeColor="text1"/>
          <w14:textFill>
            <w14:solidFill>
              <w14:schemeClr w14:val="tx1"/>
            </w14:solidFill>
          </w14:textFill>
        </w:rPr>
      </w:pPr>
    </w:p>
    <w:p>
      <w:pPr>
        <w:jc w:val="center"/>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一、法人授权书</w:t>
      </w:r>
    </w:p>
    <w:p>
      <w:pPr>
        <w:jc w:val="center"/>
        <w:rPr>
          <w:rFonts w:ascii="宋体" w:hAnsi="宋体"/>
          <w:b/>
          <w:bCs/>
          <w:color w:val="000000" w:themeColor="text1"/>
          <w:sz w:val="24"/>
          <w14:textFill>
            <w14:solidFill>
              <w14:schemeClr w14:val="tx1"/>
            </w14:solidFill>
          </w14:textFill>
        </w:rPr>
      </w:pPr>
    </w:p>
    <w:p>
      <w:pPr>
        <w:pStyle w:val="24"/>
        <w:rPr>
          <w:color w:val="000000" w:themeColor="text1"/>
          <w14:textFill>
            <w14:solidFill>
              <w14:schemeClr w14:val="tx1"/>
            </w14:solidFill>
          </w14:textFill>
        </w:rPr>
      </w:pPr>
    </w:p>
    <w:p>
      <w:pPr>
        <w:pStyle w:val="40"/>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本授权书声明：____________（供应商名称）授权________________（被授权人的姓名）为我方就</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号项目采购活动的合法代理人，以本公司名义全权处理一切与该项目采购有关的事务。</w:t>
      </w:r>
    </w:p>
    <w:p>
      <w:pPr>
        <w:pStyle w:val="40"/>
        <w:spacing w:line="520" w:lineRule="exact"/>
        <w:ind w:firstLine="618" w:firstLineChars="221"/>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本授权书于______年____月____日起生效，特此声明。</w:t>
      </w:r>
    </w:p>
    <w:p>
      <w:pPr>
        <w:pStyle w:val="40"/>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pStyle w:val="40"/>
        <w:spacing w:line="520" w:lineRule="exact"/>
        <w:ind w:firstLine="1120" w:firstLineChars="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代理人（被授权人）：_______________________</w:t>
      </w:r>
    </w:p>
    <w:p>
      <w:pPr>
        <w:pStyle w:val="40"/>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pStyle w:val="40"/>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单位名称：_____________________________________</w:t>
      </w:r>
    </w:p>
    <w:p>
      <w:pPr>
        <w:pStyle w:val="40"/>
        <w:spacing w:line="520" w:lineRule="exact"/>
        <w:ind w:firstLine="560"/>
        <w:rPr>
          <w:rFonts w:ascii="宋体" w:hAnsi="宋体"/>
          <w:color w:val="000000" w:themeColor="text1"/>
          <w14:textFill>
            <w14:solidFill>
              <w14:schemeClr w14:val="tx1"/>
            </w14:solidFill>
          </w14:textFill>
        </w:rPr>
      </w:pPr>
    </w:p>
    <w:p>
      <w:pPr>
        <w:pStyle w:val="40"/>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授权单位盖章：_________________________________</w:t>
      </w:r>
    </w:p>
    <w:p>
      <w:pPr>
        <w:pStyle w:val="40"/>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单位名称：_____________________________________</w:t>
      </w:r>
    </w:p>
    <w:p>
      <w:pPr>
        <w:pStyle w:val="40"/>
        <w:spacing w:line="520" w:lineRule="exact"/>
        <w:ind w:firstLine="56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 xml:space="preserve">      地址：</w:t>
      </w:r>
      <w:r>
        <w:rPr>
          <w:rFonts w:hint="eastAsia" w:ascii="宋体" w:hAnsi="宋体"/>
          <w:color w:val="000000" w:themeColor="text1"/>
          <w:u w:val="single"/>
          <w14:textFill>
            <w14:solidFill>
              <w14:schemeClr w14:val="tx1"/>
            </w14:solidFill>
          </w14:textFill>
        </w:rPr>
        <w:t xml:space="preserve">                                         </w:t>
      </w:r>
    </w:p>
    <w:p>
      <w:pPr>
        <w:pStyle w:val="40"/>
        <w:spacing w:line="520" w:lineRule="exact"/>
        <w:ind w:firstLine="56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日期：______年</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月</w:t>
      </w:r>
      <w:r>
        <w:rPr>
          <w:rFonts w:hint="eastAsia" w:ascii="宋体" w:hAnsi="宋体"/>
          <w:bCs/>
          <w:color w:val="000000" w:themeColor="text1"/>
          <w:u w:val="single"/>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日</w:t>
      </w:r>
      <w:r>
        <w:rPr>
          <w:rFonts w:hint="eastAsia" w:ascii="宋体" w:hAnsi="宋体"/>
          <w:color w:val="000000" w:themeColor="text1"/>
          <w14:textFill>
            <w14:solidFill>
              <w14:schemeClr w14:val="tx1"/>
            </w14:solidFill>
          </w14:textFill>
        </w:rPr>
        <w:t xml:space="preserve">：                    </w:t>
      </w:r>
    </w:p>
    <w:p>
      <w:pPr>
        <w:pStyle w:val="114"/>
        <w:rPr>
          <w:color w:val="000000" w:themeColor="text1"/>
          <w14:textFill>
            <w14:solidFill>
              <w14:schemeClr w14:val="tx1"/>
            </w14:solidFill>
          </w14:textFill>
        </w:rPr>
      </w:pPr>
      <w:bookmarkStart w:id="35" w:name="_Hlt26955070"/>
      <w:bookmarkEnd w:id="35"/>
      <w:bookmarkStart w:id="36" w:name="_Hlt26671380"/>
      <w:bookmarkEnd w:id="36"/>
      <w:bookmarkStart w:id="37" w:name="_格式3__银行出具的资信证明"/>
      <w:bookmarkEnd w:id="37"/>
    </w:p>
    <w:p>
      <w:pPr>
        <w:pStyle w:val="6"/>
        <w:rPr>
          <w:rFonts w:ascii="宋体" w:hAnsi="宋体"/>
          <w:color w:val="000000" w:themeColor="text1"/>
          <w14:textFill>
            <w14:solidFill>
              <w14:schemeClr w14:val="tx1"/>
            </w14:solidFill>
          </w14:textFill>
        </w:rPr>
      </w:pPr>
    </w:p>
    <w:p>
      <w:pPr>
        <w:pStyle w:val="6"/>
        <w:rPr>
          <w:rFonts w:ascii="宋体" w:hAnsi="宋体"/>
          <w:color w:val="000000" w:themeColor="text1"/>
          <w14:textFill>
            <w14:solidFill>
              <w14:schemeClr w14:val="tx1"/>
            </w14:solidFill>
          </w14:textFill>
        </w:rPr>
      </w:pPr>
    </w:p>
    <w:p>
      <w:pPr>
        <w:tabs>
          <w:tab w:val="left" w:pos="2730"/>
        </w:tabs>
        <w:rPr>
          <w:rFonts w:ascii="宋体" w:hAnsi="宋体"/>
          <w:b/>
          <w:color w:val="000000" w:themeColor="text1"/>
          <w:sz w:val="22"/>
          <w:szCs w:val="28"/>
          <w14:textFill>
            <w14:solidFill>
              <w14:schemeClr w14:val="tx1"/>
            </w14:solidFill>
          </w14:textFill>
        </w:rPr>
      </w:pPr>
      <w:r>
        <w:rPr>
          <w:rFonts w:hint="eastAsia" w:ascii="宋体" w:hAnsi="宋体"/>
          <w:b/>
          <w:color w:val="000000" w:themeColor="text1"/>
          <w14:textFill>
            <w14:solidFill>
              <w14:schemeClr w14:val="tx1"/>
            </w14:solidFill>
          </w14:textFill>
        </w:rPr>
        <w:t>委托代理人身份证复印件（正反两面）粘贴处：</w:t>
      </w:r>
    </w:p>
    <w:tbl>
      <w:tblPr>
        <w:tblStyle w:val="25"/>
        <w:tblpPr w:leftFromText="180" w:rightFromText="180" w:vertAnchor="text" w:horzAnchor="margin" w:tblpY="307"/>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正面</w:t>
            </w:r>
          </w:p>
        </w:tc>
        <w:tc>
          <w:tcPr>
            <w:tcW w:w="236" w:type="dxa"/>
          </w:tcPr>
          <w:p>
            <w:pPr>
              <w:pStyle w:val="10"/>
              <w:spacing w:line="500" w:lineRule="exact"/>
              <w:jc w:val="left"/>
              <w:rPr>
                <w:rFonts w:ascii="宋体" w:hAnsi="宋体"/>
                <w:color w:val="000000" w:themeColor="text1"/>
                <w14:textFill>
                  <w14:solidFill>
                    <w14:schemeClr w14:val="tx1"/>
                  </w14:solidFill>
                </w14:textFill>
              </w:rPr>
            </w:pPr>
          </w:p>
        </w:tc>
      </w:tr>
    </w:tbl>
    <w:p>
      <w:pPr>
        <w:rPr>
          <w:vanish/>
          <w:color w:val="000000" w:themeColor="text1"/>
          <w14:textFill>
            <w14:solidFill>
              <w14:schemeClr w14:val="tx1"/>
            </w14:solidFill>
          </w14:textFill>
        </w:rPr>
      </w:pPr>
    </w:p>
    <w:tbl>
      <w:tblPr>
        <w:tblStyle w:val="25"/>
        <w:tblpPr w:leftFromText="180" w:rightFromText="180" w:vertAnchor="text" w:horzAnchor="page" w:tblpX="6166" w:tblpY="344"/>
        <w:tblW w:w="4230"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94"/>
        <w:gridCol w:w="23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3994" w:type="dxa"/>
            <w:vAlign w:val="center"/>
          </w:tcPr>
          <w:p>
            <w:pPr>
              <w:tabs>
                <w:tab w:val="left" w:pos="2730"/>
              </w:tabs>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反面</w:t>
            </w:r>
          </w:p>
        </w:tc>
        <w:tc>
          <w:tcPr>
            <w:tcW w:w="236" w:type="dxa"/>
          </w:tcPr>
          <w:p>
            <w:pPr>
              <w:pStyle w:val="10"/>
              <w:spacing w:line="500" w:lineRule="exact"/>
              <w:jc w:val="left"/>
              <w:rPr>
                <w:rFonts w:ascii="宋体" w:hAnsi="宋体"/>
                <w:color w:val="000000" w:themeColor="text1"/>
                <w14:textFill>
                  <w14:solidFill>
                    <w14:schemeClr w14:val="tx1"/>
                  </w14:solidFill>
                </w14:textFill>
              </w:rPr>
            </w:pPr>
          </w:p>
        </w:tc>
      </w:tr>
    </w:tbl>
    <w:p>
      <w:pPr>
        <w:spacing w:line="520" w:lineRule="atLeas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rPr>
          <w:rFonts w:ascii="宋体" w:hAnsi="宋体"/>
          <w:b/>
          <w:color w:val="000000" w:themeColor="text1"/>
          <w:sz w:val="32"/>
          <w:szCs w:val="32"/>
          <w14:textFill>
            <w14:solidFill>
              <w14:schemeClr w14:val="tx1"/>
            </w14:solidFill>
          </w14:textFill>
        </w:rPr>
      </w:pPr>
    </w:p>
    <w:p>
      <w:pPr>
        <w:rPr>
          <w:rFonts w:ascii="宋体" w:hAnsi="宋体"/>
          <w:b/>
          <w:color w:val="000000" w:themeColor="text1"/>
          <w:sz w:val="32"/>
          <w:szCs w:val="32"/>
          <w14:textFill>
            <w14:solidFill>
              <w14:schemeClr w14:val="tx1"/>
            </w14:solidFill>
          </w14:textFill>
        </w:rPr>
      </w:pPr>
    </w:p>
    <w:p>
      <w:pP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p>
    <w:p>
      <w:pPr>
        <w:pStyle w:val="21"/>
        <w:rPr>
          <w:color w:val="000000" w:themeColor="text1"/>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二、资格性审查响应对照表（格式）</w:t>
      </w:r>
    </w:p>
    <w:p>
      <w:pPr>
        <w:snapToGrid w:val="0"/>
        <w:spacing w:before="50" w:after="50"/>
        <w:jc w:val="center"/>
        <w:rPr>
          <w:rFonts w:ascii="宋体" w:hAnsi="宋体"/>
          <w:b/>
          <w:color w:val="000000" w:themeColor="text1"/>
          <w:sz w:val="32"/>
          <w:szCs w:val="32"/>
          <w14:textFill>
            <w14:solidFill>
              <w14:schemeClr w14:val="tx1"/>
            </w14:solidFill>
          </w14:textFill>
        </w:rPr>
      </w:pPr>
    </w:p>
    <w:p>
      <w:pPr>
        <w:ind w:firstLine="30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投标人全称（加盖公章）：</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序号</w:t>
            </w:r>
          </w:p>
        </w:tc>
        <w:tc>
          <w:tcPr>
            <w:tcW w:w="5447"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资格性审查响应内容</w:t>
            </w:r>
          </w:p>
        </w:tc>
        <w:tc>
          <w:tcPr>
            <w:tcW w:w="1680"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是否响应</w:t>
            </w:r>
          </w:p>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（填是或者否）</w:t>
            </w:r>
          </w:p>
        </w:tc>
        <w:tc>
          <w:tcPr>
            <w:tcW w:w="1785"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投标文件中的</w:t>
            </w:r>
          </w:p>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5447" w:type="dxa"/>
            <w:vAlign w:val="center"/>
          </w:tcPr>
          <w:p>
            <w:pPr>
              <w:spacing w:line="480" w:lineRule="exac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b/>
                <w:color w:val="000000" w:themeColor="text1"/>
                <w14:textFill>
                  <w14:solidFill>
                    <w14:schemeClr w14:val="tx1"/>
                  </w14:solidFill>
                </w14:textFill>
              </w:rPr>
            </w:pPr>
          </w:p>
        </w:tc>
        <w:tc>
          <w:tcPr>
            <w:tcW w:w="1785" w:type="dxa"/>
            <w:vAlign w:val="center"/>
          </w:tcPr>
          <w:p>
            <w:pPr>
              <w:rPr>
                <w:rFonts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5447" w:type="dxa"/>
            <w:vAlign w:val="center"/>
          </w:tcPr>
          <w:p>
            <w:pPr>
              <w:spacing w:line="480" w:lineRule="exac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5447" w:type="dxa"/>
            <w:vAlign w:val="center"/>
          </w:tcPr>
          <w:p>
            <w:pPr>
              <w:spacing w:line="480" w:lineRule="exac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5447" w:type="dxa"/>
            <w:vAlign w:val="center"/>
          </w:tcPr>
          <w:p>
            <w:pPr>
              <w:spacing w:line="360" w:lineRule="auto"/>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5447" w:type="dxa"/>
            <w:vAlign w:val="center"/>
          </w:tcPr>
          <w:p>
            <w:pPr>
              <w:snapToGrid w:val="0"/>
              <w:spacing w:line="590" w:lineRule="atLeas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5447" w:type="dxa"/>
            <w:vAlign w:val="center"/>
          </w:tcPr>
          <w:p>
            <w:pPr>
              <w:snapToGrid w:val="0"/>
              <w:spacing w:line="590" w:lineRule="atLeas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5447" w:type="dxa"/>
            <w:vAlign w:val="center"/>
          </w:tcPr>
          <w:p>
            <w:pPr>
              <w:snapToGrid w:val="0"/>
              <w:spacing w:line="590" w:lineRule="atLeas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bl>
    <w:p>
      <w:pPr>
        <w:spacing w:line="440" w:lineRule="exact"/>
        <w:ind w:firstLine="480" w:firstLineChars="200"/>
        <w:rPr>
          <w:rFonts w:ascii="宋体" w:hAnsi="宋体"/>
          <w:color w:val="000000" w:themeColor="text1"/>
          <w:sz w:val="2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r>
        <w:rPr>
          <w:rFonts w:hint="eastAsia" w:ascii="宋体" w:hAnsi="宋体"/>
          <w:color w:val="000000" w:themeColor="text1"/>
          <w:sz w:val="44"/>
          <w14:textFill>
            <w14:solidFill>
              <w14:schemeClr w14:val="tx1"/>
            </w14:solidFill>
          </w14:textFill>
        </w:rPr>
        <w:t xml:space="preserve"> </w:t>
      </w:r>
    </w:p>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r>
        <w:rPr>
          <w:rFonts w:hint="eastAsia" w:ascii="宋体" w:hAnsi="宋体"/>
          <w:color w:val="000000" w:themeColor="text1"/>
          <w:sz w:val="44"/>
          <w14:textFill>
            <w14:solidFill>
              <w14:schemeClr w14:val="tx1"/>
            </w14:solidFill>
          </w14:textFill>
        </w:rPr>
        <w:t xml:space="preserve"> </w:t>
      </w:r>
    </w:p>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snapToGrid w:val="0"/>
        <w:spacing w:before="50" w:after="50"/>
        <w:rPr>
          <w:rFonts w:ascii="宋体" w:hAnsi="宋体"/>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三、符合性检查响应对照表（格式）</w:t>
      </w:r>
    </w:p>
    <w:p>
      <w:pPr>
        <w:snapToGrid w:val="0"/>
        <w:spacing w:before="50" w:after="50"/>
        <w:jc w:val="center"/>
        <w:rPr>
          <w:rFonts w:ascii="宋体" w:hAnsi="宋体"/>
          <w:b/>
          <w:color w:val="000000" w:themeColor="text1"/>
          <w:sz w:val="32"/>
          <w:szCs w:val="32"/>
          <w14:textFill>
            <w14:solidFill>
              <w14:schemeClr w14:val="tx1"/>
            </w14:solidFill>
          </w14:textFill>
        </w:rPr>
      </w:pPr>
    </w:p>
    <w:p>
      <w:pPr>
        <w:ind w:firstLine="30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投标人全称（加盖公章）：</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序号</w:t>
            </w:r>
          </w:p>
        </w:tc>
        <w:tc>
          <w:tcPr>
            <w:tcW w:w="5447"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符合性检查响应内容</w:t>
            </w:r>
          </w:p>
        </w:tc>
        <w:tc>
          <w:tcPr>
            <w:tcW w:w="1680"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是否响应</w:t>
            </w:r>
          </w:p>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（填是或者否）</w:t>
            </w:r>
          </w:p>
        </w:tc>
        <w:tc>
          <w:tcPr>
            <w:tcW w:w="1785" w:type="dxa"/>
            <w:vAlign w:val="center"/>
          </w:tcPr>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投标文件中的</w:t>
            </w:r>
          </w:p>
          <w:p>
            <w:pPr>
              <w:snapToGrid w:val="0"/>
              <w:spacing w:line="240" w:lineRule="atLeas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5447" w:type="dxa"/>
            <w:vAlign w:val="center"/>
          </w:tcPr>
          <w:p>
            <w:pPr>
              <w:spacing w:line="480" w:lineRule="exac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b/>
                <w:color w:val="000000" w:themeColor="text1"/>
                <w14:textFill>
                  <w14:solidFill>
                    <w14:schemeClr w14:val="tx1"/>
                  </w14:solidFill>
                </w14:textFill>
              </w:rPr>
            </w:pPr>
          </w:p>
        </w:tc>
        <w:tc>
          <w:tcPr>
            <w:tcW w:w="1785" w:type="dxa"/>
            <w:vAlign w:val="center"/>
          </w:tcPr>
          <w:p>
            <w:pPr>
              <w:rPr>
                <w:rFonts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5447" w:type="dxa"/>
            <w:vAlign w:val="center"/>
          </w:tcPr>
          <w:p>
            <w:pPr>
              <w:spacing w:line="480" w:lineRule="exac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5447" w:type="dxa"/>
            <w:vAlign w:val="center"/>
          </w:tcPr>
          <w:p>
            <w:pPr>
              <w:spacing w:line="480" w:lineRule="exac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5447" w:type="dxa"/>
            <w:vAlign w:val="center"/>
          </w:tcPr>
          <w:p>
            <w:pPr>
              <w:spacing w:line="360" w:lineRule="auto"/>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5447" w:type="dxa"/>
            <w:vAlign w:val="center"/>
          </w:tcPr>
          <w:p>
            <w:pPr>
              <w:snapToGrid w:val="0"/>
              <w:spacing w:line="590" w:lineRule="atLeas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5447" w:type="dxa"/>
            <w:vAlign w:val="center"/>
          </w:tcPr>
          <w:p>
            <w:pPr>
              <w:snapToGrid w:val="0"/>
              <w:spacing w:line="590" w:lineRule="atLeast"/>
              <w:rPr>
                <w:rFonts w:ascii="宋体" w:hAnsi="宋体"/>
                <w:iCs/>
                <w:color w:val="000000" w:themeColor="text1"/>
                <w:sz w:val="24"/>
                <w14:textFill>
                  <w14:solidFill>
                    <w14:schemeClr w14:val="tx1"/>
                  </w14:solidFill>
                </w14:textFill>
              </w:rPr>
            </w:pP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46"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5447" w:type="dxa"/>
            <w:vAlign w:val="center"/>
          </w:tcPr>
          <w:p>
            <w:pPr>
              <w:snapToGrid w:val="0"/>
              <w:spacing w:line="590" w:lineRule="atLeast"/>
              <w:rPr>
                <w:rFonts w:ascii="宋体" w:hAnsi="宋体"/>
                <w:iCs/>
                <w:color w:val="000000" w:themeColor="text1"/>
                <w:sz w:val="24"/>
                <w14:textFill>
                  <w14:solidFill>
                    <w14:schemeClr w14:val="tx1"/>
                  </w14:solidFill>
                </w14:textFill>
              </w:rPr>
            </w:pPr>
            <w:r>
              <w:rPr>
                <w:rFonts w:hint="eastAsia" w:ascii="宋体" w:hAnsi="宋体"/>
                <w:iCs/>
                <w:color w:val="000000" w:themeColor="text1"/>
                <w:sz w:val="24"/>
                <w14:textFill>
                  <w14:solidFill>
                    <w14:schemeClr w14:val="tx1"/>
                  </w14:solidFill>
                </w14:textFill>
              </w:rPr>
              <w:t>招标文件中的其他实质性要求</w:t>
            </w:r>
          </w:p>
        </w:tc>
        <w:tc>
          <w:tcPr>
            <w:tcW w:w="1680" w:type="dxa"/>
            <w:vAlign w:val="center"/>
          </w:tcPr>
          <w:p>
            <w:pPr>
              <w:rPr>
                <w:rFonts w:ascii="宋体" w:hAnsi="宋体"/>
                <w:color w:val="000000" w:themeColor="text1"/>
                <w14:textFill>
                  <w14:solidFill>
                    <w14:schemeClr w14:val="tx1"/>
                  </w14:solidFill>
                </w14:textFill>
              </w:rPr>
            </w:pPr>
          </w:p>
        </w:tc>
        <w:tc>
          <w:tcPr>
            <w:tcW w:w="1785" w:type="dxa"/>
            <w:vAlign w:val="center"/>
          </w:tcPr>
          <w:p>
            <w:pPr>
              <w:rPr>
                <w:rFonts w:ascii="宋体" w:hAnsi="宋体"/>
                <w:color w:val="000000" w:themeColor="text1"/>
                <w14:textFill>
                  <w14:solidFill>
                    <w14:schemeClr w14:val="tx1"/>
                  </w14:solidFill>
                </w14:textFill>
              </w:rPr>
            </w:pPr>
          </w:p>
        </w:tc>
      </w:tr>
    </w:tbl>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44"/>
          <w14:textFill>
            <w14:solidFill>
              <w14:schemeClr w14:val="tx1"/>
            </w14:solidFill>
          </w14:textFill>
        </w:rPr>
      </w:pPr>
    </w:p>
    <w:p>
      <w:pPr>
        <w:snapToGrid w:val="0"/>
        <w:spacing w:before="50" w:after="5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 xml:space="preserve">           </w:t>
      </w:r>
    </w:p>
    <w:p>
      <w:pPr>
        <w:snapToGrid w:val="0"/>
        <w:spacing w:before="50" w:after="50"/>
        <w:rPr>
          <w:rFonts w:ascii="宋体" w:hAnsi="宋体"/>
          <w:color w:val="000000" w:themeColor="text1"/>
          <w:sz w:val="24"/>
          <w14:textFill>
            <w14:solidFill>
              <w14:schemeClr w14:val="tx1"/>
            </w14:solidFill>
          </w14:textFill>
        </w:rPr>
      </w:pPr>
    </w:p>
    <w:p>
      <w:pPr>
        <w:snapToGrid w:val="0"/>
        <w:spacing w:before="50" w:after="50"/>
        <w:rPr>
          <w:rFonts w:ascii="宋体" w:hAnsi="宋体"/>
          <w:color w:val="000000" w:themeColor="text1"/>
          <w:sz w:val="32"/>
          <w:szCs w:val="32"/>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pStyle w:val="21"/>
        <w:rPr>
          <w:color w:val="000000" w:themeColor="text1"/>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bookmarkStart w:id="38" w:name="_Toc120614284"/>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p>
    <w:p>
      <w:pPr>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四、</w:t>
      </w:r>
      <w:r>
        <w:rPr>
          <w:rFonts w:hint="eastAsia" w:cs="宋体" w:asciiTheme="minorEastAsia" w:hAnsiTheme="minorEastAsia" w:eastAsiaTheme="minorEastAsia"/>
          <w:b/>
          <w:bCs/>
          <w:color w:val="000000" w:themeColor="text1"/>
          <w:kern w:val="0"/>
          <w:sz w:val="32"/>
          <w:szCs w:val="32"/>
          <w:shd w:val="clear" w:color="auto" w:fill="FFFFFF"/>
          <w14:textFill>
            <w14:solidFill>
              <w14:schemeClr w14:val="tx1"/>
            </w14:solidFill>
          </w14:textFill>
        </w:rPr>
        <w:t>投标承诺书</w:t>
      </w:r>
    </w:p>
    <w:p>
      <w:pPr>
        <w:pStyle w:val="33"/>
        <w:rPr>
          <w:rFonts w:asciiTheme="minorEastAsia" w:hAnsiTheme="minorEastAsia" w:eastAsiaTheme="minorEastAsia"/>
          <w:color w:val="000000" w:themeColor="text1"/>
          <w14:textFill>
            <w14:solidFill>
              <w14:schemeClr w14:val="tx1"/>
            </w14:solidFill>
          </w14:textFill>
        </w:rPr>
      </w:pPr>
    </w:p>
    <w:p>
      <w:pPr>
        <w:widowControl/>
        <w:shd w:val="clear" w:color="auto" w:fill="FFFFFF"/>
        <w:snapToGrid w:val="0"/>
        <w:spacing w:line="420" w:lineRule="atLeast"/>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江苏医药职业学院：</w:t>
      </w:r>
    </w:p>
    <w:p>
      <w:pPr>
        <w:widowControl/>
        <w:shd w:val="clear" w:color="auto" w:fill="FFFFFF"/>
        <w:snapToGrid w:val="0"/>
        <w:spacing w:line="460" w:lineRule="atLeast"/>
        <w:ind w:firstLine="48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24"/>
          <w:shd w:val="clear" w:color="auto" w:fill="FFFFFF"/>
          <w14:textFill>
            <w14:solidFill>
              <w14:schemeClr w14:val="tx1"/>
            </w14:solidFill>
          </w14:textFill>
        </w:rPr>
        <w:t>1</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、根据已收到的项目的询价文件，遵照《中华人民共和国招标投标法》等有关规定，我单位研究贵方询价文件的所有内容后，决定无保留地接受询价文件所有条款，并自愿以人民币（大写</w:t>
      </w:r>
      <w:r>
        <w:rPr>
          <w:rFonts w:hint="eastAsia" w:cs="宋体" w:asciiTheme="minorEastAsia" w:hAnsiTheme="minorEastAsia" w:eastAsiaTheme="minorEastAsia"/>
          <w:color w:val="000000" w:themeColor="text1"/>
          <w:kern w:val="0"/>
          <w:sz w:val="24"/>
          <w:u w:val="single"/>
          <w:shd w:val="clear" w:color="auto" w:fill="FFFFFF"/>
          <w14:textFill>
            <w14:solidFill>
              <w14:schemeClr w14:val="tx1"/>
            </w14:solidFill>
          </w14:textFill>
        </w:rPr>
        <w:t xml:space="preserve">）           </w:t>
      </w:r>
      <w:r>
        <w:rPr>
          <w:rFonts w:cs="宋体" w:asciiTheme="minorEastAsia" w:hAnsiTheme="minorEastAsia" w:eastAsiaTheme="minorEastAsia"/>
          <w:color w:val="000000" w:themeColor="text1"/>
          <w:kern w:val="0"/>
          <w:sz w:val="24"/>
          <w:u w:val="single"/>
          <w:shd w:val="clear" w:color="auto" w:fill="FFFFFF"/>
          <w14:textFill>
            <w14:solidFill>
              <w14:schemeClr w14:val="tx1"/>
            </w14:solidFill>
          </w14:textFill>
        </w:rPr>
        <w:t>¥</w:t>
      </w:r>
      <w:r>
        <w:rPr>
          <w:rFonts w:hint="eastAsia" w:cs="宋体" w:asciiTheme="minorEastAsia" w:hAnsiTheme="minorEastAsia" w:eastAsiaTheme="minorEastAsia"/>
          <w:color w:val="000000" w:themeColor="text1"/>
          <w:kern w:val="0"/>
          <w:sz w:val="24"/>
          <w:u w:val="single"/>
          <w:shd w:val="clear" w:color="auto" w:fill="FFFFFF"/>
          <w14:textFill>
            <w14:solidFill>
              <w14:schemeClr w14:val="tx1"/>
            </w14:solidFill>
          </w14:textFill>
        </w:rPr>
        <w:t>：      的</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总价完成本询价范围内的全部服务。</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24"/>
          <w:shd w:val="clear" w:color="auto" w:fill="FFFFFF"/>
          <w14:textFill>
            <w14:solidFill>
              <w14:schemeClr w14:val="tx1"/>
            </w14:solidFill>
          </w14:textFill>
        </w:rPr>
        <w:t>2</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、一旦我公司中标，我公司保证在规定的时间内完成全部服务工作，并保证服务质量满足招标文件及招标人的要求。</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24"/>
          <w:shd w:val="clear" w:color="auto" w:fill="FFFFFF"/>
          <w14:textFill>
            <w14:solidFill>
              <w14:schemeClr w14:val="tx1"/>
            </w14:solidFill>
          </w14:textFill>
        </w:rPr>
        <w:t>3</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、本次服务，我方将派出</w:t>
      </w:r>
      <w:r>
        <w:rPr>
          <w:rFonts w:hint="eastAsia" w:cs="宋体" w:asciiTheme="minorEastAsia" w:hAnsiTheme="minorEastAsia" w:eastAsiaTheme="minorEastAsia"/>
          <w:color w:val="000000" w:themeColor="text1"/>
          <w:kern w:val="0"/>
          <w:sz w:val="24"/>
          <w:u w:val="single"/>
          <w:shd w:val="clear" w:color="auto" w:fill="FFFFFF"/>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项目负责人姓名）作为项目负责人。</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4、我公司将严格遵守国家相关法律、法规及江苏省、盐城市和招标人制定的各项审核管理规定，如有违反，我方无条件接受招标人和主管部门依据法律法规作出的处理决定，并承担由此产生的责任。</w:t>
      </w:r>
    </w:p>
    <w:p>
      <w:pPr>
        <w:widowControl/>
        <w:shd w:val="clear" w:color="auto" w:fill="FFFFFF"/>
        <w:snapToGrid w:val="0"/>
        <w:spacing w:line="460" w:lineRule="atLeast"/>
        <w:ind w:firstLine="480" w:firstLineChars="2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5、你单位发出的中标通知书和本投标文件将成为约束双方的合同文件的组成部分。</w:t>
      </w:r>
    </w:p>
    <w:p>
      <w:pPr>
        <w:widowControl/>
        <w:shd w:val="clear" w:color="auto" w:fill="FFFFFF"/>
        <w:snapToGrid w:val="0"/>
        <w:spacing w:line="420" w:lineRule="atLeast"/>
        <w:ind w:firstLine="658"/>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cs="宋体" w:asciiTheme="minorEastAsia" w:hAnsiTheme="minorEastAsia" w:eastAsiaTheme="minorEastAsia"/>
          <w:color w:val="000000" w:themeColor="text1"/>
          <w:kern w:val="0"/>
          <w:sz w:val="18"/>
          <w:szCs w:val="18"/>
          <w:shd w:val="clear" w:color="auto" w:fill="FFFFFF"/>
          <w14:textFill>
            <w14:solidFill>
              <w14:schemeClr w14:val="tx1"/>
            </w14:solidFill>
          </w14:textFill>
        </w:rPr>
        <w:t> </w:t>
      </w:r>
    </w:p>
    <w:p>
      <w:pPr>
        <w:widowControl/>
        <w:shd w:val="clear" w:color="auto" w:fill="FFFFFF"/>
        <w:snapToGrid w:val="0"/>
        <w:spacing w:line="420" w:lineRule="atLeast"/>
        <w:ind w:firstLine="658"/>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投标人：</w:t>
      </w:r>
      <w:r>
        <w:rPr>
          <w:rFonts w:hint="eastAsia" w:cs="宋体" w:asciiTheme="minorEastAsia" w:hAnsiTheme="minorEastAsia" w:eastAsiaTheme="minorEastAsia"/>
          <w:color w:val="000000" w:themeColor="text1"/>
          <w:kern w:val="0"/>
          <w:sz w:val="24"/>
          <w:u w:val="single"/>
          <w:shd w:val="clear" w:color="auto" w:fill="FFFFFF"/>
          <w14:textFill>
            <w14:solidFill>
              <w14:schemeClr w14:val="tx1"/>
            </w14:solidFill>
          </w14:textFill>
        </w:rPr>
        <w:t>（盖章）</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单位地址：</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法定代表人或其委托代理人（签字或盖章）：</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24"/>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邮政编码：</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24"/>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电话：</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u w:val="single"/>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传真：</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开户银行名称：</w:t>
      </w:r>
    </w:p>
    <w:p>
      <w:pPr>
        <w:widowControl/>
        <w:shd w:val="clear" w:color="auto" w:fill="FFFFFF"/>
        <w:snapToGrid w:val="0"/>
        <w:spacing w:line="420" w:lineRule="atLeast"/>
        <w:ind w:firstLine="600"/>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开户银行帐号：</w:t>
      </w:r>
    </w:p>
    <w:p>
      <w:pPr>
        <w:widowControl/>
        <w:shd w:val="clear" w:color="auto" w:fill="FFFFFF"/>
        <w:snapToGrid w:val="0"/>
        <w:spacing w:line="420" w:lineRule="atLeast"/>
        <w:ind w:firstLine="720" w:firstLineChars="300"/>
        <w:jc w:val="left"/>
        <w:rPr>
          <w:rFonts w:cs="宋体" w:asciiTheme="minorEastAsia" w:hAnsiTheme="minorEastAsia" w:eastAsiaTheme="minorEastAsia"/>
          <w:color w:val="000000" w:themeColor="text1"/>
          <w:kern w:val="0"/>
          <w:sz w:val="24"/>
          <w:shd w:val="clear" w:color="auto" w:fill="FFFFFF"/>
          <w14:textFill>
            <w14:solidFill>
              <w14:schemeClr w14:val="tx1"/>
            </w14:solidFill>
          </w14:textFill>
        </w:rPr>
      </w:pPr>
    </w:p>
    <w:p>
      <w:pPr>
        <w:widowControl/>
        <w:shd w:val="clear" w:color="auto" w:fill="FFFFFF"/>
        <w:snapToGrid w:val="0"/>
        <w:spacing w:line="420" w:lineRule="atLeast"/>
        <w:ind w:firstLine="720" w:firstLineChars="300"/>
        <w:jc w:val="left"/>
        <w:rPr>
          <w:rFonts w:cs="宋体" w:asciiTheme="minorEastAsia" w:hAnsiTheme="minorEastAsia" w:eastAsiaTheme="minorEastAsia"/>
          <w:color w:val="000000" w:themeColor="text1"/>
          <w:kern w:val="0"/>
          <w:sz w:val="24"/>
          <w:shd w:val="clear" w:color="auto" w:fill="FFFFFF"/>
          <w14:textFill>
            <w14:solidFill>
              <w14:schemeClr w14:val="tx1"/>
            </w14:solidFill>
          </w14:textFill>
        </w:rPr>
      </w:pPr>
    </w:p>
    <w:p>
      <w:pPr>
        <w:widowControl/>
        <w:shd w:val="clear" w:color="auto" w:fill="FFFFFF"/>
        <w:snapToGrid w:val="0"/>
        <w:spacing w:line="420" w:lineRule="atLeast"/>
        <w:ind w:firstLine="5280" w:firstLineChars="2200"/>
        <w:jc w:val="left"/>
        <w:rPr>
          <w:rFonts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kern w:val="0"/>
          <w:sz w:val="24"/>
          <w:shd w:val="clear" w:color="auto" w:fill="FFFFFF"/>
          <w14:textFill>
            <w14:solidFill>
              <w14:schemeClr w14:val="tx1"/>
            </w14:solidFill>
          </w14:textFill>
        </w:rPr>
        <w:t>日期：  年  月  日</w:t>
      </w:r>
    </w:p>
    <w:p>
      <w:pPr>
        <w:spacing w:line="460" w:lineRule="exact"/>
        <w:rPr>
          <w:rFonts w:ascii="宋体" w:hAnsi="宋体"/>
          <w:bCs/>
          <w:color w:val="000000" w:themeColor="text1"/>
          <w:sz w:val="24"/>
          <w14:textFill>
            <w14:solidFill>
              <w14:schemeClr w14:val="tx1"/>
            </w14:solidFill>
          </w14:textFill>
        </w:rPr>
      </w:pPr>
    </w:p>
    <w:bookmarkEnd w:id="38"/>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pStyle w:val="21"/>
        <w:rPr>
          <w:color w:val="000000" w:themeColor="text1"/>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五、询价开标一览表（格式）</w:t>
      </w:r>
    </w:p>
    <w:tbl>
      <w:tblPr>
        <w:tblStyle w:val="25"/>
        <w:tblpPr w:leftFromText="180" w:rightFromText="180" w:vertAnchor="text" w:horzAnchor="margin" w:tblpY="343"/>
        <w:tblW w:w="10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2700" w:type="dxa"/>
            <w:vAlign w:val="center"/>
          </w:tcPr>
          <w:p>
            <w:pPr>
              <w:ind w:firstLine="560" w:firstLineChars="200"/>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项 目 编 号</w:t>
            </w:r>
          </w:p>
        </w:tc>
        <w:tc>
          <w:tcPr>
            <w:tcW w:w="7445" w:type="dxa"/>
            <w:vAlign w:val="center"/>
          </w:tcPr>
          <w:p>
            <w:pPr>
              <w:jc w:val="center"/>
              <w:rPr>
                <w:rFonts w:asciiTheme="majorEastAsia" w:hAnsiTheme="majorEastAsia" w:eastAsiaTheme="majorEastAsia"/>
                <w:bCs/>
                <w:color w:val="000000" w:themeColor="text1"/>
                <w:sz w:val="28"/>
                <w14:textFill>
                  <w14:solidFill>
                    <w14:schemeClr w14:val="tx1"/>
                  </w14:solidFill>
                </w14:textFill>
              </w:rPr>
            </w:pPr>
            <w:r>
              <w:rPr>
                <w:rFonts w:hint="eastAsia" w:asciiTheme="majorEastAsia" w:hAnsiTheme="majorEastAsia" w:eastAsiaTheme="majorEastAsia"/>
                <w:bCs/>
                <w:color w:val="000000" w:themeColor="text1"/>
                <w:sz w:val="28"/>
                <w14:textFill>
                  <w14:solidFill>
                    <w14:schemeClr w14:val="tx1"/>
                  </w14:solidFill>
                </w14:textFill>
              </w:rPr>
              <w:t>SY2022-092-HW-XJ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vAlign w:val="center"/>
          </w:tcPr>
          <w:p>
            <w:pPr>
              <w:ind w:firstLine="560" w:firstLineChars="200"/>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项 目 名 称</w:t>
            </w:r>
          </w:p>
        </w:tc>
        <w:tc>
          <w:tcPr>
            <w:tcW w:w="7445" w:type="dxa"/>
            <w:vAlign w:val="center"/>
          </w:tcPr>
          <w:p>
            <w:pPr>
              <w:jc w:val="center"/>
              <w:rPr>
                <w:rFonts w:asciiTheme="majorEastAsia" w:hAnsiTheme="majorEastAsia" w:eastAsiaTheme="majorEastAsia"/>
                <w:bCs/>
                <w:color w:val="000000" w:themeColor="text1"/>
                <w:sz w:val="28"/>
                <w14:textFill>
                  <w14:solidFill>
                    <w14:schemeClr w14:val="tx1"/>
                  </w14:solidFill>
                </w14:textFill>
              </w:rPr>
            </w:pPr>
            <w:r>
              <w:rPr>
                <w:rFonts w:hint="eastAsia" w:asciiTheme="majorEastAsia" w:hAnsiTheme="majorEastAsia" w:eastAsiaTheme="majorEastAsia"/>
                <w:bCs/>
                <w:color w:val="000000" w:themeColor="text1"/>
                <w:sz w:val="28"/>
                <w14:textFill>
                  <w14:solidFill>
                    <w14:schemeClr w14:val="tx1"/>
                  </w14:solidFill>
                </w14:textFill>
              </w:rPr>
              <w:t>江苏医药职业学院审计信息系统软件采购项目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jc w:val="left"/>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bCs/>
                <w:color w:val="000000" w:themeColor="text1"/>
                <w:sz w:val="28"/>
                <w14:textFill>
                  <w14:solidFill>
                    <w14:schemeClr w14:val="tx1"/>
                  </w14:solidFill>
                </w14:textFill>
              </w:rPr>
              <w:t>投标报价：（大写）</w:t>
            </w:r>
            <w:r>
              <w:rPr>
                <w:rFonts w:hint="eastAsia" w:asciiTheme="majorEastAsia" w:hAnsiTheme="majorEastAsia" w:eastAsiaTheme="majorEastAsia"/>
                <w:bCs/>
                <w:color w:val="000000" w:themeColor="text1"/>
                <w:sz w:val="28"/>
                <w:u w:val="single"/>
                <w14:textFill>
                  <w14:solidFill>
                    <w14:schemeClr w14:val="tx1"/>
                  </w14:solidFill>
                </w14:textFill>
              </w:rPr>
              <w:t xml:space="preserve">                       </w:t>
            </w:r>
            <w:r>
              <w:rPr>
                <w:rFonts w:hint="eastAsia" w:asciiTheme="majorEastAsia" w:hAnsiTheme="majorEastAsia" w:eastAsiaTheme="majorEastAsia"/>
                <w:bCs/>
                <w:color w:val="000000" w:themeColor="text1"/>
                <w:sz w:val="28"/>
                <w14:textFill>
                  <w14:solidFill>
                    <w14:schemeClr w14:val="tx1"/>
                  </w14:solidFill>
                </w14:textFill>
              </w:rPr>
              <w:t>，（小写）</w:t>
            </w:r>
            <w:r>
              <w:rPr>
                <w:rFonts w:hint="eastAsia" w:asciiTheme="majorEastAsia" w:hAnsiTheme="majorEastAsia" w:eastAsiaTheme="majorEastAsia"/>
                <w:bCs/>
                <w:color w:val="000000" w:themeColor="text1"/>
                <w:sz w:val="28"/>
                <w:u w:val="single"/>
                <w14:textFill>
                  <w14:solidFill>
                    <w14:schemeClr w14:val="tx1"/>
                  </w14:solidFill>
                </w14:textFill>
              </w:rPr>
              <w:t xml:space="preserve">                       </w:t>
            </w:r>
            <w:r>
              <w:rPr>
                <w:rFonts w:hint="eastAsia" w:asciiTheme="majorEastAsia" w:hAnsiTheme="majorEastAsia" w:eastAsiaTheme="majorEastAsia"/>
                <w:bCs/>
                <w:color w:val="000000" w:themeColor="text1"/>
                <w:sz w:val="28"/>
                <w14:textFill>
                  <w14:solidFill>
                    <w14:schemeClr w14:val="tx1"/>
                  </w14:solidFill>
                </w14:textFill>
              </w:rPr>
              <w:t>：</w:t>
            </w:r>
            <w:r>
              <w:rPr>
                <w:rFonts w:hint="eastAsia" w:asciiTheme="majorEastAsia" w:hAnsiTheme="majorEastAsia" w:eastAsiaTheme="majorEastAsia"/>
                <w:bCs/>
                <w:color w:val="000000" w:themeColor="text1"/>
                <w:sz w:val="28"/>
                <w:u w:val="thick"/>
                <w14:textFill>
                  <w14:solidFill>
                    <w14:schemeClr w14:val="tx1"/>
                  </w14:solidFill>
                </w14:textFill>
              </w:rPr>
              <w:t xml:space="preserve">                      </w:t>
            </w:r>
            <w:r>
              <w:rPr>
                <w:rFonts w:hint="eastAsia" w:asciiTheme="majorEastAsia" w:hAnsiTheme="majorEastAsia" w:eastAsiaTheme="majorEastAsia"/>
                <w:bCs/>
                <w:color w:val="000000" w:themeColor="text1"/>
                <w:sz w:val="28"/>
                <w:u w:val="single"/>
                <w14:textFill>
                  <w14:solidFill>
                    <w14:schemeClr w14:val="tx1"/>
                  </w14:solidFill>
                </w14:textFill>
              </w:rPr>
              <w:t xml:space="preserve">                                               </w:t>
            </w:r>
            <w:r>
              <w:rPr>
                <w:rFonts w:hint="eastAsia" w:asciiTheme="majorEastAsia" w:hAnsiTheme="majorEastAsia" w:eastAsiaTheme="majorEastAsia"/>
                <w:color w:val="000000" w:themeColor="text1"/>
                <w:sz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rPr>
                <w:rFonts w:asciiTheme="majorEastAsia" w:hAnsiTheme="majorEastAsia" w:eastAsiaTheme="majorEastAsia"/>
                <w:bCs/>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品牌：                             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vAlign w:val="center"/>
          </w:tcPr>
          <w:p>
            <w:pPr>
              <w:rPr>
                <w:rFonts w:asciiTheme="majorEastAsia" w:hAnsiTheme="majorEastAsia" w:eastAsiaTheme="majorEastAsia"/>
                <w:bCs/>
                <w:color w:val="000000" w:themeColor="text1"/>
                <w:sz w:val="28"/>
                <w14:textFill>
                  <w14:solidFill>
                    <w14:schemeClr w14:val="tx1"/>
                  </w14:solidFill>
                </w14:textFill>
              </w:rPr>
            </w:pPr>
            <w:r>
              <w:rPr>
                <w:rFonts w:hint="eastAsia" w:asciiTheme="majorEastAsia" w:hAnsiTheme="majorEastAsia" w:eastAsiaTheme="majorEastAsia"/>
                <w:bCs/>
                <w:color w:val="000000" w:themeColor="text1"/>
                <w:sz w:val="28"/>
                <w14:textFill>
                  <w14:solidFill>
                    <w14:schemeClr w14:val="tx1"/>
                  </w14:solidFill>
                </w14:textFill>
              </w:rPr>
              <w:t>项目实施时间（供期）：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0145" w:type="dxa"/>
            <w:gridSpan w:val="2"/>
            <w:vAlign w:val="center"/>
          </w:tcPr>
          <w:p>
            <w:pPr>
              <w:rPr>
                <w:rFonts w:asciiTheme="majorEastAsia" w:hAnsiTheme="majorEastAsia" w:eastAsiaTheme="majorEastAsia"/>
                <w:bCs/>
                <w:color w:val="000000" w:themeColor="text1"/>
                <w:sz w:val="28"/>
                <w14:textFill>
                  <w14:solidFill>
                    <w14:schemeClr w14:val="tx1"/>
                  </w14:solidFill>
                </w14:textFill>
              </w:rPr>
            </w:pPr>
            <w:r>
              <w:rPr>
                <w:rFonts w:hint="eastAsia" w:asciiTheme="majorEastAsia" w:hAnsiTheme="majorEastAsia" w:eastAsiaTheme="majorEastAsia"/>
                <w:bCs/>
                <w:color w:val="000000" w:themeColor="text1"/>
                <w:sz w:val="28"/>
                <w14:textFill>
                  <w14:solidFill>
                    <w14:schemeClr w14:val="tx1"/>
                  </w14:solidFill>
                </w14:textFill>
              </w:rPr>
              <w:t>项目负责人姓名：                           联系电话：</w:t>
            </w:r>
          </w:p>
        </w:tc>
      </w:tr>
    </w:tbl>
    <w:p>
      <w:pPr>
        <w:snapToGrid w:val="0"/>
        <w:spacing w:before="50" w:after="50"/>
        <w:rPr>
          <w:rFonts w:asciiTheme="majorEastAsia" w:hAnsiTheme="majorEastAsia" w:eastAsiaTheme="majorEastAsia"/>
          <w:color w:val="000000" w:themeColor="text1"/>
          <w:sz w:val="32"/>
          <w:szCs w:val="32"/>
          <w14:textFill>
            <w14:solidFill>
              <w14:schemeClr w14:val="tx1"/>
            </w14:solidFill>
          </w14:textFill>
        </w:rPr>
      </w:pPr>
    </w:p>
    <w:p>
      <w:pPr>
        <w:spacing w:line="180" w:lineRule="atLeast"/>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说明：</w:t>
      </w:r>
    </w:p>
    <w:p>
      <w:pPr>
        <w:spacing w:line="276" w:lineRule="auto"/>
        <w:ind w:firstLine="560" w:firstLineChars="200"/>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1.开标一览表不得填报选择性报价，否则将作为无效投标；</w:t>
      </w:r>
    </w:p>
    <w:p>
      <w:pPr>
        <w:tabs>
          <w:tab w:val="left" w:pos="480"/>
        </w:tabs>
        <w:spacing w:line="276" w:lineRule="auto"/>
        <w:ind w:firstLine="560" w:firstLineChars="200"/>
        <w:rPr>
          <w:rFonts w:asciiTheme="majorEastAsia" w:hAnsiTheme="majorEastAsia" w:eastAsiaTheme="majorEastAsia"/>
          <w:color w:val="000000" w:themeColor="text1"/>
          <w:sz w:val="28"/>
          <w14:textFill>
            <w14:solidFill>
              <w14:schemeClr w14:val="tx1"/>
            </w14:solidFill>
          </w14:textFill>
        </w:rPr>
      </w:pPr>
      <w:r>
        <w:rPr>
          <w:rFonts w:hint="eastAsia" w:asciiTheme="majorEastAsia" w:hAnsiTheme="majorEastAsia" w:eastAsiaTheme="majorEastAsia"/>
          <w:color w:val="000000" w:themeColor="text1"/>
          <w:sz w:val="28"/>
          <w14:textFill>
            <w14:solidFill>
              <w14:schemeClr w14:val="tx1"/>
            </w14:solidFill>
          </w14:textFill>
        </w:rPr>
        <w:t>2.报价包含交付使用前的所有费用，应为货物递送到实际交货地（最终使用方指定地点）的价格，包括运保费、税费、装卸费、材料费、安装调试费、施工费及质保期内的一切费用，</w:t>
      </w:r>
    </w:p>
    <w:p>
      <w:pPr>
        <w:ind w:firstLine="480"/>
        <w:rPr>
          <w:rFonts w:asciiTheme="majorEastAsia" w:hAnsiTheme="majorEastAsia" w:eastAsiaTheme="majorEastAsia"/>
          <w:color w:val="000000" w:themeColor="text1"/>
          <w:sz w:val="24"/>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hint="eastAsia" w:cs="宋体" w:asciiTheme="minorEastAsia" w:hAnsiTheme="minorEastAsia" w:eastAsiaTheme="minorEastAsia"/>
          <w:b/>
          <w:bCs/>
          <w:color w:val="000000" w:themeColor="text1"/>
          <w:kern w:val="0"/>
          <w:sz w:val="36"/>
          <w:szCs w:val="36"/>
          <w:shd w:val="clear" w:color="auto" w:fill="FFFFFF"/>
          <w14:textFill>
            <w14:solidFill>
              <w14:schemeClr w14:val="tx1"/>
            </w14:solidFill>
          </w14:textFill>
        </w:rPr>
      </w:pPr>
    </w:p>
    <w:p>
      <w:pPr>
        <w:pStyle w:val="2"/>
        <w:ind w:left="3360"/>
        <w:rPr>
          <w:rFonts w:hint="eastAsia"/>
        </w:rPr>
      </w:pPr>
    </w:p>
    <w:p>
      <w:pPr>
        <w:rPr>
          <w:rFonts w:hint="eastAsia"/>
        </w:rPr>
      </w:pPr>
    </w:p>
    <w:p>
      <w:pPr>
        <w:pStyle w:val="2"/>
        <w:ind w:left="3360"/>
        <w:rPr>
          <w:rFonts w:hint="eastAsia"/>
        </w:rPr>
      </w:pPr>
    </w:p>
    <w:p>
      <w:pPr>
        <w:rPr>
          <w:rFonts w:hint="eastAsia"/>
        </w:rPr>
      </w:pPr>
    </w:p>
    <w:p>
      <w:pPr>
        <w:pStyle w:val="2"/>
        <w:ind w:left="3360"/>
        <w:rPr>
          <w:rFonts w:hint="eastAsia"/>
        </w:rPr>
      </w:pPr>
    </w:p>
    <w:p>
      <w:pPr>
        <w:rPr>
          <w:rFonts w:hint="eastAsia"/>
        </w:rPr>
      </w:pPr>
    </w:p>
    <w:p>
      <w:pPr>
        <w:pStyle w:val="2"/>
        <w:ind w:left="3360"/>
      </w:pPr>
    </w:p>
    <w:p>
      <w:pPr>
        <w:widowControl/>
        <w:jc w:val="left"/>
        <w:rPr>
          <w:rFonts w:ascii="宋体" w:hAnsi="宋体"/>
          <w:b/>
          <w:bCs/>
          <w:color w:val="000000" w:themeColor="text1"/>
          <w:sz w:val="32"/>
          <w:szCs w:val="32"/>
          <w14:textFill>
            <w14:solidFill>
              <w14:schemeClr w14:val="tx1"/>
            </w14:solidFill>
          </w14:textFill>
        </w:rPr>
      </w:pPr>
    </w:p>
    <w:p>
      <w:pPr>
        <w:snapToGrid w:val="0"/>
        <w:spacing w:before="50" w:after="50"/>
        <w:jc w:val="center"/>
        <w:rPr>
          <w:rFonts w:hint="eastAsia" w:ascii="宋体" w:hAnsi="宋体"/>
          <w:b/>
          <w:color w:val="000000" w:themeColor="text1"/>
          <w:sz w:val="32"/>
          <w:szCs w:val="32"/>
          <w14:textFill>
            <w14:solidFill>
              <w14:schemeClr w14:val="tx1"/>
            </w14:solidFill>
          </w14:textFill>
        </w:rPr>
      </w:pPr>
    </w:p>
    <w:p>
      <w:pPr>
        <w:snapToGrid w:val="0"/>
        <w:spacing w:before="50" w:after="5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六、技术参数响应及偏离表</w:t>
      </w:r>
    </w:p>
    <w:p>
      <w:pPr>
        <w:rPr>
          <w:rFonts w:hint="eastAsia"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供应商全称（加盖公章）：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686"/>
        <w:gridCol w:w="2327"/>
        <w:gridCol w:w="1308"/>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686"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招标要求</w:t>
            </w:r>
          </w:p>
        </w:tc>
        <w:tc>
          <w:tcPr>
            <w:tcW w:w="2327"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投标响应</w:t>
            </w:r>
          </w:p>
        </w:tc>
        <w:tc>
          <w:tcPr>
            <w:tcW w:w="1308"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超出、符合或偏离</w:t>
            </w:r>
          </w:p>
        </w:tc>
        <w:tc>
          <w:tcPr>
            <w:tcW w:w="1173"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686" w:type="dxa"/>
            <w:vAlign w:val="center"/>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686" w:type="dxa"/>
            <w:vAlign w:val="center"/>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13</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14</w:t>
            </w:r>
          </w:p>
        </w:tc>
        <w:tc>
          <w:tcPr>
            <w:tcW w:w="3686" w:type="dxa"/>
          </w:tcPr>
          <w:p>
            <w:pPr>
              <w:ind w:firstLine="420" w:firstLineChars="200"/>
              <w:rPr>
                <w:rFonts w:ascii="宋体" w:hAnsi="宋体"/>
                <w:color w:val="000000" w:themeColor="text1"/>
                <w:szCs w:val="21"/>
                <w14:textFill>
                  <w14:solidFill>
                    <w14:schemeClr w14:val="tx1"/>
                  </w14:solidFill>
                </w14:textFill>
              </w:rPr>
            </w:pPr>
          </w:p>
        </w:tc>
        <w:tc>
          <w:tcPr>
            <w:tcW w:w="2327" w:type="dxa"/>
          </w:tcPr>
          <w:p>
            <w:pPr>
              <w:jc w:val="center"/>
              <w:rPr>
                <w:rFonts w:ascii="宋体" w:hAnsi="宋体"/>
                <w:color w:val="000000" w:themeColor="text1"/>
                <w:szCs w:val="21"/>
                <w14:textFill>
                  <w14:solidFill>
                    <w14:schemeClr w14:val="tx1"/>
                  </w14:solidFill>
                </w14:textFill>
              </w:rPr>
            </w:pPr>
          </w:p>
        </w:tc>
        <w:tc>
          <w:tcPr>
            <w:tcW w:w="1308" w:type="dxa"/>
          </w:tcPr>
          <w:p>
            <w:pPr>
              <w:jc w:val="center"/>
              <w:rPr>
                <w:rFonts w:ascii="宋体" w:hAnsi="宋体"/>
                <w:color w:val="000000" w:themeColor="text1"/>
                <w:szCs w:val="21"/>
                <w14:textFill>
                  <w14:solidFill>
                    <w14:schemeClr w14:val="tx1"/>
                  </w14:solidFill>
                </w14:textFill>
              </w:rPr>
            </w:pPr>
          </w:p>
        </w:tc>
        <w:tc>
          <w:tcPr>
            <w:tcW w:w="1173" w:type="dxa"/>
          </w:tcPr>
          <w:p>
            <w:pPr>
              <w:jc w:val="center"/>
              <w:rPr>
                <w:rFonts w:ascii="宋体" w:hAnsi="宋体"/>
                <w:color w:val="000000" w:themeColor="text1"/>
                <w:szCs w:val="21"/>
                <w14:textFill>
                  <w14:solidFill>
                    <w14:schemeClr w14:val="tx1"/>
                  </w14:solidFill>
                </w14:textFill>
              </w:rPr>
            </w:pPr>
          </w:p>
        </w:tc>
      </w:tr>
    </w:tbl>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注：</w:t>
      </w:r>
      <w:bookmarkStart w:id="39" w:name="_Hlt26671372"/>
      <w:bookmarkEnd w:id="39"/>
      <w:bookmarkStart w:id="40" w:name="_格式2__法定代表人授权书"/>
      <w:bookmarkEnd w:id="40"/>
      <w:bookmarkStart w:id="41" w:name="_Hlt26955064"/>
      <w:bookmarkEnd w:id="41"/>
      <w:bookmarkStart w:id="42" w:name="_Hlt26955054"/>
      <w:bookmarkEnd w:id="42"/>
      <w:bookmarkStart w:id="43" w:name="_Hlt26671374"/>
      <w:bookmarkEnd w:id="43"/>
      <w:bookmarkStart w:id="44" w:name="_Hlt26580838"/>
      <w:bookmarkEnd w:id="44"/>
      <w:bookmarkStart w:id="45" w:name="_Hlt26955056"/>
      <w:bookmarkEnd w:id="45"/>
      <w:bookmarkStart w:id="46" w:name="_Hlt26609389"/>
      <w:bookmarkEnd w:id="46"/>
      <w:bookmarkStart w:id="47" w:name="_Hlt26955066"/>
      <w:bookmarkEnd w:id="47"/>
      <w:bookmarkStart w:id="48" w:name="_Hlt24879081"/>
      <w:bookmarkEnd w:id="48"/>
      <w:bookmarkStart w:id="49" w:name="_Hlt26782999"/>
      <w:bookmarkEnd w:id="49"/>
      <w:bookmarkStart w:id="50" w:name="_Hlt26609391"/>
      <w:bookmarkEnd w:id="50"/>
      <w:bookmarkStart w:id="51" w:name="_Hlt26671343"/>
      <w:bookmarkEnd w:id="51"/>
      <w:r>
        <w:rPr>
          <w:rFonts w:hint="eastAsia" w:ascii="宋体" w:hAnsi="宋体"/>
          <w:bCs/>
          <w:color w:val="000000" w:themeColor="text1"/>
          <w:sz w:val="24"/>
          <w14:textFill>
            <w14:solidFill>
              <w14:schemeClr w14:val="tx1"/>
            </w14:solidFill>
          </w14:textFill>
        </w:rPr>
        <w:t>1．供应商应按采购文件“采购需求”中“技术要求”条款逐项说明是否满足要求，如有偏离,供应商应详细说明。特别对有具体参数要求的指标，供应商必须提供相应具体数值，未按照要求填写此表或仅注明“符合”、“满足”的，导致的后果由供应商自行承担。</w:t>
      </w:r>
    </w:p>
    <w:p>
      <w:pPr>
        <w:ind w:firstLine="960" w:firstLineChars="4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2．供应商提供的相关证明文件对应的页码填写到上表“响应文件对应的页码”中。如未提供页码或内容页码完全不一致的，导致的后果由供应商自行承担。</w:t>
      </w:r>
    </w:p>
    <w:p>
      <w:pPr>
        <w:spacing w:line="276" w:lineRule="auto"/>
        <w:ind w:firstLine="5280" w:firstLineChars="2200"/>
        <w:rPr>
          <w:rFonts w:ascii="宋体" w:hAnsi="宋体"/>
          <w:bCs/>
          <w:color w:val="000000" w:themeColor="text1"/>
          <w:sz w:val="24"/>
          <w14:textFill>
            <w14:solidFill>
              <w14:schemeClr w14:val="tx1"/>
            </w14:solidFill>
          </w14:textFill>
        </w:rPr>
      </w:pPr>
    </w:p>
    <w:p>
      <w:pPr>
        <w:spacing w:line="276" w:lineRule="auto"/>
        <w:ind w:firstLine="5280" w:firstLineChars="2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供应商名称（公章）：</w:t>
      </w:r>
    </w:p>
    <w:p>
      <w:pPr>
        <w:spacing w:line="276" w:lineRule="auto"/>
        <w:ind w:firstLine="5280" w:firstLineChars="2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授权代表（签名）：</w:t>
      </w:r>
    </w:p>
    <w:p>
      <w:pPr>
        <w:spacing w:line="276" w:lineRule="auto"/>
        <w:ind w:firstLine="7200" w:firstLineChars="3000"/>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日期：  年 月 日</w:t>
      </w:r>
    </w:p>
    <w:p>
      <w:pPr>
        <w:pStyle w:val="2"/>
        <w:rPr>
          <w:rFonts w:hint="eastAsia" w:ascii="宋体" w:hAnsi="宋体"/>
          <w:bCs/>
          <w:color w:val="000000" w:themeColor="text1"/>
          <w:sz w:val="24"/>
          <w14:textFill>
            <w14:solidFill>
              <w14:schemeClr w14:val="tx1"/>
            </w14:solidFill>
          </w14:textFill>
        </w:rPr>
      </w:pPr>
    </w:p>
    <w:p>
      <w:pPr>
        <w:rPr>
          <w:rFonts w:hint="eastAsia" w:ascii="宋体" w:hAnsi="宋体"/>
          <w:bCs/>
          <w:color w:val="000000" w:themeColor="text1"/>
          <w:sz w:val="24"/>
          <w14:textFill>
            <w14:solidFill>
              <w14:schemeClr w14:val="tx1"/>
            </w14:solidFill>
          </w14:textFill>
        </w:rPr>
      </w:pPr>
    </w:p>
    <w:p>
      <w:pPr>
        <w:spacing w:after="240" w:afterLines="100" w:line="360" w:lineRule="auto"/>
        <w:jc w:val="center"/>
        <w:rPr>
          <w:rFonts w:ascii="仿宋" w:hAnsi="仿宋" w:eastAsia="仿宋"/>
          <w:sz w:val="32"/>
          <w:szCs w:val="32"/>
        </w:rPr>
      </w:pPr>
      <w:r>
        <w:rPr>
          <w:rFonts w:hint="eastAsia" w:ascii="宋体" w:hAnsi="宋体"/>
          <w:b/>
          <w:sz w:val="44"/>
          <w:szCs w:val="32"/>
        </w:rPr>
        <w:t>邮寄承诺函</w:t>
      </w:r>
    </w:p>
    <w:p>
      <w:pPr>
        <w:spacing w:line="360" w:lineRule="auto"/>
        <w:ind w:right="420"/>
        <w:jc w:val="left"/>
        <w:rPr>
          <w:rFonts w:asciiTheme="minorEastAsia" w:hAnsiTheme="minorEastAsia"/>
          <w:sz w:val="28"/>
          <w:szCs w:val="32"/>
        </w:rPr>
      </w:pPr>
      <w:r>
        <w:rPr>
          <w:rFonts w:hint="eastAsia" w:asciiTheme="minorEastAsia" w:hAnsiTheme="minorEastAsia"/>
          <w:sz w:val="28"/>
          <w:szCs w:val="32"/>
        </w:rPr>
        <w:t>江苏医药职业学院：</w:t>
      </w:r>
    </w:p>
    <w:p>
      <w:pPr>
        <w:widowControl/>
        <w:spacing w:line="360" w:lineRule="auto"/>
        <w:ind w:firstLine="359"/>
        <w:jc w:val="left"/>
        <w:rPr>
          <w:rFonts w:asciiTheme="minorEastAsia" w:hAnsiTheme="minorEastAsia"/>
          <w:kern w:val="0"/>
          <w:sz w:val="20"/>
          <w:szCs w:val="21"/>
        </w:rPr>
      </w:pPr>
      <w:r>
        <w:rPr>
          <w:rFonts w:hint="eastAsia" w:asciiTheme="minorEastAsia" w:hAnsiTheme="minorEastAsia"/>
          <w:sz w:val="28"/>
          <w:szCs w:val="32"/>
        </w:rPr>
        <w:t xml:space="preserve">我单位参加贵公司组织的 </w:t>
      </w:r>
      <w:r>
        <w:rPr>
          <w:rFonts w:hint="eastAsia" w:asciiTheme="minorEastAsia" w:hAnsiTheme="minorEastAsia"/>
          <w:sz w:val="28"/>
          <w:szCs w:val="32"/>
          <w:u w:val="single"/>
        </w:rPr>
        <w:t xml:space="preserve"> 江苏医药职业学院审计信息系统软件采购项目</w:t>
      </w:r>
      <w:r>
        <w:rPr>
          <w:rFonts w:asciiTheme="minorEastAsia" w:hAnsiTheme="minorEastAsia"/>
          <w:sz w:val="28"/>
          <w:szCs w:val="32"/>
          <w:u w:val="single"/>
        </w:rPr>
        <w:t xml:space="preserve"> </w:t>
      </w:r>
      <w:r>
        <w:rPr>
          <w:rFonts w:hint="eastAsia" w:asciiTheme="minorEastAsia" w:hAnsiTheme="minorEastAsia"/>
          <w:sz w:val="28"/>
          <w:szCs w:val="32"/>
        </w:rPr>
        <w:t>（采购编号：</w:t>
      </w:r>
      <w:r>
        <w:rPr>
          <w:rFonts w:hint="eastAsia" w:cs="Times New Roman" w:asciiTheme="minorEastAsia" w:hAnsiTheme="minorEastAsia"/>
          <w:sz w:val="28"/>
          <w:szCs w:val="32"/>
          <w:u w:val="single"/>
        </w:rPr>
        <w:t xml:space="preserve">SY2022-092-HW-XJ </w:t>
      </w:r>
      <w:r>
        <w:rPr>
          <w:rFonts w:hint="eastAsia" w:asciiTheme="minorEastAsia" w:hAnsiTheme="minorEastAsia"/>
          <w:sz w:val="28"/>
          <w:szCs w:val="32"/>
        </w:rPr>
        <w:t>）投标，因新型冠状病毒感染肺炎疫情防控需要，现选择通过邮寄投标（响应）文件方式参与投标。</w:t>
      </w:r>
    </w:p>
    <w:p>
      <w:pPr>
        <w:spacing w:line="360" w:lineRule="auto"/>
        <w:ind w:right="420" w:firstLine="560" w:firstLineChars="200"/>
        <w:rPr>
          <w:rFonts w:asciiTheme="minorEastAsia" w:hAnsiTheme="minorEastAsia"/>
          <w:sz w:val="28"/>
          <w:szCs w:val="32"/>
        </w:rPr>
      </w:pPr>
      <w:r>
        <w:rPr>
          <w:rFonts w:hint="eastAsia" w:asciiTheme="minorEastAsia" w:hAnsiTheme="minorEastAsia"/>
          <w:sz w:val="28"/>
          <w:szCs w:val="32"/>
        </w:rPr>
        <w:t>我单位承诺遵守贵单位的要求，做好邮寄投标（响应）文件工作，邮寄过程中发生的任何意外风险由我单位自行承担。</w:t>
      </w:r>
    </w:p>
    <w:p>
      <w:pPr>
        <w:spacing w:line="360" w:lineRule="auto"/>
        <w:ind w:right="420" w:firstLine="645"/>
        <w:jc w:val="left"/>
        <w:rPr>
          <w:rFonts w:asciiTheme="minorEastAsia" w:hAnsiTheme="minorEastAsia"/>
          <w:sz w:val="28"/>
          <w:szCs w:val="32"/>
        </w:rPr>
      </w:pPr>
    </w:p>
    <w:p>
      <w:pPr>
        <w:spacing w:line="360" w:lineRule="auto"/>
        <w:ind w:right="420" w:firstLine="645"/>
        <w:jc w:val="left"/>
        <w:rPr>
          <w:rFonts w:asciiTheme="minorEastAsia" w:hAnsiTheme="minorEastAsia"/>
          <w:sz w:val="28"/>
          <w:szCs w:val="32"/>
        </w:rPr>
      </w:pPr>
      <w:r>
        <w:rPr>
          <w:rFonts w:hint="eastAsia" w:asciiTheme="minorEastAsia" w:hAnsiTheme="minorEastAsia"/>
          <w:sz w:val="28"/>
          <w:szCs w:val="32"/>
        </w:rPr>
        <w:t>联系人员：</w:t>
      </w:r>
    </w:p>
    <w:p>
      <w:pPr>
        <w:spacing w:line="360" w:lineRule="auto"/>
        <w:ind w:right="420" w:firstLine="645"/>
        <w:jc w:val="left"/>
        <w:rPr>
          <w:rFonts w:asciiTheme="minorEastAsia" w:hAnsiTheme="minorEastAsia"/>
          <w:sz w:val="28"/>
          <w:szCs w:val="32"/>
        </w:rPr>
      </w:pPr>
      <w:r>
        <w:rPr>
          <w:rFonts w:hint="eastAsia" w:asciiTheme="minorEastAsia" w:hAnsiTheme="minorEastAsia"/>
          <w:sz w:val="28"/>
          <w:szCs w:val="32"/>
        </w:rPr>
        <w:t>联系手机：</w:t>
      </w:r>
    </w:p>
    <w:p>
      <w:pPr>
        <w:spacing w:line="360" w:lineRule="auto"/>
        <w:ind w:right="420" w:firstLine="645"/>
        <w:jc w:val="left"/>
        <w:rPr>
          <w:rFonts w:asciiTheme="minorEastAsia" w:hAnsiTheme="minorEastAsia"/>
          <w:sz w:val="28"/>
          <w:szCs w:val="32"/>
        </w:rPr>
      </w:pPr>
      <w:r>
        <w:rPr>
          <w:rFonts w:hint="eastAsia" w:asciiTheme="minorEastAsia" w:hAnsiTheme="minorEastAsia"/>
          <w:sz w:val="28"/>
          <w:szCs w:val="32"/>
        </w:rPr>
        <w:t>联系邮箱：</w:t>
      </w:r>
    </w:p>
    <w:p>
      <w:pPr>
        <w:spacing w:line="360" w:lineRule="auto"/>
        <w:ind w:right="420" w:firstLine="645"/>
        <w:jc w:val="left"/>
        <w:rPr>
          <w:rFonts w:asciiTheme="minorEastAsia" w:hAnsiTheme="minorEastAsia"/>
          <w:sz w:val="28"/>
          <w:szCs w:val="32"/>
        </w:rPr>
      </w:pPr>
    </w:p>
    <w:p>
      <w:pPr>
        <w:spacing w:line="360" w:lineRule="auto"/>
        <w:ind w:right="420" w:firstLine="645"/>
        <w:jc w:val="left"/>
        <w:rPr>
          <w:rFonts w:asciiTheme="minorEastAsia" w:hAnsiTheme="minorEastAsia"/>
          <w:sz w:val="28"/>
          <w:szCs w:val="32"/>
        </w:rPr>
      </w:pPr>
    </w:p>
    <w:p>
      <w:pPr>
        <w:jc w:val="center"/>
        <w:rPr>
          <w:sz w:val="28"/>
          <w:szCs w:val="28"/>
        </w:rPr>
      </w:pPr>
      <w:r>
        <w:rPr>
          <w:rFonts w:hint="eastAsia"/>
          <w:sz w:val="28"/>
          <w:szCs w:val="28"/>
        </w:rPr>
        <w:t xml:space="preserve">                                             日期：   年  月  日</w:t>
      </w:r>
    </w:p>
    <w:p>
      <w:pPr>
        <w:spacing w:line="360" w:lineRule="auto"/>
        <w:ind w:right="420" w:firstLine="645"/>
        <w:jc w:val="left"/>
        <w:rPr>
          <w:rFonts w:asciiTheme="minorEastAsia" w:hAnsiTheme="minorEastAsia"/>
          <w:sz w:val="32"/>
          <w:szCs w:val="32"/>
        </w:rPr>
      </w:pPr>
    </w:p>
    <w:p>
      <w:pPr>
        <w:pStyle w:val="2"/>
      </w:pPr>
    </w:p>
    <w:sectPr>
      <w:headerReference r:id="rId4" w:type="first"/>
      <w:footerReference r:id="rId6" w:type="first"/>
      <w:headerReference r:id="rId3" w:type="default"/>
      <w:footerReference r:id="rId5" w:type="default"/>
      <w:pgSz w:w="11907" w:h="16840"/>
      <w:pgMar w:top="1134" w:right="1134" w:bottom="1134" w:left="1134"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   \* MERGEFORMAT</w:instrText>
    </w:r>
    <w:r>
      <w:fldChar w:fldCharType="separate"/>
    </w:r>
    <w:r>
      <w:rPr>
        <w:lang w:val="zh-CN"/>
      </w:rPr>
      <w:t>30</w:t>
    </w:r>
    <w:r>
      <w:rPr>
        <w:lang w:val="zh-CN"/>
      </w:rPr>
      <w:fldChar w:fldCharType="end"/>
    </w:r>
  </w:p>
  <w:p>
    <w:pPr>
      <w:tabs>
        <w:tab w:val="left" w:pos="7890"/>
      </w:tabs>
      <w:rPr>
        <w:sz w:val="24"/>
      </w:rPr>
    </w:pPr>
    <w:r>
      <w:rPr>
        <w:sz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2687"/>
    </w:sdtPr>
    <w:sdtContent>
      <w:p>
        <w:pPr>
          <w:jc w:val="center"/>
        </w:pPr>
        <w:r>
          <w:fldChar w:fldCharType="begin"/>
        </w:r>
        <w:r>
          <w:instrText xml:space="preserve"> PAGE   \* MERGEFORMAT </w:instrText>
        </w:r>
        <w:r>
          <w:fldChar w:fldCharType="separate"/>
        </w:r>
        <w:r>
          <w:rPr>
            <w:lang w:val="zh-CN"/>
          </w:rPr>
          <w:t>1</w:t>
        </w:r>
        <w:r>
          <w:rPr>
            <w:lang w:val="zh-CN"/>
          </w:rP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华文隶书"/>
        <w:sz w:val="21"/>
        <w:szCs w:val="21"/>
      </w:rPr>
      <w:t>江苏医药职业学院SY2022-092-HW-XJ询价文件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华文隶书"/>
        <w:sz w:val="21"/>
        <w:szCs w:val="21"/>
      </w:rPr>
      <w:t>江苏医药职业学院SY2022-092-HW-XJ询价文件</w:t>
    </w:r>
  </w:p>
  <w:p>
    <w:pPr>
      <w:ind w:firstLine="420" w:firstLineChars="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66899"/>
    <w:multiLevelType w:val="multilevel"/>
    <w:tmpl w:val="114668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028599B"/>
    <w:multiLevelType w:val="multilevel"/>
    <w:tmpl w:val="2028599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74C4432"/>
    <w:multiLevelType w:val="multilevel"/>
    <w:tmpl w:val="274C44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15E17AA"/>
    <w:multiLevelType w:val="multilevel"/>
    <w:tmpl w:val="615E17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3A4C8A"/>
    <w:rsid w:val="000117E6"/>
    <w:rsid w:val="00011EB5"/>
    <w:rsid w:val="00015536"/>
    <w:rsid w:val="000207A1"/>
    <w:rsid w:val="0002787D"/>
    <w:rsid w:val="000314C1"/>
    <w:rsid w:val="00031642"/>
    <w:rsid w:val="0003355D"/>
    <w:rsid w:val="000345E1"/>
    <w:rsid w:val="00035DE0"/>
    <w:rsid w:val="00041F25"/>
    <w:rsid w:val="00043E97"/>
    <w:rsid w:val="000446FE"/>
    <w:rsid w:val="00052C74"/>
    <w:rsid w:val="0006111F"/>
    <w:rsid w:val="00062B53"/>
    <w:rsid w:val="000661BC"/>
    <w:rsid w:val="00073022"/>
    <w:rsid w:val="0007338E"/>
    <w:rsid w:val="000772E2"/>
    <w:rsid w:val="00082A00"/>
    <w:rsid w:val="00091BBD"/>
    <w:rsid w:val="0009213C"/>
    <w:rsid w:val="00094F19"/>
    <w:rsid w:val="00095B76"/>
    <w:rsid w:val="00095DD7"/>
    <w:rsid w:val="00095F1B"/>
    <w:rsid w:val="000A3092"/>
    <w:rsid w:val="000A4344"/>
    <w:rsid w:val="000A65C9"/>
    <w:rsid w:val="000B079D"/>
    <w:rsid w:val="000B0CD8"/>
    <w:rsid w:val="000B3235"/>
    <w:rsid w:val="000C18C7"/>
    <w:rsid w:val="000C6FD7"/>
    <w:rsid w:val="000D23A3"/>
    <w:rsid w:val="000D69E4"/>
    <w:rsid w:val="000D7891"/>
    <w:rsid w:val="000E0344"/>
    <w:rsid w:val="000E1828"/>
    <w:rsid w:val="000E1A76"/>
    <w:rsid w:val="000E6C73"/>
    <w:rsid w:val="000F0DAA"/>
    <w:rsid w:val="000F34CE"/>
    <w:rsid w:val="000F507F"/>
    <w:rsid w:val="000F5E2A"/>
    <w:rsid w:val="0010017B"/>
    <w:rsid w:val="00102A48"/>
    <w:rsid w:val="00106F91"/>
    <w:rsid w:val="00111943"/>
    <w:rsid w:val="00116B95"/>
    <w:rsid w:val="00123327"/>
    <w:rsid w:val="00123A44"/>
    <w:rsid w:val="00123C41"/>
    <w:rsid w:val="00124B00"/>
    <w:rsid w:val="00130447"/>
    <w:rsid w:val="00131202"/>
    <w:rsid w:val="00131298"/>
    <w:rsid w:val="00131433"/>
    <w:rsid w:val="00135BF6"/>
    <w:rsid w:val="0013780F"/>
    <w:rsid w:val="00140EE9"/>
    <w:rsid w:val="001414B8"/>
    <w:rsid w:val="001467E2"/>
    <w:rsid w:val="00150C85"/>
    <w:rsid w:val="00152092"/>
    <w:rsid w:val="0016074B"/>
    <w:rsid w:val="00160C5F"/>
    <w:rsid w:val="0016194D"/>
    <w:rsid w:val="00162038"/>
    <w:rsid w:val="00162256"/>
    <w:rsid w:val="00162FFF"/>
    <w:rsid w:val="00163359"/>
    <w:rsid w:val="001665F7"/>
    <w:rsid w:val="00172126"/>
    <w:rsid w:val="00172C4A"/>
    <w:rsid w:val="00172D38"/>
    <w:rsid w:val="00173658"/>
    <w:rsid w:val="00174B25"/>
    <w:rsid w:val="001759FA"/>
    <w:rsid w:val="00176DA7"/>
    <w:rsid w:val="00185C7B"/>
    <w:rsid w:val="00186437"/>
    <w:rsid w:val="00187294"/>
    <w:rsid w:val="001919BD"/>
    <w:rsid w:val="001926A2"/>
    <w:rsid w:val="00195599"/>
    <w:rsid w:val="00195A1F"/>
    <w:rsid w:val="00196BFF"/>
    <w:rsid w:val="001A147D"/>
    <w:rsid w:val="001A361C"/>
    <w:rsid w:val="001A5272"/>
    <w:rsid w:val="001B12E2"/>
    <w:rsid w:val="001B26A3"/>
    <w:rsid w:val="001B3985"/>
    <w:rsid w:val="001B4CF4"/>
    <w:rsid w:val="001B7955"/>
    <w:rsid w:val="001C3421"/>
    <w:rsid w:val="001D0239"/>
    <w:rsid w:val="001D03EE"/>
    <w:rsid w:val="001D21F5"/>
    <w:rsid w:val="001D2248"/>
    <w:rsid w:val="001D24AE"/>
    <w:rsid w:val="001D3758"/>
    <w:rsid w:val="001D465A"/>
    <w:rsid w:val="001D51F7"/>
    <w:rsid w:val="001D5D34"/>
    <w:rsid w:val="001E4148"/>
    <w:rsid w:val="001E75AB"/>
    <w:rsid w:val="001F020C"/>
    <w:rsid w:val="001F5013"/>
    <w:rsid w:val="001F5432"/>
    <w:rsid w:val="00201495"/>
    <w:rsid w:val="00204066"/>
    <w:rsid w:val="0020556C"/>
    <w:rsid w:val="00206F7C"/>
    <w:rsid w:val="00212DCF"/>
    <w:rsid w:val="002130F3"/>
    <w:rsid w:val="00214456"/>
    <w:rsid w:val="0021646E"/>
    <w:rsid w:val="00216565"/>
    <w:rsid w:val="00226CE6"/>
    <w:rsid w:val="00234A6A"/>
    <w:rsid w:val="002352A9"/>
    <w:rsid w:val="00236963"/>
    <w:rsid w:val="00236EB2"/>
    <w:rsid w:val="00243236"/>
    <w:rsid w:val="002512CE"/>
    <w:rsid w:val="0025143F"/>
    <w:rsid w:val="0025265F"/>
    <w:rsid w:val="00253060"/>
    <w:rsid w:val="0025707E"/>
    <w:rsid w:val="00264A0D"/>
    <w:rsid w:val="002670E3"/>
    <w:rsid w:val="0026796A"/>
    <w:rsid w:val="0027521B"/>
    <w:rsid w:val="00276A57"/>
    <w:rsid w:val="00277592"/>
    <w:rsid w:val="002776BD"/>
    <w:rsid w:val="00281EFE"/>
    <w:rsid w:val="00283206"/>
    <w:rsid w:val="0028529C"/>
    <w:rsid w:val="0028790C"/>
    <w:rsid w:val="0029202C"/>
    <w:rsid w:val="00294C66"/>
    <w:rsid w:val="00296536"/>
    <w:rsid w:val="00297FEA"/>
    <w:rsid w:val="002A0F22"/>
    <w:rsid w:val="002A2CFF"/>
    <w:rsid w:val="002A36EE"/>
    <w:rsid w:val="002A3B0F"/>
    <w:rsid w:val="002A546B"/>
    <w:rsid w:val="002C4D6E"/>
    <w:rsid w:val="002C5678"/>
    <w:rsid w:val="002C718F"/>
    <w:rsid w:val="002E29D3"/>
    <w:rsid w:val="002E423C"/>
    <w:rsid w:val="002E60D0"/>
    <w:rsid w:val="002E6184"/>
    <w:rsid w:val="002E7CCB"/>
    <w:rsid w:val="002F31D5"/>
    <w:rsid w:val="002F3234"/>
    <w:rsid w:val="002F373E"/>
    <w:rsid w:val="002F582A"/>
    <w:rsid w:val="002F77A7"/>
    <w:rsid w:val="00306233"/>
    <w:rsid w:val="00307DE6"/>
    <w:rsid w:val="003101DE"/>
    <w:rsid w:val="00313D85"/>
    <w:rsid w:val="0031682A"/>
    <w:rsid w:val="0032180C"/>
    <w:rsid w:val="00322147"/>
    <w:rsid w:val="0032241B"/>
    <w:rsid w:val="0032384E"/>
    <w:rsid w:val="0033600B"/>
    <w:rsid w:val="0033654A"/>
    <w:rsid w:val="00341B2D"/>
    <w:rsid w:val="00341D1F"/>
    <w:rsid w:val="00343B8A"/>
    <w:rsid w:val="0034794D"/>
    <w:rsid w:val="00350039"/>
    <w:rsid w:val="00350B99"/>
    <w:rsid w:val="003555EF"/>
    <w:rsid w:val="00357D1F"/>
    <w:rsid w:val="0036033B"/>
    <w:rsid w:val="003623A6"/>
    <w:rsid w:val="003638CB"/>
    <w:rsid w:val="0036779E"/>
    <w:rsid w:val="0037349A"/>
    <w:rsid w:val="0037505D"/>
    <w:rsid w:val="00375C44"/>
    <w:rsid w:val="00381B05"/>
    <w:rsid w:val="0038298A"/>
    <w:rsid w:val="00382B07"/>
    <w:rsid w:val="003843B0"/>
    <w:rsid w:val="00384CCA"/>
    <w:rsid w:val="0038640E"/>
    <w:rsid w:val="00393DDF"/>
    <w:rsid w:val="0039542E"/>
    <w:rsid w:val="003963AF"/>
    <w:rsid w:val="003A0FAD"/>
    <w:rsid w:val="003A17BA"/>
    <w:rsid w:val="003A301F"/>
    <w:rsid w:val="003A4C8A"/>
    <w:rsid w:val="003A5D4B"/>
    <w:rsid w:val="003B4B80"/>
    <w:rsid w:val="003B4D32"/>
    <w:rsid w:val="003C182A"/>
    <w:rsid w:val="003C2310"/>
    <w:rsid w:val="003C332A"/>
    <w:rsid w:val="003C7744"/>
    <w:rsid w:val="003D0A67"/>
    <w:rsid w:val="003E034D"/>
    <w:rsid w:val="003E20B6"/>
    <w:rsid w:val="003F4F17"/>
    <w:rsid w:val="003F5396"/>
    <w:rsid w:val="003F6116"/>
    <w:rsid w:val="00400871"/>
    <w:rsid w:val="00401E87"/>
    <w:rsid w:val="00404DA7"/>
    <w:rsid w:val="00407621"/>
    <w:rsid w:val="00413920"/>
    <w:rsid w:val="00415718"/>
    <w:rsid w:val="00415A2A"/>
    <w:rsid w:val="004201A7"/>
    <w:rsid w:val="0042424C"/>
    <w:rsid w:val="0042688B"/>
    <w:rsid w:val="0043746F"/>
    <w:rsid w:val="00437978"/>
    <w:rsid w:val="00440FAF"/>
    <w:rsid w:val="00443B46"/>
    <w:rsid w:val="00446FEA"/>
    <w:rsid w:val="00452E53"/>
    <w:rsid w:val="00453543"/>
    <w:rsid w:val="004555A5"/>
    <w:rsid w:val="00461873"/>
    <w:rsid w:val="0046416A"/>
    <w:rsid w:val="00465FA8"/>
    <w:rsid w:val="00466F7B"/>
    <w:rsid w:val="00473D01"/>
    <w:rsid w:val="0048028F"/>
    <w:rsid w:val="004907A0"/>
    <w:rsid w:val="00490E8B"/>
    <w:rsid w:val="004910B0"/>
    <w:rsid w:val="004915C1"/>
    <w:rsid w:val="00493A82"/>
    <w:rsid w:val="004A1884"/>
    <w:rsid w:val="004A3F92"/>
    <w:rsid w:val="004B0575"/>
    <w:rsid w:val="004B430E"/>
    <w:rsid w:val="004B4D41"/>
    <w:rsid w:val="004B52E6"/>
    <w:rsid w:val="004C028A"/>
    <w:rsid w:val="004C1AE3"/>
    <w:rsid w:val="004C7E61"/>
    <w:rsid w:val="004D41EA"/>
    <w:rsid w:val="004D6F2C"/>
    <w:rsid w:val="004E0537"/>
    <w:rsid w:val="004E0672"/>
    <w:rsid w:val="004E06B4"/>
    <w:rsid w:val="004E2105"/>
    <w:rsid w:val="004E5F06"/>
    <w:rsid w:val="004F425C"/>
    <w:rsid w:val="00500996"/>
    <w:rsid w:val="00501323"/>
    <w:rsid w:val="00502595"/>
    <w:rsid w:val="005030CE"/>
    <w:rsid w:val="00507521"/>
    <w:rsid w:val="00507794"/>
    <w:rsid w:val="0051029E"/>
    <w:rsid w:val="00512214"/>
    <w:rsid w:val="005147EB"/>
    <w:rsid w:val="00517EAA"/>
    <w:rsid w:val="00523A77"/>
    <w:rsid w:val="00523CF1"/>
    <w:rsid w:val="0052545D"/>
    <w:rsid w:val="00532E07"/>
    <w:rsid w:val="005333FC"/>
    <w:rsid w:val="00537B84"/>
    <w:rsid w:val="00542BB6"/>
    <w:rsid w:val="005436C6"/>
    <w:rsid w:val="005456B7"/>
    <w:rsid w:val="00547401"/>
    <w:rsid w:val="00550F7A"/>
    <w:rsid w:val="00551CB9"/>
    <w:rsid w:val="00555348"/>
    <w:rsid w:val="00557655"/>
    <w:rsid w:val="00563795"/>
    <w:rsid w:val="00563BBC"/>
    <w:rsid w:val="005658E7"/>
    <w:rsid w:val="00565957"/>
    <w:rsid w:val="00580B15"/>
    <w:rsid w:val="00581A78"/>
    <w:rsid w:val="00581B2A"/>
    <w:rsid w:val="00593651"/>
    <w:rsid w:val="00597511"/>
    <w:rsid w:val="00597683"/>
    <w:rsid w:val="005A0173"/>
    <w:rsid w:val="005A0274"/>
    <w:rsid w:val="005A18FC"/>
    <w:rsid w:val="005A27F4"/>
    <w:rsid w:val="005A3106"/>
    <w:rsid w:val="005A440D"/>
    <w:rsid w:val="005A5776"/>
    <w:rsid w:val="005B3632"/>
    <w:rsid w:val="005B4BA0"/>
    <w:rsid w:val="005B5AFE"/>
    <w:rsid w:val="005B67C7"/>
    <w:rsid w:val="005C0BE2"/>
    <w:rsid w:val="005C1170"/>
    <w:rsid w:val="005C2BBA"/>
    <w:rsid w:val="005C2F35"/>
    <w:rsid w:val="005C3357"/>
    <w:rsid w:val="005C34B1"/>
    <w:rsid w:val="005C353D"/>
    <w:rsid w:val="005C35C9"/>
    <w:rsid w:val="005C60F8"/>
    <w:rsid w:val="005C69BB"/>
    <w:rsid w:val="005D0F6B"/>
    <w:rsid w:val="005D406F"/>
    <w:rsid w:val="005E3337"/>
    <w:rsid w:val="005E7628"/>
    <w:rsid w:val="005F142A"/>
    <w:rsid w:val="005F3504"/>
    <w:rsid w:val="00600122"/>
    <w:rsid w:val="00601733"/>
    <w:rsid w:val="006032C2"/>
    <w:rsid w:val="006067BA"/>
    <w:rsid w:val="0061005B"/>
    <w:rsid w:val="00610DF1"/>
    <w:rsid w:val="006125ED"/>
    <w:rsid w:val="006134B3"/>
    <w:rsid w:val="00622824"/>
    <w:rsid w:val="006268CE"/>
    <w:rsid w:val="0063421F"/>
    <w:rsid w:val="006348C8"/>
    <w:rsid w:val="00634CD6"/>
    <w:rsid w:val="0063598A"/>
    <w:rsid w:val="00635FC4"/>
    <w:rsid w:val="006368AF"/>
    <w:rsid w:val="006400D2"/>
    <w:rsid w:val="0064016D"/>
    <w:rsid w:val="00640FE5"/>
    <w:rsid w:val="00642F5B"/>
    <w:rsid w:val="00645A07"/>
    <w:rsid w:val="00647EE9"/>
    <w:rsid w:val="0065272A"/>
    <w:rsid w:val="00662539"/>
    <w:rsid w:val="006705AC"/>
    <w:rsid w:val="0067097D"/>
    <w:rsid w:val="00670B4D"/>
    <w:rsid w:val="006723F9"/>
    <w:rsid w:val="00676776"/>
    <w:rsid w:val="006767C7"/>
    <w:rsid w:val="006814C0"/>
    <w:rsid w:val="00682523"/>
    <w:rsid w:val="006828C0"/>
    <w:rsid w:val="006829AB"/>
    <w:rsid w:val="00690D6B"/>
    <w:rsid w:val="00694BF9"/>
    <w:rsid w:val="006A0554"/>
    <w:rsid w:val="006A1B59"/>
    <w:rsid w:val="006A2CFC"/>
    <w:rsid w:val="006A5795"/>
    <w:rsid w:val="006B1E30"/>
    <w:rsid w:val="006B3273"/>
    <w:rsid w:val="006B3CD6"/>
    <w:rsid w:val="006B542A"/>
    <w:rsid w:val="006B653D"/>
    <w:rsid w:val="006B77E1"/>
    <w:rsid w:val="006B7C4A"/>
    <w:rsid w:val="006C0EE7"/>
    <w:rsid w:val="006C281C"/>
    <w:rsid w:val="006C291B"/>
    <w:rsid w:val="006C2A23"/>
    <w:rsid w:val="006C457D"/>
    <w:rsid w:val="006C4F2C"/>
    <w:rsid w:val="006C552E"/>
    <w:rsid w:val="006C5731"/>
    <w:rsid w:val="006D0C5C"/>
    <w:rsid w:val="006D3EAA"/>
    <w:rsid w:val="006E5B92"/>
    <w:rsid w:val="006E7EEB"/>
    <w:rsid w:val="006F5C68"/>
    <w:rsid w:val="00700174"/>
    <w:rsid w:val="00701311"/>
    <w:rsid w:val="00716059"/>
    <w:rsid w:val="00716B0D"/>
    <w:rsid w:val="00720498"/>
    <w:rsid w:val="007207A2"/>
    <w:rsid w:val="007210A0"/>
    <w:rsid w:val="007221D5"/>
    <w:rsid w:val="0072380B"/>
    <w:rsid w:val="007252F2"/>
    <w:rsid w:val="00731315"/>
    <w:rsid w:val="00731B49"/>
    <w:rsid w:val="00733B09"/>
    <w:rsid w:val="00733B83"/>
    <w:rsid w:val="007406DB"/>
    <w:rsid w:val="007428A7"/>
    <w:rsid w:val="00745336"/>
    <w:rsid w:val="0074633F"/>
    <w:rsid w:val="007523CA"/>
    <w:rsid w:val="00757BD0"/>
    <w:rsid w:val="00763D0A"/>
    <w:rsid w:val="007643F7"/>
    <w:rsid w:val="007646F2"/>
    <w:rsid w:val="007729F5"/>
    <w:rsid w:val="00773D49"/>
    <w:rsid w:val="00774C18"/>
    <w:rsid w:val="00780BC7"/>
    <w:rsid w:val="00787979"/>
    <w:rsid w:val="007911B2"/>
    <w:rsid w:val="00791634"/>
    <w:rsid w:val="0079172F"/>
    <w:rsid w:val="00791F2B"/>
    <w:rsid w:val="00796776"/>
    <w:rsid w:val="007A04B6"/>
    <w:rsid w:val="007A1CE4"/>
    <w:rsid w:val="007A4BD0"/>
    <w:rsid w:val="007A5395"/>
    <w:rsid w:val="007A53DC"/>
    <w:rsid w:val="007A5FF1"/>
    <w:rsid w:val="007A6250"/>
    <w:rsid w:val="007A65B8"/>
    <w:rsid w:val="007B4A5F"/>
    <w:rsid w:val="007B75DB"/>
    <w:rsid w:val="007C76C3"/>
    <w:rsid w:val="007D0C45"/>
    <w:rsid w:val="007D2D18"/>
    <w:rsid w:val="007D3385"/>
    <w:rsid w:val="007D43B4"/>
    <w:rsid w:val="007D7428"/>
    <w:rsid w:val="007E0AA4"/>
    <w:rsid w:val="007E12C5"/>
    <w:rsid w:val="007E1D90"/>
    <w:rsid w:val="007E387B"/>
    <w:rsid w:val="007F158C"/>
    <w:rsid w:val="007F1758"/>
    <w:rsid w:val="007F6466"/>
    <w:rsid w:val="00802170"/>
    <w:rsid w:val="00802A00"/>
    <w:rsid w:val="008067E3"/>
    <w:rsid w:val="00810022"/>
    <w:rsid w:val="00813F0A"/>
    <w:rsid w:val="008176DC"/>
    <w:rsid w:val="00827BB7"/>
    <w:rsid w:val="00830101"/>
    <w:rsid w:val="00831AB4"/>
    <w:rsid w:val="0083361E"/>
    <w:rsid w:val="00834DD1"/>
    <w:rsid w:val="008354F2"/>
    <w:rsid w:val="00841463"/>
    <w:rsid w:val="00842E06"/>
    <w:rsid w:val="0084382F"/>
    <w:rsid w:val="00843A7B"/>
    <w:rsid w:val="00844CD5"/>
    <w:rsid w:val="00855FD3"/>
    <w:rsid w:val="00857196"/>
    <w:rsid w:val="00861C15"/>
    <w:rsid w:val="00863657"/>
    <w:rsid w:val="00867F1B"/>
    <w:rsid w:val="00870A77"/>
    <w:rsid w:val="008711D4"/>
    <w:rsid w:val="008737E8"/>
    <w:rsid w:val="008759B8"/>
    <w:rsid w:val="00881243"/>
    <w:rsid w:val="008817BB"/>
    <w:rsid w:val="00885D90"/>
    <w:rsid w:val="00886DDC"/>
    <w:rsid w:val="00887344"/>
    <w:rsid w:val="0089066F"/>
    <w:rsid w:val="0089101A"/>
    <w:rsid w:val="00891082"/>
    <w:rsid w:val="008915E3"/>
    <w:rsid w:val="0089170E"/>
    <w:rsid w:val="0089240C"/>
    <w:rsid w:val="00892F81"/>
    <w:rsid w:val="00893985"/>
    <w:rsid w:val="00894152"/>
    <w:rsid w:val="0089627F"/>
    <w:rsid w:val="008A3293"/>
    <w:rsid w:val="008C2A39"/>
    <w:rsid w:val="008C32B6"/>
    <w:rsid w:val="008C3C9B"/>
    <w:rsid w:val="008D28E6"/>
    <w:rsid w:val="008D3971"/>
    <w:rsid w:val="008D5A81"/>
    <w:rsid w:val="008D645D"/>
    <w:rsid w:val="008D6B23"/>
    <w:rsid w:val="008E1F70"/>
    <w:rsid w:val="008E55AC"/>
    <w:rsid w:val="008E62CC"/>
    <w:rsid w:val="008F1231"/>
    <w:rsid w:val="008F7EF7"/>
    <w:rsid w:val="009044D6"/>
    <w:rsid w:val="00906735"/>
    <w:rsid w:val="009117ED"/>
    <w:rsid w:val="00911F19"/>
    <w:rsid w:val="0091300A"/>
    <w:rsid w:val="00915589"/>
    <w:rsid w:val="009179CC"/>
    <w:rsid w:val="00917F85"/>
    <w:rsid w:val="0092318E"/>
    <w:rsid w:val="00923A37"/>
    <w:rsid w:val="009306C8"/>
    <w:rsid w:val="00934D01"/>
    <w:rsid w:val="00935044"/>
    <w:rsid w:val="009356AF"/>
    <w:rsid w:val="00936A45"/>
    <w:rsid w:val="00937A06"/>
    <w:rsid w:val="009432F1"/>
    <w:rsid w:val="009455D6"/>
    <w:rsid w:val="00945F85"/>
    <w:rsid w:val="0094774C"/>
    <w:rsid w:val="00950F48"/>
    <w:rsid w:val="009548FE"/>
    <w:rsid w:val="009567F4"/>
    <w:rsid w:val="009575B7"/>
    <w:rsid w:val="00962493"/>
    <w:rsid w:val="009638DC"/>
    <w:rsid w:val="0096541C"/>
    <w:rsid w:val="00967F21"/>
    <w:rsid w:val="00967F86"/>
    <w:rsid w:val="00971972"/>
    <w:rsid w:val="009723F7"/>
    <w:rsid w:val="00972A04"/>
    <w:rsid w:val="00972A52"/>
    <w:rsid w:val="00975C09"/>
    <w:rsid w:val="00976B85"/>
    <w:rsid w:val="0098060A"/>
    <w:rsid w:val="009810A7"/>
    <w:rsid w:val="009826D3"/>
    <w:rsid w:val="009839D6"/>
    <w:rsid w:val="00984C3D"/>
    <w:rsid w:val="00991224"/>
    <w:rsid w:val="00991897"/>
    <w:rsid w:val="00995733"/>
    <w:rsid w:val="009A34DB"/>
    <w:rsid w:val="009A3B9F"/>
    <w:rsid w:val="009A4241"/>
    <w:rsid w:val="009A42AB"/>
    <w:rsid w:val="009A72C8"/>
    <w:rsid w:val="009B2849"/>
    <w:rsid w:val="009B3AC4"/>
    <w:rsid w:val="009B3F90"/>
    <w:rsid w:val="009C0041"/>
    <w:rsid w:val="009C044D"/>
    <w:rsid w:val="009C09A8"/>
    <w:rsid w:val="009C1FCD"/>
    <w:rsid w:val="009C2DE5"/>
    <w:rsid w:val="009C4DE9"/>
    <w:rsid w:val="009D17A4"/>
    <w:rsid w:val="009D6EB3"/>
    <w:rsid w:val="009E18DD"/>
    <w:rsid w:val="009E3806"/>
    <w:rsid w:val="009E4769"/>
    <w:rsid w:val="009E4FB0"/>
    <w:rsid w:val="009E66D9"/>
    <w:rsid w:val="009E69B0"/>
    <w:rsid w:val="009E704C"/>
    <w:rsid w:val="009E753E"/>
    <w:rsid w:val="009F071B"/>
    <w:rsid w:val="009F07DF"/>
    <w:rsid w:val="009F52B3"/>
    <w:rsid w:val="00A02F89"/>
    <w:rsid w:val="00A03F5F"/>
    <w:rsid w:val="00A06F24"/>
    <w:rsid w:val="00A07856"/>
    <w:rsid w:val="00A10416"/>
    <w:rsid w:val="00A11517"/>
    <w:rsid w:val="00A129C8"/>
    <w:rsid w:val="00A14BF0"/>
    <w:rsid w:val="00A17BF3"/>
    <w:rsid w:val="00A22776"/>
    <w:rsid w:val="00A311F1"/>
    <w:rsid w:val="00A31514"/>
    <w:rsid w:val="00A33B38"/>
    <w:rsid w:val="00A35FCD"/>
    <w:rsid w:val="00A368AE"/>
    <w:rsid w:val="00A40224"/>
    <w:rsid w:val="00A42037"/>
    <w:rsid w:val="00A50459"/>
    <w:rsid w:val="00A602F8"/>
    <w:rsid w:val="00A64656"/>
    <w:rsid w:val="00A700BE"/>
    <w:rsid w:val="00A70CE2"/>
    <w:rsid w:val="00A82CC1"/>
    <w:rsid w:val="00A8371B"/>
    <w:rsid w:val="00A853D9"/>
    <w:rsid w:val="00A91E18"/>
    <w:rsid w:val="00A91FB3"/>
    <w:rsid w:val="00A9207D"/>
    <w:rsid w:val="00A9389D"/>
    <w:rsid w:val="00A93AE2"/>
    <w:rsid w:val="00A9417C"/>
    <w:rsid w:val="00A9584D"/>
    <w:rsid w:val="00AA3C06"/>
    <w:rsid w:val="00AA67F8"/>
    <w:rsid w:val="00AB1DBE"/>
    <w:rsid w:val="00AB316B"/>
    <w:rsid w:val="00AB4AA0"/>
    <w:rsid w:val="00AB6FD8"/>
    <w:rsid w:val="00AB720D"/>
    <w:rsid w:val="00AC2279"/>
    <w:rsid w:val="00AC4DA3"/>
    <w:rsid w:val="00AC614E"/>
    <w:rsid w:val="00AC61D8"/>
    <w:rsid w:val="00AD1EE8"/>
    <w:rsid w:val="00AD3782"/>
    <w:rsid w:val="00AD5540"/>
    <w:rsid w:val="00AE0232"/>
    <w:rsid w:val="00AE4A47"/>
    <w:rsid w:val="00AE4D60"/>
    <w:rsid w:val="00AE7E2D"/>
    <w:rsid w:val="00AF4E02"/>
    <w:rsid w:val="00AF7841"/>
    <w:rsid w:val="00AF7DE7"/>
    <w:rsid w:val="00B0053F"/>
    <w:rsid w:val="00B02401"/>
    <w:rsid w:val="00B05A93"/>
    <w:rsid w:val="00B077CD"/>
    <w:rsid w:val="00B11746"/>
    <w:rsid w:val="00B12685"/>
    <w:rsid w:val="00B15D98"/>
    <w:rsid w:val="00B17017"/>
    <w:rsid w:val="00B20056"/>
    <w:rsid w:val="00B22C03"/>
    <w:rsid w:val="00B2631C"/>
    <w:rsid w:val="00B31958"/>
    <w:rsid w:val="00B33E1D"/>
    <w:rsid w:val="00B37652"/>
    <w:rsid w:val="00B377FF"/>
    <w:rsid w:val="00B40001"/>
    <w:rsid w:val="00B40D6B"/>
    <w:rsid w:val="00B4304A"/>
    <w:rsid w:val="00B45648"/>
    <w:rsid w:val="00B45B1A"/>
    <w:rsid w:val="00B46C5B"/>
    <w:rsid w:val="00B51EC3"/>
    <w:rsid w:val="00B55BE8"/>
    <w:rsid w:val="00B57A62"/>
    <w:rsid w:val="00B65806"/>
    <w:rsid w:val="00B67BC5"/>
    <w:rsid w:val="00B70A4A"/>
    <w:rsid w:val="00B7293B"/>
    <w:rsid w:val="00B75542"/>
    <w:rsid w:val="00B75D76"/>
    <w:rsid w:val="00B778E1"/>
    <w:rsid w:val="00B7792F"/>
    <w:rsid w:val="00B81BE8"/>
    <w:rsid w:val="00B83801"/>
    <w:rsid w:val="00B84C71"/>
    <w:rsid w:val="00B852FA"/>
    <w:rsid w:val="00B87532"/>
    <w:rsid w:val="00B90889"/>
    <w:rsid w:val="00B9208C"/>
    <w:rsid w:val="00B95B84"/>
    <w:rsid w:val="00BB2AF4"/>
    <w:rsid w:val="00BB470D"/>
    <w:rsid w:val="00BB66D0"/>
    <w:rsid w:val="00BC2C6A"/>
    <w:rsid w:val="00BC62E1"/>
    <w:rsid w:val="00BD0195"/>
    <w:rsid w:val="00BD3E3E"/>
    <w:rsid w:val="00BD5774"/>
    <w:rsid w:val="00BE318E"/>
    <w:rsid w:val="00BE5902"/>
    <w:rsid w:val="00BE5C2A"/>
    <w:rsid w:val="00BF09FD"/>
    <w:rsid w:val="00BF51C0"/>
    <w:rsid w:val="00C00CCB"/>
    <w:rsid w:val="00C0345E"/>
    <w:rsid w:val="00C05ADB"/>
    <w:rsid w:val="00C11E66"/>
    <w:rsid w:val="00C14365"/>
    <w:rsid w:val="00C27645"/>
    <w:rsid w:val="00C33356"/>
    <w:rsid w:val="00C3501F"/>
    <w:rsid w:val="00C355AF"/>
    <w:rsid w:val="00C37470"/>
    <w:rsid w:val="00C377B6"/>
    <w:rsid w:val="00C41B3F"/>
    <w:rsid w:val="00C50FDB"/>
    <w:rsid w:val="00C51ADB"/>
    <w:rsid w:val="00C53522"/>
    <w:rsid w:val="00C5650E"/>
    <w:rsid w:val="00C57CC2"/>
    <w:rsid w:val="00C65D17"/>
    <w:rsid w:val="00C65D63"/>
    <w:rsid w:val="00C67A25"/>
    <w:rsid w:val="00C750AA"/>
    <w:rsid w:val="00C77A6B"/>
    <w:rsid w:val="00C77ED6"/>
    <w:rsid w:val="00C8003A"/>
    <w:rsid w:val="00C80195"/>
    <w:rsid w:val="00C802CE"/>
    <w:rsid w:val="00C8243E"/>
    <w:rsid w:val="00C8754E"/>
    <w:rsid w:val="00C87831"/>
    <w:rsid w:val="00C911D1"/>
    <w:rsid w:val="00C91F88"/>
    <w:rsid w:val="00C929E8"/>
    <w:rsid w:val="00C96B2C"/>
    <w:rsid w:val="00CA4A0F"/>
    <w:rsid w:val="00CA7DFC"/>
    <w:rsid w:val="00CB0312"/>
    <w:rsid w:val="00CB169E"/>
    <w:rsid w:val="00CB4E01"/>
    <w:rsid w:val="00CB73AE"/>
    <w:rsid w:val="00CC0408"/>
    <w:rsid w:val="00CC56DE"/>
    <w:rsid w:val="00CC6FE1"/>
    <w:rsid w:val="00CD2009"/>
    <w:rsid w:val="00CD21D6"/>
    <w:rsid w:val="00CD4378"/>
    <w:rsid w:val="00CD7775"/>
    <w:rsid w:val="00CD7BC2"/>
    <w:rsid w:val="00CE05EB"/>
    <w:rsid w:val="00CE16E2"/>
    <w:rsid w:val="00CE3AD6"/>
    <w:rsid w:val="00CF1315"/>
    <w:rsid w:val="00CF55CA"/>
    <w:rsid w:val="00CF6438"/>
    <w:rsid w:val="00CF65F8"/>
    <w:rsid w:val="00D01F58"/>
    <w:rsid w:val="00D02C69"/>
    <w:rsid w:val="00D031CE"/>
    <w:rsid w:val="00D03CF5"/>
    <w:rsid w:val="00D04DCF"/>
    <w:rsid w:val="00D05190"/>
    <w:rsid w:val="00D0706D"/>
    <w:rsid w:val="00D07E53"/>
    <w:rsid w:val="00D105C1"/>
    <w:rsid w:val="00D1101E"/>
    <w:rsid w:val="00D128F4"/>
    <w:rsid w:val="00D20C7F"/>
    <w:rsid w:val="00D21215"/>
    <w:rsid w:val="00D264DD"/>
    <w:rsid w:val="00D30E59"/>
    <w:rsid w:val="00D3644C"/>
    <w:rsid w:val="00D36751"/>
    <w:rsid w:val="00D3680B"/>
    <w:rsid w:val="00D423B8"/>
    <w:rsid w:val="00D42474"/>
    <w:rsid w:val="00D445C4"/>
    <w:rsid w:val="00D44686"/>
    <w:rsid w:val="00D454A8"/>
    <w:rsid w:val="00D4655F"/>
    <w:rsid w:val="00D50471"/>
    <w:rsid w:val="00D50491"/>
    <w:rsid w:val="00D520F3"/>
    <w:rsid w:val="00D52164"/>
    <w:rsid w:val="00D56760"/>
    <w:rsid w:val="00D5794F"/>
    <w:rsid w:val="00D60729"/>
    <w:rsid w:val="00D6184A"/>
    <w:rsid w:val="00D61E63"/>
    <w:rsid w:val="00D624DD"/>
    <w:rsid w:val="00D67D69"/>
    <w:rsid w:val="00D72F45"/>
    <w:rsid w:val="00D73347"/>
    <w:rsid w:val="00D736C8"/>
    <w:rsid w:val="00D74C54"/>
    <w:rsid w:val="00D76E34"/>
    <w:rsid w:val="00D76F5D"/>
    <w:rsid w:val="00D776EA"/>
    <w:rsid w:val="00D77AD8"/>
    <w:rsid w:val="00D77C9D"/>
    <w:rsid w:val="00D80B8E"/>
    <w:rsid w:val="00D928D9"/>
    <w:rsid w:val="00D93919"/>
    <w:rsid w:val="00D94440"/>
    <w:rsid w:val="00DA0602"/>
    <w:rsid w:val="00DA1752"/>
    <w:rsid w:val="00DA348F"/>
    <w:rsid w:val="00DB5FE7"/>
    <w:rsid w:val="00DC5C5D"/>
    <w:rsid w:val="00DD2FA6"/>
    <w:rsid w:val="00DD54E0"/>
    <w:rsid w:val="00DE2A76"/>
    <w:rsid w:val="00DE2E85"/>
    <w:rsid w:val="00DE36A6"/>
    <w:rsid w:val="00DE38D3"/>
    <w:rsid w:val="00DE3F4C"/>
    <w:rsid w:val="00DE62F1"/>
    <w:rsid w:val="00DE7697"/>
    <w:rsid w:val="00DF2407"/>
    <w:rsid w:val="00DF28AD"/>
    <w:rsid w:val="00DF4A2D"/>
    <w:rsid w:val="00DF5B40"/>
    <w:rsid w:val="00DF69E0"/>
    <w:rsid w:val="00E1099C"/>
    <w:rsid w:val="00E14FC6"/>
    <w:rsid w:val="00E2199D"/>
    <w:rsid w:val="00E21CCC"/>
    <w:rsid w:val="00E23F11"/>
    <w:rsid w:val="00E24E7B"/>
    <w:rsid w:val="00E2676C"/>
    <w:rsid w:val="00E270B4"/>
    <w:rsid w:val="00E32044"/>
    <w:rsid w:val="00E33613"/>
    <w:rsid w:val="00E40071"/>
    <w:rsid w:val="00E41520"/>
    <w:rsid w:val="00E419C0"/>
    <w:rsid w:val="00E42BB0"/>
    <w:rsid w:val="00E4380B"/>
    <w:rsid w:val="00E43D2B"/>
    <w:rsid w:val="00E4756F"/>
    <w:rsid w:val="00E51915"/>
    <w:rsid w:val="00E60377"/>
    <w:rsid w:val="00E60F39"/>
    <w:rsid w:val="00E61068"/>
    <w:rsid w:val="00E623E3"/>
    <w:rsid w:val="00E66A9B"/>
    <w:rsid w:val="00E72C07"/>
    <w:rsid w:val="00E74FF7"/>
    <w:rsid w:val="00E806B0"/>
    <w:rsid w:val="00E8287E"/>
    <w:rsid w:val="00E82FE9"/>
    <w:rsid w:val="00E84727"/>
    <w:rsid w:val="00E853EB"/>
    <w:rsid w:val="00E8580E"/>
    <w:rsid w:val="00E86369"/>
    <w:rsid w:val="00E86820"/>
    <w:rsid w:val="00E97042"/>
    <w:rsid w:val="00E976C3"/>
    <w:rsid w:val="00E97B4E"/>
    <w:rsid w:val="00EA475E"/>
    <w:rsid w:val="00EA5C67"/>
    <w:rsid w:val="00EB0E19"/>
    <w:rsid w:val="00EB16CF"/>
    <w:rsid w:val="00EB1FB1"/>
    <w:rsid w:val="00EB35EE"/>
    <w:rsid w:val="00EB3F3C"/>
    <w:rsid w:val="00EC0334"/>
    <w:rsid w:val="00EC2659"/>
    <w:rsid w:val="00EC291F"/>
    <w:rsid w:val="00EC6488"/>
    <w:rsid w:val="00ED140E"/>
    <w:rsid w:val="00ED1FBE"/>
    <w:rsid w:val="00ED3982"/>
    <w:rsid w:val="00ED7F41"/>
    <w:rsid w:val="00EE0926"/>
    <w:rsid w:val="00EE2C5D"/>
    <w:rsid w:val="00EF05CF"/>
    <w:rsid w:val="00EF06A4"/>
    <w:rsid w:val="00EF2809"/>
    <w:rsid w:val="00EF2A68"/>
    <w:rsid w:val="00EF4F34"/>
    <w:rsid w:val="00EF531D"/>
    <w:rsid w:val="00EF6465"/>
    <w:rsid w:val="00F0087C"/>
    <w:rsid w:val="00F05497"/>
    <w:rsid w:val="00F117BE"/>
    <w:rsid w:val="00F13932"/>
    <w:rsid w:val="00F15DC5"/>
    <w:rsid w:val="00F16DD7"/>
    <w:rsid w:val="00F22E4D"/>
    <w:rsid w:val="00F2686D"/>
    <w:rsid w:val="00F26D28"/>
    <w:rsid w:val="00F31E74"/>
    <w:rsid w:val="00F33C3D"/>
    <w:rsid w:val="00F36620"/>
    <w:rsid w:val="00F37798"/>
    <w:rsid w:val="00F40B14"/>
    <w:rsid w:val="00F41118"/>
    <w:rsid w:val="00F41950"/>
    <w:rsid w:val="00F43EFA"/>
    <w:rsid w:val="00F460A8"/>
    <w:rsid w:val="00F55DFD"/>
    <w:rsid w:val="00F6291F"/>
    <w:rsid w:val="00F63AD2"/>
    <w:rsid w:val="00F65A9E"/>
    <w:rsid w:val="00F66E8A"/>
    <w:rsid w:val="00F74D8E"/>
    <w:rsid w:val="00F81879"/>
    <w:rsid w:val="00F827CF"/>
    <w:rsid w:val="00F87B1A"/>
    <w:rsid w:val="00F907A4"/>
    <w:rsid w:val="00F9156D"/>
    <w:rsid w:val="00F932B1"/>
    <w:rsid w:val="00F95A94"/>
    <w:rsid w:val="00F96EF7"/>
    <w:rsid w:val="00FA134B"/>
    <w:rsid w:val="00FA2145"/>
    <w:rsid w:val="00FA2958"/>
    <w:rsid w:val="00FA34EC"/>
    <w:rsid w:val="00FA40A9"/>
    <w:rsid w:val="00FA6D55"/>
    <w:rsid w:val="00FB06B9"/>
    <w:rsid w:val="00FB31A3"/>
    <w:rsid w:val="00FB7B2B"/>
    <w:rsid w:val="00FC0D06"/>
    <w:rsid w:val="00FC177F"/>
    <w:rsid w:val="00FC35D1"/>
    <w:rsid w:val="00FD37FE"/>
    <w:rsid w:val="00FD504D"/>
    <w:rsid w:val="00FE3FF9"/>
    <w:rsid w:val="00FE51D6"/>
    <w:rsid w:val="00FE5E81"/>
    <w:rsid w:val="00FE73D2"/>
    <w:rsid w:val="00FF05D3"/>
    <w:rsid w:val="01EA3629"/>
    <w:rsid w:val="03203EC7"/>
    <w:rsid w:val="03922C83"/>
    <w:rsid w:val="03BE67D1"/>
    <w:rsid w:val="04C047F7"/>
    <w:rsid w:val="05224546"/>
    <w:rsid w:val="06D251CC"/>
    <w:rsid w:val="071D1746"/>
    <w:rsid w:val="07BA7071"/>
    <w:rsid w:val="07C75D5F"/>
    <w:rsid w:val="07CF11F9"/>
    <w:rsid w:val="084455DE"/>
    <w:rsid w:val="08E6244B"/>
    <w:rsid w:val="0B4D6AAB"/>
    <w:rsid w:val="0B634F1D"/>
    <w:rsid w:val="0B74252C"/>
    <w:rsid w:val="0BB31739"/>
    <w:rsid w:val="0E2D76C6"/>
    <w:rsid w:val="0F567905"/>
    <w:rsid w:val="0F99764F"/>
    <w:rsid w:val="0FC513EE"/>
    <w:rsid w:val="0FF91160"/>
    <w:rsid w:val="10780E5F"/>
    <w:rsid w:val="109905CB"/>
    <w:rsid w:val="114C5A70"/>
    <w:rsid w:val="11C835FA"/>
    <w:rsid w:val="12385F4E"/>
    <w:rsid w:val="1275747D"/>
    <w:rsid w:val="127E28E2"/>
    <w:rsid w:val="12AA23D3"/>
    <w:rsid w:val="132E2469"/>
    <w:rsid w:val="16631EBA"/>
    <w:rsid w:val="169E79F7"/>
    <w:rsid w:val="16AD59B3"/>
    <w:rsid w:val="16FD14D1"/>
    <w:rsid w:val="179244DB"/>
    <w:rsid w:val="17A94776"/>
    <w:rsid w:val="17C270E8"/>
    <w:rsid w:val="181126ED"/>
    <w:rsid w:val="19277500"/>
    <w:rsid w:val="192C7BE1"/>
    <w:rsid w:val="193A076F"/>
    <w:rsid w:val="19583304"/>
    <w:rsid w:val="1A4A7069"/>
    <w:rsid w:val="1AFF0E06"/>
    <w:rsid w:val="1BBA0675"/>
    <w:rsid w:val="1EBB4EBE"/>
    <w:rsid w:val="1FCC30F4"/>
    <w:rsid w:val="200672F6"/>
    <w:rsid w:val="20FC5C07"/>
    <w:rsid w:val="213F1677"/>
    <w:rsid w:val="2343454E"/>
    <w:rsid w:val="241E586B"/>
    <w:rsid w:val="245275F5"/>
    <w:rsid w:val="254864B3"/>
    <w:rsid w:val="255814B9"/>
    <w:rsid w:val="258719D7"/>
    <w:rsid w:val="25D56E12"/>
    <w:rsid w:val="26123C13"/>
    <w:rsid w:val="26623C15"/>
    <w:rsid w:val="276E3414"/>
    <w:rsid w:val="277420AE"/>
    <w:rsid w:val="284632F7"/>
    <w:rsid w:val="2A841817"/>
    <w:rsid w:val="2A8F471A"/>
    <w:rsid w:val="2AB2298B"/>
    <w:rsid w:val="2AE81F4D"/>
    <w:rsid w:val="2B387DC8"/>
    <w:rsid w:val="2B984110"/>
    <w:rsid w:val="2BF917E7"/>
    <w:rsid w:val="2C7113CE"/>
    <w:rsid w:val="2D2127F7"/>
    <w:rsid w:val="2D70262E"/>
    <w:rsid w:val="2D8C03E5"/>
    <w:rsid w:val="2F3B5E89"/>
    <w:rsid w:val="2FBC64D6"/>
    <w:rsid w:val="2FFB091C"/>
    <w:rsid w:val="326D7C68"/>
    <w:rsid w:val="32A84002"/>
    <w:rsid w:val="34D30C12"/>
    <w:rsid w:val="355D52E2"/>
    <w:rsid w:val="355D65BB"/>
    <w:rsid w:val="359049C8"/>
    <w:rsid w:val="35A217AC"/>
    <w:rsid w:val="368D6ED9"/>
    <w:rsid w:val="36AC67B8"/>
    <w:rsid w:val="373766DC"/>
    <w:rsid w:val="378D6388"/>
    <w:rsid w:val="379865D8"/>
    <w:rsid w:val="37CA571A"/>
    <w:rsid w:val="37CD2361"/>
    <w:rsid w:val="391A1EAA"/>
    <w:rsid w:val="39457459"/>
    <w:rsid w:val="397C484B"/>
    <w:rsid w:val="3AAA0C68"/>
    <w:rsid w:val="3AE900CC"/>
    <w:rsid w:val="3B397193"/>
    <w:rsid w:val="3CB47F83"/>
    <w:rsid w:val="3CE7724B"/>
    <w:rsid w:val="3D4F61A9"/>
    <w:rsid w:val="3D670293"/>
    <w:rsid w:val="3E1F4CDA"/>
    <w:rsid w:val="40026F58"/>
    <w:rsid w:val="41065E97"/>
    <w:rsid w:val="41BD563D"/>
    <w:rsid w:val="42523B19"/>
    <w:rsid w:val="43045D9A"/>
    <w:rsid w:val="43665453"/>
    <w:rsid w:val="46C30048"/>
    <w:rsid w:val="46D82744"/>
    <w:rsid w:val="46D95628"/>
    <w:rsid w:val="47531112"/>
    <w:rsid w:val="47C312BF"/>
    <w:rsid w:val="48907972"/>
    <w:rsid w:val="493F61FA"/>
    <w:rsid w:val="4A3B1A2B"/>
    <w:rsid w:val="4C5D7DCA"/>
    <w:rsid w:val="4D2232B2"/>
    <w:rsid w:val="4E393586"/>
    <w:rsid w:val="4E495FC9"/>
    <w:rsid w:val="4E781860"/>
    <w:rsid w:val="4F3F5559"/>
    <w:rsid w:val="4F675957"/>
    <w:rsid w:val="4F9000A9"/>
    <w:rsid w:val="4FAD4D39"/>
    <w:rsid w:val="50734DCD"/>
    <w:rsid w:val="50D72846"/>
    <w:rsid w:val="513F1F74"/>
    <w:rsid w:val="52A307CC"/>
    <w:rsid w:val="52CC5389"/>
    <w:rsid w:val="57CC7EAA"/>
    <w:rsid w:val="586423B0"/>
    <w:rsid w:val="58C4123E"/>
    <w:rsid w:val="58EF596C"/>
    <w:rsid w:val="59546487"/>
    <w:rsid w:val="59575FC9"/>
    <w:rsid w:val="596F6215"/>
    <w:rsid w:val="59C83DAB"/>
    <w:rsid w:val="5A4F6916"/>
    <w:rsid w:val="5A59022C"/>
    <w:rsid w:val="5B445F9A"/>
    <w:rsid w:val="5B5F23F6"/>
    <w:rsid w:val="5BC21ECB"/>
    <w:rsid w:val="5BC37E15"/>
    <w:rsid w:val="5CD16F48"/>
    <w:rsid w:val="5D185D73"/>
    <w:rsid w:val="5E127593"/>
    <w:rsid w:val="5E357D76"/>
    <w:rsid w:val="5E7D602F"/>
    <w:rsid w:val="5EAA357D"/>
    <w:rsid w:val="5ECC3D69"/>
    <w:rsid w:val="5F036CC2"/>
    <w:rsid w:val="5FE52AFA"/>
    <w:rsid w:val="60514144"/>
    <w:rsid w:val="60912F70"/>
    <w:rsid w:val="61011B0E"/>
    <w:rsid w:val="61AC62F0"/>
    <w:rsid w:val="62421946"/>
    <w:rsid w:val="62DE239F"/>
    <w:rsid w:val="635614A5"/>
    <w:rsid w:val="639F2CC3"/>
    <w:rsid w:val="64B73B59"/>
    <w:rsid w:val="64CF0BDE"/>
    <w:rsid w:val="65715810"/>
    <w:rsid w:val="65B109D7"/>
    <w:rsid w:val="65BA5D5E"/>
    <w:rsid w:val="65F321AF"/>
    <w:rsid w:val="672E0C8A"/>
    <w:rsid w:val="67813EEC"/>
    <w:rsid w:val="67B455C1"/>
    <w:rsid w:val="67EA5A76"/>
    <w:rsid w:val="68F01F52"/>
    <w:rsid w:val="691A6877"/>
    <w:rsid w:val="6B0C2E18"/>
    <w:rsid w:val="6B4A766B"/>
    <w:rsid w:val="6B6D77BE"/>
    <w:rsid w:val="6BEE1D99"/>
    <w:rsid w:val="6D2508F7"/>
    <w:rsid w:val="6D4D1F8B"/>
    <w:rsid w:val="6D4D6815"/>
    <w:rsid w:val="6DB50598"/>
    <w:rsid w:val="6DE84A40"/>
    <w:rsid w:val="6E0335C6"/>
    <w:rsid w:val="6E45468D"/>
    <w:rsid w:val="6E593E3E"/>
    <w:rsid w:val="6EE60738"/>
    <w:rsid w:val="6F9963EC"/>
    <w:rsid w:val="6FFC4C3F"/>
    <w:rsid w:val="700147AE"/>
    <w:rsid w:val="70CB063E"/>
    <w:rsid w:val="70CB177D"/>
    <w:rsid w:val="71AE5570"/>
    <w:rsid w:val="72225D99"/>
    <w:rsid w:val="72275CC9"/>
    <w:rsid w:val="73873D76"/>
    <w:rsid w:val="74BA31C7"/>
    <w:rsid w:val="74F3781E"/>
    <w:rsid w:val="751E6966"/>
    <w:rsid w:val="75AA0291"/>
    <w:rsid w:val="75B6318D"/>
    <w:rsid w:val="75CA1F53"/>
    <w:rsid w:val="76276CF7"/>
    <w:rsid w:val="773E4A55"/>
    <w:rsid w:val="77405B49"/>
    <w:rsid w:val="77645FD0"/>
    <w:rsid w:val="7AD141AF"/>
    <w:rsid w:val="7D2941CF"/>
    <w:rsid w:val="7E434EC8"/>
    <w:rsid w:val="7F50390C"/>
    <w:rsid w:val="7F7A5CFA"/>
    <w:rsid w:val="7FA37B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9"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iPriority="99" w:semiHidden="0" w:name="index 4" w:locked="1"/>
    <w:lsdException w:uiPriority="99" w:name="index 5" w:locked="1"/>
    <w:lsdException w:uiPriority="99" w:name="index 6" w:locked="1"/>
    <w:lsdException w:uiPriority="99" w:name="index 7" w:locked="1"/>
    <w:lsdException w:uiPriority="99" w:name="index 8" w:locked="1"/>
    <w:lsdException w:qFormat="1" w:uiPriority="99" w:semiHidden="0" w:name="index 9" w:locked="1"/>
    <w:lsdException w:qFormat="1"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iPriority="99" w:semiHidden="0"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0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34"/>
    <w:qFormat/>
    <w:uiPriority w:val="99"/>
    <w:pPr>
      <w:keepNext/>
      <w:keepLines/>
      <w:spacing w:before="260" w:after="260" w:line="416" w:lineRule="auto"/>
      <w:outlineLvl w:val="2"/>
    </w:pPr>
    <w:rPr>
      <w:b/>
      <w:bCs/>
      <w:kern w:val="0"/>
      <w:sz w:val="32"/>
      <w:szCs w:val="32"/>
    </w:rPr>
  </w:style>
  <w:style w:type="paragraph" w:styleId="7">
    <w:name w:val="heading 4"/>
    <w:basedOn w:val="1"/>
    <w:next w:val="1"/>
    <w:semiHidden/>
    <w:unhideWhenUsed/>
    <w:qFormat/>
    <w:uiPriority w:val="9"/>
    <w:pPr>
      <w:ind w:left="853"/>
      <w:outlineLvl w:val="3"/>
    </w:pPr>
    <w:rPr>
      <w:rFonts w:ascii="楷体" w:hAnsi="楷体" w:cs="楷体"/>
      <w:b/>
      <w:bCs/>
      <w:sz w:val="30"/>
      <w:szCs w:val="32"/>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unhideWhenUsed/>
    <w:qFormat/>
    <w:locked/>
    <w:uiPriority w:val="99"/>
    <w:pPr>
      <w:ind w:left="1600" w:leftChars="1600"/>
    </w:pPr>
  </w:style>
  <w:style w:type="paragraph" w:styleId="6">
    <w:name w:val="Normal Indent"/>
    <w:basedOn w:val="1"/>
    <w:link w:val="103"/>
    <w:qFormat/>
    <w:uiPriority w:val="0"/>
    <w:pPr>
      <w:ind w:firstLine="420"/>
    </w:pPr>
    <w:rPr>
      <w:szCs w:val="20"/>
    </w:rPr>
  </w:style>
  <w:style w:type="paragraph" w:styleId="8">
    <w:name w:val="Document Map"/>
    <w:basedOn w:val="1"/>
    <w:link w:val="35"/>
    <w:semiHidden/>
    <w:qFormat/>
    <w:uiPriority w:val="99"/>
    <w:pPr>
      <w:shd w:val="clear" w:color="auto" w:fill="000080"/>
    </w:pPr>
    <w:rPr>
      <w:kern w:val="0"/>
      <w:sz w:val="2"/>
      <w:szCs w:val="20"/>
    </w:rPr>
  </w:style>
  <w:style w:type="paragraph" w:styleId="9">
    <w:name w:val="annotation text"/>
    <w:basedOn w:val="1"/>
    <w:link w:val="115"/>
    <w:unhideWhenUsed/>
    <w:qFormat/>
    <w:locked/>
    <w:uiPriority w:val="99"/>
    <w:pPr>
      <w:jc w:val="left"/>
    </w:pPr>
  </w:style>
  <w:style w:type="paragraph" w:styleId="10">
    <w:name w:val="Body Text"/>
    <w:basedOn w:val="1"/>
    <w:link w:val="109"/>
    <w:semiHidden/>
    <w:unhideWhenUsed/>
    <w:qFormat/>
    <w:locked/>
    <w:uiPriority w:val="99"/>
    <w:pPr>
      <w:spacing w:after="120"/>
    </w:pPr>
  </w:style>
  <w:style w:type="paragraph" w:styleId="11">
    <w:name w:val="Body Text Indent"/>
    <w:basedOn w:val="1"/>
    <w:next w:val="12"/>
    <w:qFormat/>
    <w:locked/>
    <w:uiPriority w:val="0"/>
    <w:pPr>
      <w:ind w:firstLine="645"/>
    </w:pPr>
    <w:rPr>
      <w:rFonts w:ascii="楷体_GB2312" w:eastAsia="楷体_GB2312"/>
      <w:sz w:val="32"/>
      <w:szCs w:val="32"/>
    </w:rPr>
  </w:style>
  <w:style w:type="paragraph" w:styleId="12">
    <w:name w:val="envelope return"/>
    <w:basedOn w:val="1"/>
    <w:unhideWhenUsed/>
    <w:qFormat/>
    <w:locked/>
    <w:uiPriority w:val="99"/>
    <w:pPr>
      <w:snapToGrid w:val="0"/>
    </w:pPr>
    <w:rPr>
      <w:rFonts w:ascii="Arial" w:hAnsi="Arial"/>
    </w:rPr>
  </w:style>
  <w:style w:type="paragraph" w:styleId="13">
    <w:name w:val="index 4"/>
    <w:basedOn w:val="1"/>
    <w:next w:val="1"/>
    <w:unhideWhenUsed/>
    <w:qFormat/>
    <w:locked/>
    <w:uiPriority w:val="99"/>
    <w:pPr>
      <w:ind w:left="600" w:leftChars="600"/>
    </w:pPr>
  </w:style>
  <w:style w:type="paragraph" w:styleId="14">
    <w:name w:val="Plain Text"/>
    <w:basedOn w:val="1"/>
    <w:link w:val="36"/>
    <w:qFormat/>
    <w:uiPriority w:val="0"/>
    <w:rPr>
      <w:rFonts w:ascii="宋体" w:hAnsi="Courier New"/>
      <w:kern w:val="0"/>
      <w:szCs w:val="21"/>
    </w:rPr>
  </w:style>
  <w:style w:type="paragraph" w:styleId="15">
    <w:name w:val="Balloon Text"/>
    <w:basedOn w:val="1"/>
    <w:link w:val="37"/>
    <w:qFormat/>
    <w:uiPriority w:val="99"/>
    <w:rPr>
      <w:sz w:val="18"/>
      <w:szCs w:val="18"/>
    </w:rPr>
  </w:style>
  <w:style w:type="paragraph" w:styleId="16">
    <w:name w:val="footer"/>
    <w:basedOn w:val="1"/>
    <w:link w:val="38"/>
    <w:qFormat/>
    <w:uiPriority w:val="99"/>
    <w:pPr>
      <w:tabs>
        <w:tab w:val="center" w:pos="4153"/>
        <w:tab w:val="right" w:pos="8306"/>
      </w:tabs>
      <w:snapToGrid w:val="0"/>
      <w:jc w:val="left"/>
    </w:pPr>
    <w:rPr>
      <w:sz w:val="18"/>
      <w:szCs w:val="20"/>
    </w:rPr>
  </w:style>
  <w:style w:type="paragraph" w:styleId="17">
    <w:name w:val="header"/>
    <w:basedOn w:val="1"/>
    <w:link w:val="39"/>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tabs>
        <w:tab w:val="right" w:leader="dot" w:pos="9440"/>
      </w:tabs>
      <w:spacing w:before="120" w:after="120" w:line="300" w:lineRule="exact"/>
      <w:jc w:val="left"/>
    </w:pPr>
    <w:rPr>
      <w:rFonts w:ascii="黑体" w:eastAsia="黑体"/>
      <w:b/>
      <w:caps/>
      <w:sz w:val="18"/>
      <w:szCs w:val="28"/>
    </w:rPr>
  </w:style>
  <w:style w:type="paragraph" w:styleId="19">
    <w:name w:val="Subtitle"/>
    <w:basedOn w:val="1"/>
    <w:next w:val="1"/>
    <w:link w:val="11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0">
    <w:name w:val="toc 2"/>
    <w:basedOn w:val="1"/>
    <w:next w:val="1"/>
    <w:uiPriority w:val="39"/>
    <w:pPr>
      <w:ind w:left="420" w:leftChars="200"/>
    </w:pPr>
  </w:style>
  <w:style w:type="paragraph" w:styleId="21">
    <w:name w:val="Message Header"/>
    <w:basedOn w:val="1"/>
    <w:qFormat/>
    <w:locked/>
    <w:uiPriority w:val="0"/>
    <w:pPr>
      <w:adjustRightInd w:val="0"/>
    </w:pPr>
    <w:rPr>
      <w:rFonts w:ascii="仿宋_GB2312" w:hAnsi="仿宋_GB2312" w:eastAsia="等线 Light" w:cs="Arial"/>
      <w:szCs w:val="22"/>
    </w:rPr>
  </w:style>
  <w:style w:type="paragraph" w:styleId="22">
    <w:name w:val="Normal (Web)"/>
    <w:basedOn w:val="1"/>
    <w:qFormat/>
    <w:locked/>
    <w:uiPriority w:val="0"/>
    <w:pPr>
      <w:widowControl/>
      <w:spacing w:before="100" w:beforeAutospacing="1" w:after="100" w:afterAutospacing="1"/>
      <w:jc w:val="left"/>
    </w:pPr>
    <w:rPr>
      <w:rFonts w:ascii="宋体" w:hAnsi="宋体"/>
      <w:kern w:val="0"/>
      <w:sz w:val="24"/>
      <w:szCs w:val="20"/>
    </w:rPr>
  </w:style>
  <w:style w:type="paragraph" w:styleId="23">
    <w:name w:val="annotation subject"/>
    <w:basedOn w:val="9"/>
    <w:next w:val="9"/>
    <w:link w:val="116"/>
    <w:semiHidden/>
    <w:unhideWhenUsed/>
    <w:qFormat/>
    <w:locked/>
    <w:uiPriority w:val="99"/>
    <w:rPr>
      <w:b/>
      <w:bCs/>
    </w:rPr>
  </w:style>
  <w:style w:type="paragraph" w:styleId="24">
    <w:name w:val="Body Text First Indent 2"/>
    <w:basedOn w:val="11"/>
    <w:qFormat/>
    <w:locked/>
    <w:uiPriority w:val="0"/>
    <w:pPr>
      <w:spacing w:line="360" w:lineRule="auto"/>
      <w:ind w:firstLine="420" w:firstLineChars="200"/>
    </w:pPr>
    <w:rPr>
      <w:rFonts w:ascii="宋体" w:hAnsi="宋体" w:eastAsia="宋体"/>
      <w:sz w:val="21"/>
      <w:szCs w:val="2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basedOn w:val="27"/>
    <w:qFormat/>
    <w:uiPriority w:val="99"/>
    <w:rPr>
      <w:rFonts w:cs="Times New Roman"/>
    </w:rPr>
  </w:style>
  <w:style w:type="character" w:styleId="30">
    <w:name w:val="Hyperlink"/>
    <w:basedOn w:val="27"/>
    <w:unhideWhenUsed/>
    <w:locked/>
    <w:uiPriority w:val="99"/>
    <w:rPr>
      <w:color w:val="0000FF" w:themeColor="hyperlink"/>
      <w:u w:val="single"/>
      <w14:textFill>
        <w14:solidFill>
          <w14:schemeClr w14:val="hlink"/>
        </w14:solidFill>
      </w14:textFill>
    </w:rPr>
  </w:style>
  <w:style w:type="character" w:styleId="31">
    <w:name w:val="annotation reference"/>
    <w:basedOn w:val="27"/>
    <w:semiHidden/>
    <w:unhideWhenUsed/>
    <w:qFormat/>
    <w:locked/>
    <w:uiPriority w:val="99"/>
    <w:rPr>
      <w:sz w:val="21"/>
      <w:szCs w:val="21"/>
    </w:rPr>
  </w:style>
  <w:style w:type="paragraph" w:customStyle="1" w:styleId="32">
    <w:name w:val="首行缩进"/>
    <w:basedOn w:val="1"/>
    <w:qFormat/>
    <w:uiPriority w:val="0"/>
    <w:pPr>
      <w:spacing w:line="360" w:lineRule="auto"/>
      <w:ind w:firstLine="480" w:firstLineChars="200"/>
    </w:pPr>
    <w:rPr>
      <w:rFonts w:ascii="宋体" w:hAnsi="宋体" w:cs="宋体"/>
      <w:kern w:val="0"/>
      <w:sz w:val="24"/>
    </w:rPr>
  </w:style>
  <w:style w:type="paragraph" w:customStyle="1" w:styleId="33">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4">
    <w:name w:val="标题 3 Char"/>
    <w:link w:val="5"/>
    <w:semiHidden/>
    <w:qFormat/>
    <w:locked/>
    <w:uiPriority w:val="99"/>
    <w:rPr>
      <w:rFonts w:ascii="Times New Roman" w:hAnsi="Times New Roman" w:cs="Times New Roman"/>
      <w:b/>
      <w:sz w:val="32"/>
    </w:rPr>
  </w:style>
  <w:style w:type="character" w:customStyle="1" w:styleId="35">
    <w:name w:val="文档结构图 Char"/>
    <w:link w:val="8"/>
    <w:semiHidden/>
    <w:qFormat/>
    <w:locked/>
    <w:uiPriority w:val="99"/>
    <w:rPr>
      <w:rFonts w:ascii="Times New Roman" w:hAnsi="Times New Roman" w:cs="Times New Roman"/>
      <w:sz w:val="2"/>
    </w:rPr>
  </w:style>
  <w:style w:type="character" w:customStyle="1" w:styleId="36">
    <w:name w:val="纯文本 Char"/>
    <w:link w:val="14"/>
    <w:qFormat/>
    <w:locked/>
    <w:uiPriority w:val="0"/>
    <w:rPr>
      <w:rFonts w:ascii="宋体" w:hAnsi="Courier New" w:cs="Times New Roman"/>
      <w:sz w:val="21"/>
    </w:rPr>
  </w:style>
  <w:style w:type="character" w:customStyle="1" w:styleId="37">
    <w:name w:val="批注框文本 Char"/>
    <w:link w:val="15"/>
    <w:qFormat/>
    <w:locked/>
    <w:uiPriority w:val="99"/>
    <w:rPr>
      <w:rFonts w:cs="Times New Roman"/>
      <w:kern w:val="2"/>
      <w:sz w:val="18"/>
    </w:rPr>
  </w:style>
  <w:style w:type="character" w:customStyle="1" w:styleId="38">
    <w:name w:val="页脚 Char"/>
    <w:link w:val="16"/>
    <w:qFormat/>
    <w:locked/>
    <w:uiPriority w:val="99"/>
    <w:rPr>
      <w:rFonts w:ascii="Times New Roman" w:hAnsi="Times New Roman" w:eastAsia="宋体" w:cs="Times New Roman"/>
      <w:kern w:val="2"/>
      <w:sz w:val="18"/>
    </w:rPr>
  </w:style>
  <w:style w:type="character" w:customStyle="1" w:styleId="39">
    <w:name w:val="页眉 Char"/>
    <w:link w:val="17"/>
    <w:qFormat/>
    <w:locked/>
    <w:uiPriority w:val="99"/>
    <w:rPr>
      <w:rFonts w:ascii="Times New Roman" w:hAnsi="Times New Roman" w:cs="Times New Roman"/>
      <w:sz w:val="18"/>
    </w:rPr>
  </w:style>
  <w:style w:type="paragraph" w:customStyle="1" w:styleId="40">
    <w:name w:val="Char"/>
    <w:basedOn w:val="1"/>
    <w:qFormat/>
    <w:uiPriority w:val="0"/>
    <w:pPr>
      <w:tabs>
        <w:tab w:val="left" w:pos="360"/>
      </w:tabs>
      <w:ind w:firstLine="200" w:firstLineChars="200"/>
    </w:pPr>
    <w:rPr>
      <w:sz w:val="28"/>
      <w:szCs w:val="30"/>
    </w:rPr>
  </w:style>
  <w:style w:type="character" w:customStyle="1" w:styleId="41">
    <w:name w:val="font31"/>
    <w:qFormat/>
    <w:uiPriority w:val="99"/>
    <w:rPr>
      <w:rFonts w:ascii="宋体" w:hAnsi="宋体" w:eastAsia="宋体"/>
      <w:color w:val="000000"/>
      <w:sz w:val="22"/>
      <w:u w:val="none"/>
    </w:rPr>
  </w:style>
  <w:style w:type="character" w:customStyle="1" w:styleId="42">
    <w:name w:val="font51"/>
    <w:qFormat/>
    <w:uiPriority w:val="99"/>
    <w:rPr>
      <w:rFonts w:ascii="宋体" w:hAnsi="宋体" w:eastAsia="宋体" w:cs="宋体"/>
      <w:b/>
      <w:color w:val="000000"/>
      <w:sz w:val="22"/>
      <w:szCs w:val="22"/>
      <w:u w:val="none"/>
    </w:rPr>
  </w:style>
  <w:style w:type="character" w:customStyle="1" w:styleId="43">
    <w:name w:val="font21"/>
    <w:qFormat/>
    <w:uiPriority w:val="99"/>
    <w:rPr>
      <w:rFonts w:ascii="宋体" w:hAnsi="宋体" w:eastAsia="宋体"/>
      <w:color w:val="000000"/>
      <w:sz w:val="22"/>
      <w:u w:val="none"/>
    </w:rPr>
  </w:style>
  <w:style w:type="character" w:customStyle="1" w:styleId="44">
    <w:name w:val="font01"/>
    <w:qFormat/>
    <w:uiPriority w:val="99"/>
    <w:rPr>
      <w:rFonts w:ascii="宋体" w:hAnsi="宋体" w:eastAsia="宋体"/>
      <w:b/>
      <w:color w:val="000000"/>
      <w:sz w:val="22"/>
      <w:u w:val="none"/>
    </w:rPr>
  </w:style>
  <w:style w:type="character" w:customStyle="1" w:styleId="45">
    <w:name w:val="ask-title2"/>
    <w:qFormat/>
    <w:uiPriority w:val="99"/>
  </w:style>
  <w:style w:type="character" w:customStyle="1" w:styleId="46">
    <w:name w:val="纯文本 Char_0_0"/>
    <w:link w:val="47"/>
    <w:qFormat/>
    <w:locked/>
    <w:uiPriority w:val="99"/>
    <w:rPr>
      <w:rFonts w:ascii="宋体" w:hAnsi="Courier New"/>
      <w:kern w:val="2"/>
      <w:sz w:val="21"/>
    </w:rPr>
  </w:style>
  <w:style w:type="paragraph" w:customStyle="1" w:styleId="47">
    <w:name w:val="纯文本_0_0"/>
    <w:basedOn w:val="48"/>
    <w:link w:val="46"/>
    <w:qFormat/>
    <w:uiPriority w:val="99"/>
    <w:rPr>
      <w:rFonts w:ascii="宋体" w:hAnsi="Courier New"/>
      <w:szCs w:val="20"/>
    </w:rPr>
  </w:style>
  <w:style w:type="paragraph" w:customStyle="1" w:styleId="48">
    <w:name w:val="正文_7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1">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6_0"/>
    <w:qFormat/>
    <w:uiPriority w:val="99"/>
    <w:rPr>
      <w:rFonts w:ascii="黑体" w:hAnsi="黑体" w:eastAsia="黑体" w:cs="Times New Roman"/>
      <w:b/>
      <w:sz w:val="32"/>
      <w:szCs w:val="24"/>
      <w:lang w:val="en-US" w:eastAsia="zh-CN" w:bidi="ar-SA"/>
    </w:rPr>
  </w:style>
  <w:style w:type="paragraph" w:customStyle="1" w:styleId="53">
    <w:name w:val="正文_8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Normal_17_0"/>
    <w:qFormat/>
    <w:uiPriority w:val="99"/>
    <w:rPr>
      <w:rFonts w:ascii="黑体" w:hAnsi="黑体" w:eastAsia="黑体" w:cs="Times New Roman"/>
      <w:b/>
      <w:sz w:val="32"/>
      <w:szCs w:val="24"/>
      <w:lang w:val="en-US" w:eastAsia="zh-CN" w:bidi="ar-SA"/>
    </w:rPr>
  </w:style>
  <w:style w:type="paragraph" w:customStyle="1" w:styleId="55">
    <w:name w:val="正文_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Normal_18_0"/>
    <w:qFormat/>
    <w:uiPriority w:val="99"/>
    <w:rPr>
      <w:rFonts w:ascii="黑体" w:hAnsi="黑体" w:eastAsia="黑体" w:cs="Times New Roman"/>
      <w:b/>
      <w:sz w:val="32"/>
      <w:szCs w:val="24"/>
      <w:lang w:val="en-US" w:eastAsia="zh-CN" w:bidi="ar-SA"/>
    </w:rPr>
  </w:style>
  <w:style w:type="paragraph" w:customStyle="1" w:styleId="58">
    <w:name w:val="正文_9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Normal_12_0"/>
    <w:qFormat/>
    <w:uiPriority w:val="99"/>
    <w:rPr>
      <w:rFonts w:ascii="黑体" w:hAnsi="黑体" w:eastAsia="黑体" w:cs="Times New Roman"/>
      <w:b/>
      <w:sz w:val="32"/>
      <w:szCs w:val="24"/>
      <w:lang w:val="en-US" w:eastAsia="zh-CN" w:bidi="ar-SA"/>
    </w:rPr>
  </w:style>
  <w:style w:type="paragraph" w:customStyle="1" w:styleId="60">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1">
    <w:name w:val="Normal_14_0"/>
    <w:qFormat/>
    <w:uiPriority w:val="99"/>
    <w:rPr>
      <w:rFonts w:ascii="黑体" w:hAnsi="黑体" w:eastAsia="黑体" w:cs="Times New Roman"/>
      <w:b/>
      <w:sz w:val="32"/>
      <w:szCs w:val="24"/>
      <w:lang w:val="en-US" w:eastAsia="zh-CN" w:bidi="ar-SA"/>
    </w:rPr>
  </w:style>
  <w:style w:type="paragraph" w:customStyle="1" w:styleId="62">
    <w:name w:val="正文_7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正文_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Normal_10_0"/>
    <w:qFormat/>
    <w:uiPriority w:val="99"/>
    <w:rPr>
      <w:rFonts w:ascii="黑体" w:hAnsi="黑体" w:eastAsia="黑体" w:cs="Times New Roman"/>
      <w:b/>
      <w:sz w:val="32"/>
      <w:szCs w:val="24"/>
      <w:lang w:val="en-US" w:eastAsia="zh-CN" w:bidi="ar-SA"/>
    </w:rPr>
  </w:style>
  <w:style w:type="paragraph" w:customStyle="1" w:styleId="68">
    <w:name w:val="Normal_13_0"/>
    <w:qFormat/>
    <w:uiPriority w:val="99"/>
    <w:rPr>
      <w:rFonts w:ascii="黑体" w:hAnsi="黑体" w:eastAsia="黑体" w:cs="Times New Roman"/>
      <w:b/>
      <w:sz w:val="32"/>
      <w:szCs w:val="24"/>
      <w:lang w:val="en-US" w:eastAsia="zh-CN" w:bidi="ar-SA"/>
    </w:rPr>
  </w:style>
  <w:style w:type="paragraph" w:customStyle="1" w:styleId="69">
    <w:name w:val="正文_6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Normal_15_0"/>
    <w:qFormat/>
    <w:uiPriority w:val="99"/>
    <w:rPr>
      <w:rFonts w:ascii="黑体" w:hAnsi="黑体" w:eastAsia="黑体" w:cs="Times New Roman"/>
      <w:b/>
      <w:sz w:val="32"/>
      <w:szCs w:val="24"/>
      <w:lang w:val="en-US" w:eastAsia="zh-CN" w:bidi="ar-SA"/>
    </w:rPr>
  </w:style>
  <w:style w:type="paragraph" w:customStyle="1" w:styleId="71">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正文_17"/>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Normal_0_1"/>
    <w:qFormat/>
    <w:uiPriority w:val="99"/>
    <w:rPr>
      <w:rFonts w:ascii="黑体" w:hAnsi="黑体" w:eastAsia="黑体" w:cs="Times New Roman"/>
      <w:b/>
      <w:sz w:val="32"/>
      <w:szCs w:val="24"/>
      <w:lang w:val="en-US" w:eastAsia="zh-CN" w:bidi="ar-SA"/>
    </w:rPr>
  </w:style>
  <w:style w:type="paragraph" w:customStyle="1" w:styleId="76">
    <w:name w:val="正文_1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7">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0_0_0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Normal_6_0"/>
    <w:qFormat/>
    <w:uiPriority w:val="99"/>
    <w:rPr>
      <w:rFonts w:ascii="黑体" w:hAnsi="黑体" w:eastAsia="黑体" w:cs="Times New Roman"/>
      <w:b/>
      <w:sz w:val="32"/>
      <w:szCs w:val="24"/>
      <w:lang w:val="en-US" w:eastAsia="zh-CN" w:bidi="ar-SA"/>
    </w:rPr>
  </w:style>
  <w:style w:type="paragraph" w:customStyle="1" w:styleId="80">
    <w:name w:val="Normal_4_0"/>
    <w:qFormat/>
    <w:uiPriority w:val="99"/>
    <w:rPr>
      <w:rFonts w:ascii="黑体" w:hAnsi="黑体" w:eastAsia="黑体" w:cs="Times New Roman"/>
      <w:b/>
      <w:sz w:val="32"/>
      <w:szCs w:val="24"/>
      <w:lang w:val="en-US" w:eastAsia="zh-CN" w:bidi="ar-SA"/>
    </w:rPr>
  </w:style>
  <w:style w:type="paragraph" w:customStyle="1" w:styleId="81">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Normal_1_1"/>
    <w:qFormat/>
    <w:uiPriority w:val="99"/>
    <w:rPr>
      <w:rFonts w:ascii="黑体" w:hAnsi="黑体" w:eastAsia="黑体" w:cs="Times New Roman"/>
      <w:b/>
      <w:sz w:val="32"/>
      <w:szCs w:val="24"/>
      <w:lang w:val="en-US" w:eastAsia="zh-CN" w:bidi="ar-SA"/>
    </w:rPr>
  </w:style>
  <w:style w:type="paragraph" w:customStyle="1" w:styleId="83">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4">
    <w:name w:val="Normal_8_0"/>
    <w:qFormat/>
    <w:uiPriority w:val="99"/>
    <w:rPr>
      <w:rFonts w:ascii="黑体" w:hAnsi="黑体" w:eastAsia="黑体" w:cs="Times New Roman"/>
      <w:b/>
      <w:sz w:val="32"/>
      <w:szCs w:val="24"/>
      <w:lang w:val="en-US" w:eastAsia="zh-CN" w:bidi="ar-SA"/>
    </w:rPr>
  </w:style>
  <w:style w:type="paragraph" w:customStyle="1" w:styleId="85">
    <w:name w:val="正文_4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6">
    <w:name w:val="Normal_7_0"/>
    <w:qFormat/>
    <w:uiPriority w:val="99"/>
    <w:rPr>
      <w:rFonts w:ascii="黑体" w:hAnsi="黑体" w:eastAsia="黑体" w:cs="Times New Roman"/>
      <w:b/>
      <w:sz w:val="32"/>
      <w:szCs w:val="24"/>
      <w:lang w:val="en-US" w:eastAsia="zh-CN" w:bidi="ar-SA"/>
    </w:rPr>
  </w:style>
  <w:style w:type="paragraph" w:customStyle="1" w:styleId="87">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Normal_11_0"/>
    <w:qFormat/>
    <w:uiPriority w:val="99"/>
    <w:rPr>
      <w:rFonts w:ascii="黑体" w:hAnsi="黑体" w:eastAsia="黑体" w:cs="Times New Roman"/>
      <w:b/>
      <w:sz w:val="32"/>
      <w:szCs w:val="24"/>
      <w:lang w:val="en-US" w:eastAsia="zh-CN" w:bidi="ar-SA"/>
    </w:rPr>
  </w:style>
  <w:style w:type="paragraph" w:customStyle="1" w:styleId="91">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Normal_2_0"/>
    <w:qFormat/>
    <w:uiPriority w:val="99"/>
    <w:rPr>
      <w:rFonts w:ascii="黑体" w:hAnsi="黑体" w:eastAsia="黑体" w:cs="Times New Roman"/>
      <w:b/>
      <w:sz w:val="32"/>
      <w:szCs w:val="24"/>
      <w:lang w:val="en-US" w:eastAsia="zh-CN" w:bidi="ar-SA"/>
    </w:rPr>
  </w:style>
  <w:style w:type="paragraph" w:customStyle="1" w:styleId="93">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Normal_5_0"/>
    <w:qFormat/>
    <w:uiPriority w:val="99"/>
    <w:rPr>
      <w:rFonts w:ascii="黑体" w:hAnsi="黑体" w:eastAsia="黑体" w:cs="Times New Roman"/>
      <w:b/>
      <w:sz w:val="32"/>
      <w:szCs w:val="24"/>
      <w:lang w:val="en-US" w:eastAsia="zh-CN" w:bidi="ar-SA"/>
    </w:rPr>
  </w:style>
  <w:style w:type="paragraph" w:customStyle="1" w:styleId="95">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6">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Normal_3_0"/>
    <w:qFormat/>
    <w:uiPriority w:val="99"/>
    <w:rPr>
      <w:rFonts w:ascii="黑体" w:hAnsi="黑体" w:eastAsia="黑体" w:cs="Times New Roman"/>
      <w:b/>
      <w:sz w:val="32"/>
      <w:szCs w:val="24"/>
      <w:lang w:val="en-US" w:eastAsia="zh-CN" w:bidi="ar-SA"/>
    </w:rPr>
  </w:style>
  <w:style w:type="paragraph" w:customStyle="1" w:styleId="98">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0">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1">
    <w:name w:val="Normal_9_0"/>
    <w:qFormat/>
    <w:uiPriority w:val="99"/>
    <w:rPr>
      <w:rFonts w:ascii="Times New Roman" w:hAnsi="Times New Roman" w:eastAsia="宋体" w:cs="Times New Roman"/>
      <w:sz w:val="24"/>
      <w:szCs w:val="24"/>
      <w:lang w:val="en-US" w:eastAsia="zh-CN" w:bidi="ar-SA"/>
    </w:rPr>
  </w:style>
  <w:style w:type="paragraph" w:customStyle="1" w:styleId="102">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3">
    <w:name w:val="正文缩进 Char"/>
    <w:link w:val="6"/>
    <w:qFormat/>
    <w:locked/>
    <w:uiPriority w:val="0"/>
    <w:rPr>
      <w:rFonts w:eastAsia="宋体"/>
      <w:kern w:val="2"/>
      <w:sz w:val="21"/>
      <w:lang w:val="en-US" w:eastAsia="zh-CN"/>
    </w:rPr>
  </w:style>
  <w:style w:type="character" w:customStyle="1" w:styleId="104">
    <w:name w:val="Char Char2"/>
    <w:qFormat/>
    <w:uiPriority w:val="99"/>
    <w:rPr>
      <w:b/>
      <w:kern w:val="2"/>
      <w:sz w:val="32"/>
    </w:rPr>
  </w:style>
  <w:style w:type="paragraph" w:customStyle="1" w:styleId="10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06">
    <w:name w:val="p16"/>
    <w:basedOn w:val="1"/>
    <w:qFormat/>
    <w:uiPriority w:val="99"/>
    <w:pPr>
      <w:widowControl/>
    </w:pPr>
    <w:rPr>
      <w:rFonts w:ascii="宋体" w:hAnsi="宋体" w:cs="宋体"/>
      <w:kern w:val="0"/>
      <w:szCs w:val="21"/>
    </w:rPr>
  </w:style>
  <w:style w:type="character" w:customStyle="1" w:styleId="107">
    <w:name w:val="标题 2 Char"/>
    <w:basedOn w:val="27"/>
    <w:link w:val="4"/>
    <w:qFormat/>
    <w:uiPriority w:val="0"/>
    <w:rPr>
      <w:rFonts w:asciiTheme="majorHAnsi" w:hAnsiTheme="majorHAnsi" w:eastAsiaTheme="majorEastAsia" w:cstheme="majorBidi"/>
      <w:b/>
      <w:bCs/>
      <w:kern w:val="2"/>
      <w:sz w:val="32"/>
      <w:szCs w:val="32"/>
    </w:rPr>
  </w:style>
  <w:style w:type="character" w:customStyle="1" w:styleId="108">
    <w:name w:val="标题 1 Char"/>
    <w:basedOn w:val="27"/>
    <w:link w:val="3"/>
    <w:qFormat/>
    <w:uiPriority w:val="9"/>
    <w:rPr>
      <w:b/>
      <w:bCs/>
      <w:kern w:val="44"/>
      <w:sz w:val="44"/>
      <w:szCs w:val="44"/>
    </w:rPr>
  </w:style>
  <w:style w:type="character" w:customStyle="1" w:styleId="109">
    <w:name w:val="正文文本 Char"/>
    <w:basedOn w:val="27"/>
    <w:link w:val="10"/>
    <w:semiHidden/>
    <w:qFormat/>
    <w:uiPriority w:val="99"/>
    <w:rPr>
      <w:kern w:val="2"/>
      <w:sz w:val="21"/>
      <w:szCs w:val="24"/>
    </w:rPr>
  </w:style>
  <w:style w:type="paragraph" w:styleId="110">
    <w:name w:val="No Spacing"/>
    <w:basedOn w:val="1"/>
    <w:qFormat/>
    <w:uiPriority w:val="0"/>
    <w:pPr>
      <w:widowControl/>
      <w:jc w:val="left"/>
    </w:pPr>
    <w:rPr>
      <w:rFonts w:eastAsia="Times New Roman"/>
      <w:kern w:val="0"/>
      <w:sz w:val="24"/>
      <w:szCs w:val="32"/>
    </w:rPr>
  </w:style>
  <w:style w:type="character" w:customStyle="1" w:styleId="111">
    <w:name w:val="副标题 Char"/>
    <w:basedOn w:val="27"/>
    <w:link w:val="19"/>
    <w:qFormat/>
    <w:uiPriority w:val="0"/>
    <w:rPr>
      <w:rFonts w:asciiTheme="majorHAnsi" w:hAnsiTheme="majorHAnsi" w:cstheme="majorBidi"/>
      <w:b/>
      <w:bCs/>
      <w:kern w:val="28"/>
      <w:sz w:val="32"/>
      <w:szCs w:val="32"/>
    </w:rPr>
  </w:style>
  <w:style w:type="paragraph" w:customStyle="1" w:styleId="112">
    <w:name w:val="1"/>
    <w:basedOn w:val="1"/>
    <w:next w:val="14"/>
    <w:qFormat/>
    <w:uiPriority w:val="0"/>
    <w:rPr>
      <w:rFonts w:ascii="宋体" w:hAnsi="Courier New"/>
      <w:szCs w:val="20"/>
    </w:rPr>
  </w:style>
  <w:style w:type="character" w:customStyle="1" w:styleId="113">
    <w:name w:val="UserStyle_8"/>
    <w:link w:val="114"/>
    <w:qFormat/>
    <w:uiPriority w:val="0"/>
    <w:rPr>
      <w:rFonts w:ascii="宋体" w:hAnsi="Courier New"/>
      <w:szCs w:val="21"/>
    </w:rPr>
  </w:style>
  <w:style w:type="paragraph" w:customStyle="1" w:styleId="114">
    <w:name w:val="PlainText"/>
    <w:basedOn w:val="1"/>
    <w:link w:val="113"/>
    <w:qFormat/>
    <w:uiPriority w:val="0"/>
    <w:pPr>
      <w:widowControl/>
      <w:textAlignment w:val="baseline"/>
    </w:pPr>
    <w:rPr>
      <w:rFonts w:ascii="宋体" w:hAnsi="Courier New"/>
      <w:kern w:val="0"/>
      <w:sz w:val="20"/>
      <w:szCs w:val="21"/>
    </w:rPr>
  </w:style>
  <w:style w:type="character" w:customStyle="1" w:styleId="115">
    <w:name w:val="批注文字 Char"/>
    <w:basedOn w:val="27"/>
    <w:link w:val="9"/>
    <w:qFormat/>
    <w:uiPriority w:val="99"/>
    <w:rPr>
      <w:kern w:val="2"/>
      <w:sz w:val="21"/>
      <w:szCs w:val="24"/>
    </w:rPr>
  </w:style>
  <w:style w:type="character" w:customStyle="1" w:styleId="116">
    <w:name w:val="批注主题 Char"/>
    <w:basedOn w:val="115"/>
    <w:link w:val="23"/>
    <w:semiHidden/>
    <w:qFormat/>
    <w:uiPriority w:val="99"/>
    <w:rPr>
      <w:b/>
      <w:bCs/>
      <w:kern w:val="2"/>
      <w:sz w:val="21"/>
      <w:szCs w:val="24"/>
    </w:rPr>
  </w:style>
  <w:style w:type="paragraph" w:customStyle="1" w:styleId="117">
    <w:name w:val="无格式无间隔"/>
    <w:qFormat/>
    <w:uiPriority w:val="0"/>
    <w:rPr>
      <w:rFonts w:ascii="Calibri" w:hAnsi="Calibri" w:eastAsia="宋体" w:cs="Times New Roman"/>
      <w:kern w:val="2"/>
      <w:sz w:val="21"/>
      <w:szCs w:val="21"/>
      <w:lang w:val="en-US" w:eastAsia="zh-CN" w:bidi="ar-SA"/>
    </w:rPr>
  </w:style>
  <w:style w:type="paragraph" w:customStyle="1" w:styleId="118">
    <w:name w:val="标准段落"/>
    <w:basedOn w:val="1"/>
    <w:qFormat/>
    <w:uiPriority w:val="0"/>
    <w:pPr>
      <w:adjustRightInd w:val="0"/>
      <w:spacing w:beforeLines="50" w:afterLines="50" w:line="300" w:lineRule="auto"/>
      <w:ind w:firstLine="454"/>
    </w:pPr>
  </w:style>
  <w:style w:type="paragraph" w:customStyle="1" w:styleId="119">
    <w:name w:val="正文1"/>
    <w:qFormat/>
    <w:uiPriority w:val="99"/>
    <w:pPr>
      <w:adjustRightInd w:val="0"/>
      <w:spacing w:before="120" w:after="120" w:line="180" w:lineRule="auto"/>
      <w:ind w:firstLine="200" w:firstLineChars="200"/>
    </w:pPr>
    <w:rPr>
      <w:rFonts w:ascii="Calibri" w:hAnsi="Calibri" w:eastAsia="宋体" w:cs="Calibri"/>
      <w:kern w:val="2"/>
      <w:sz w:val="21"/>
      <w:szCs w:val="21"/>
      <w:lang w:val="en-US" w:eastAsia="zh-CN" w:bidi="ar-SA"/>
    </w:rPr>
  </w:style>
  <w:style w:type="paragraph" w:styleId="120">
    <w:name w:val="List Paragraph"/>
    <w:basedOn w:val="1"/>
    <w:unhideWhenUsed/>
    <w:qFormat/>
    <w:uiPriority w:val="99"/>
    <w:pPr>
      <w:ind w:firstLine="420" w:firstLineChars="200"/>
    </w:pPr>
  </w:style>
  <w:style w:type="paragraph" w:customStyle="1" w:styleId="121">
    <w:name w:val="列表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5C18C2-EF0F-4DDF-A2D7-2616C3B827D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11509</Words>
  <Characters>12442</Characters>
  <Lines>104</Lines>
  <Paragraphs>29</Paragraphs>
  <TotalTime>1</TotalTime>
  <ScaleCrop>false</ScaleCrop>
  <LinksUpToDate>false</LinksUpToDate>
  <CharactersWithSpaces>13500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2021-06-01T09:50:00Z</dcterms:created>
  <dc:creator>Administrator</dc:creator>
  <cp:lastModifiedBy>一念初见</cp:lastModifiedBy>
  <cp:lastPrinted>2019-04-27T07:23:00Z</cp:lastPrinted>
  <dcterms:modified xsi:type="dcterms:W3CDTF">2022-10-07T08:55:32Z</dcterms:modified>
  <dc:title>询 价 文 件</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0B42F9D6751044619D90505C69596754</vt:lpwstr>
  </property>
</Properties>
</file>