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rPr>
      </w:pPr>
      <w:r>
        <w:rPr>
          <w:rFonts w:hint="eastAsia" w:ascii="方正小标宋_GBK" w:hAnsi="方正小标宋_GBK" w:eastAsia="方正小标宋_GBK" w:cs="方正小标宋_GBK"/>
          <w:sz w:val="44"/>
          <w:szCs w:val="44"/>
        </w:rPr>
        <w:t>项目需求</w:t>
      </w:r>
    </w:p>
    <w:p>
      <w:pPr>
        <w:spacing w:line="500" w:lineRule="exact"/>
        <w:ind w:firstLine="482" w:firstLineChars="200"/>
        <w:rPr>
          <w:rFonts w:hint="eastAsia" w:ascii="宋体" w:hAnsi="宋体" w:cs="宋体"/>
          <w:b/>
          <w:sz w:val="24"/>
        </w:rPr>
      </w:pPr>
    </w:p>
    <w:p>
      <w:pPr>
        <w:spacing w:line="500" w:lineRule="exact"/>
        <w:ind w:firstLine="482" w:firstLineChars="200"/>
        <w:rPr>
          <w:b/>
          <w:bCs/>
          <w:sz w:val="24"/>
        </w:rPr>
      </w:pPr>
      <w:r>
        <w:rPr>
          <w:rFonts w:hint="eastAsia"/>
          <w:b/>
          <w:bCs/>
          <w:sz w:val="24"/>
        </w:rPr>
        <w:t>一、项目概况</w:t>
      </w:r>
    </w:p>
    <w:p>
      <w:pPr>
        <w:spacing w:line="500" w:lineRule="exact"/>
        <w:ind w:firstLine="480" w:firstLineChars="200"/>
        <w:rPr>
          <w:rFonts w:ascii="宋体" w:hAnsi="宋体" w:cs="宋体"/>
          <w:sz w:val="24"/>
          <w:lang w:val="en"/>
        </w:rPr>
      </w:pPr>
      <w:r>
        <w:rPr>
          <w:rFonts w:hint="eastAsia" w:ascii="宋体" w:hAnsi="宋体" w:cs="宋体"/>
          <w:sz w:val="24"/>
          <w:lang w:val="en"/>
        </w:rPr>
        <w:t>图书馆电子阅览室为读者提供丰富的多媒体光盘资源和因特网资源，提供了一个深入学习信息技术的重要场地。学校药学院，康复医学院以及医学影像学院的老师，学生共计3千余人在西园学习生活。为满足我校师生对于信息的浏览、查询、收集等能力，全面提高师生的信息素养，为方便老师学习，为增大学生的课外阅读量，拟在西园建设电子阅览室一间，进一步推动我校教育信息化的进程。</w:t>
      </w:r>
    </w:p>
    <w:p>
      <w:pPr>
        <w:spacing w:line="500" w:lineRule="exact"/>
        <w:ind w:firstLine="482" w:firstLineChars="200"/>
        <w:rPr>
          <w:rFonts w:hint="eastAsia"/>
          <w:b/>
          <w:bCs/>
          <w:sz w:val="24"/>
        </w:rPr>
      </w:pPr>
      <w:r>
        <w:rPr>
          <w:rFonts w:hint="eastAsia" w:ascii="宋体" w:hAnsi="宋体" w:cs="宋体"/>
          <w:b/>
          <w:bCs/>
          <w:sz w:val="24"/>
        </w:rPr>
        <w:t>二、</w:t>
      </w:r>
      <w:r>
        <w:rPr>
          <w:rFonts w:hint="eastAsia" w:ascii="宋体" w:hAnsi="宋体"/>
          <w:b/>
          <w:sz w:val="24"/>
        </w:rPr>
        <w:t>主要技术参数</w:t>
      </w:r>
    </w:p>
    <w:tbl>
      <w:tblPr>
        <w:tblStyle w:val="4"/>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14"/>
        <w:gridCol w:w="6062"/>
        <w:gridCol w:w="673"/>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29" w:type="dxa"/>
            <w:noWrap w:val="0"/>
            <w:vAlign w:val="center"/>
          </w:tcPr>
          <w:p>
            <w:pPr>
              <w:widowControl/>
              <w:spacing w:line="360" w:lineRule="exact"/>
              <w:jc w:val="center"/>
              <w:rPr>
                <w:rFonts w:ascii="宋体" w:hAnsi="宋体" w:cs="宋体"/>
                <w:b/>
                <w:kern w:val="0"/>
                <w:sz w:val="22"/>
              </w:rPr>
            </w:pPr>
            <w:bookmarkStart w:id="0" w:name="OLE_LINK3" w:colFirst="5" w:colLast="5"/>
            <w:bookmarkStart w:id="1" w:name="OLE_LINK1"/>
            <w:bookmarkStart w:id="2" w:name="OLE_LINK2" w:colFirst="0" w:colLast="1"/>
            <w:r>
              <w:rPr>
                <w:rFonts w:hint="eastAsia" w:ascii="宋体" w:hAnsi="宋体" w:cs="宋体"/>
                <w:b/>
                <w:kern w:val="0"/>
                <w:sz w:val="22"/>
              </w:rPr>
              <w:t>序号</w:t>
            </w:r>
          </w:p>
        </w:tc>
        <w:tc>
          <w:tcPr>
            <w:tcW w:w="1014" w:type="dxa"/>
            <w:noWrap w:val="0"/>
            <w:vAlign w:val="center"/>
          </w:tcPr>
          <w:p>
            <w:pPr>
              <w:widowControl/>
              <w:spacing w:line="360" w:lineRule="exact"/>
              <w:jc w:val="center"/>
              <w:rPr>
                <w:rFonts w:ascii="宋体" w:hAnsi="宋体" w:cs="宋体"/>
                <w:b/>
                <w:kern w:val="0"/>
                <w:sz w:val="22"/>
              </w:rPr>
            </w:pPr>
            <w:r>
              <w:rPr>
                <w:rFonts w:hint="eastAsia" w:ascii="宋体" w:hAnsi="宋体" w:cs="宋体"/>
                <w:b/>
                <w:kern w:val="0"/>
                <w:sz w:val="22"/>
              </w:rPr>
              <w:t>名称</w:t>
            </w:r>
          </w:p>
        </w:tc>
        <w:tc>
          <w:tcPr>
            <w:tcW w:w="6062" w:type="dxa"/>
            <w:tcBorders>
              <w:top w:val="single" w:color="000000" w:sz="4" w:space="0"/>
            </w:tcBorders>
            <w:noWrap w:val="0"/>
            <w:vAlign w:val="center"/>
          </w:tcPr>
          <w:p>
            <w:pPr>
              <w:widowControl/>
              <w:spacing w:line="360" w:lineRule="exact"/>
              <w:jc w:val="center"/>
              <w:rPr>
                <w:rFonts w:ascii="宋体" w:hAnsi="宋体" w:cs="宋体"/>
                <w:b/>
                <w:kern w:val="0"/>
                <w:sz w:val="22"/>
              </w:rPr>
            </w:pPr>
            <w:r>
              <w:rPr>
                <w:rFonts w:hint="eastAsia" w:ascii="宋体" w:hAnsi="宋体" w:cs="宋体"/>
                <w:b/>
                <w:kern w:val="0"/>
                <w:sz w:val="22"/>
              </w:rPr>
              <w:t>主要技术需求</w:t>
            </w:r>
          </w:p>
        </w:tc>
        <w:tc>
          <w:tcPr>
            <w:tcW w:w="673" w:type="dxa"/>
            <w:noWrap w:val="0"/>
            <w:vAlign w:val="center"/>
          </w:tcPr>
          <w:p>
            <w:pPr>
              <w:widowControl/>
              <w:spacing w:line="360" w:lineRule="exact"/>
              <w:jc w:val="center"/>
              <w:rPr>
                <w:rFonts w:ascii="宋体" w:hAnsi="宋体" w:cs="宋体"/>
                <w:b/>
                <w:kern w:val="0"/>
                <w:sz w:val="22"/>
              </w:rPr>
            </w:pPr>
            <w:r>
              <w:rPr>
                <w:rFonts w:hint="eastAsia" w:ascii="宋体" w:hAnsi="宋体" w:cs="宋体"/>
                <w:b/>
                <w:kern w:val="0"/>
                <w:sz w:val="22"/>
              </w:rPr>
              <w:t>数量</w:t>
            </w:r>
          </w:p>
        </w:tc>
        <w:tc>
          <w:tcPr>
            <w:tcW w:w="709" w:type="dxa"/>
            <w:noWrap w:val="0"/>
            <w:vAlign w:val="center"/>
          </w:tcPr>
          <w:p>
            <w:pPr>
              <w:widowControl/>
              <w:spacing w:line="360" w:lineRule="exact"/>
              <w:jc w:val="center"/>
              <w:rPr>
                <w:rFonts w:ascii="宋体" w:hAnsi="宋体" w:cs="宋体"/>
                <w:b/>
                <w:kern w:val="0"/>
                <w:sz w:val="22"/>
              </w:rPr>
            </w:pPr>
            <w:r>
              <w:rPr>
                <w:rFonts w:hint="eastAsia" w:ascii="宋体" w:hAnsi="宋体" w:cs="宋体"/>
                <w:b/>
                <w:kern w:val="0"/>
                <w:sz w:val="22"/>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1</w:t>
            </w:r>
          </w:p>
        </w:tc>
        <w:tc>
          <w:tcPr>
            <w:tcW w:w="1014" w:type="dxa"/>
            <w:noWrap w:val="0"/>
            <w:vAlign w:val="center"/>
          </w:tcPr>
          <w:p>
            <w:pPr>
              <w:widowControl/>
              <w:jc w:val="center"/>
              <w:textAlignment w:val="center"/>
              <w:rPr>
                <w:rFonts w:ascii="宋体" w:hAnsi="宋体"/>
                <w:bCs/>
                <w:kern w:val="0"/>
                <w:sz w:val="22"/>
                <w:szCs w:val="22"/>
              </w:rPr>
            </w:pPr>
            <w:r>
              <w:rPr>
                <w:rFonts w:ascii="宋体" w:hAnsi="宋体"/>
                <w:kern w:val="0"/>
                <w:sz w:val="22"/>
                <w:szCs w:val="22"/>
              </w:rPr>
              <w:t>一体机电脑</w:t>
            </w:r>
          </w:p>
        </w:tc>
        <w:tc>
          <w:tcPr>
            <w:tcW w:w="6062" w:type="dxa"/>
            <w:noWrap w:val="0"/>
            <w:vAlign w:val="center"/>
          </w:tcPr>
          <w:p>
            <w:pPr>
              <w:spacing w:line="360" w:lineRule="exact"/>
              <w:ind w:firstLine="220" w:firstLineChars="100"/>
              <w:jc w:val="left"/>
              <w:outlineLvl w:val="7"/>
              <w:rPr>
                <w:rFonts w:ascii="宋体" w:hAnsi="宋体"/>
                <w:sz w:val="22"/>
                <w:szCs w:val="22"/>
              </w:rPr>
            </w:pPr>
            <w:r>
              <w:rPr>
                <w:rFonts w:hint="eastAsia" w:ascii="宋体" w:hAnsi="宋体"/>
                <w:sz w:val="22"/>
                <w:szCs w:val="22"/>
              </w:rPr>
              <w:t>★1.CPU：Intel Core i5-10400处理器及以上</w:t>
            </w:r>
          </w:p>
          <w:p>
            <w:pPr>
              <w:spacing w:line="360" w:lineRule="exact"/>
              <w:ind w:firstLine="220" w:firstLineChars="100"/>
              <w:jc w:val="left"/>
              <w:outlineLvl w:val="7"/>
              <w:rPr>
                <w:rFonts w:ascii="宋体" w:hAnsi="宋体"/>
                <w:sz w:val="22"/>
                <w:szCs w:val="22"/>
              </w:rPr>
            </w:pPr>
            <w:r>
              <w:rPr>
                <w:rFonts w:hint="eastAsia" w:ascii="宋体" w:hAnsi="宋体"/>
                <w:sz w:val="22"/>
                <w:szCs w:val="22"/>
              </w:rPr>
              <w:t>★2.主板：Intel H510芯片组及以上</w:t>
            </w:r>
          </w:p>
          <w:p>
            <w:pPr>
              <w:spacing w:line="360" w:lineRule="exact"/>
              <w:ind w:firstLine="440" w:firstLineChars="200"/>
              <w:jc w:val="left"/>
              <w:outlineLvl w:val="7"/>
              <w:rPr>
                <w:rFonts w:ascii="宋体" w:hAnsi="宋体"/>
                <w:sz w:val="22"/>
                <w:szCs w:val="22"/>
              </w:rPr>
            </w:pPr>
            <w:r>
              <w:rPr>
                <w:rFonts w:hint="eastAsia" w:ascii="宋体" w:hAnsi="宋体"/>
                <w:sz w:val="22"/>
                <w:szCs w:val="22"/>
              </w:rPr>
              <w:t>3.内存：配置 ≥16G DDR4内存，提供双内存槽位；</w:t>
            </w:r>
          </w:p>
          <w:p>
            <w:pPr>
              <w:spacing w:line="360" w:lineRule="exact"/>
              <w:ind w:firstLine="440" w:firstLineChars="200"/>
              <w:jc w:val="left"/>
              <w:outlineLvl w:val="7"/>
              <w:rPr>
                <w:rFonts w:ascii="宋体" w:hAnsi="宋体"/>
                <w:sz w:val="22"/>
                <w:szCs w:val="22"/>
              </w:rPr>
            </w:pPr>
            <w:r>
              <w:rPr>
                <w:rFonts w:hint="eastAsia" w:ascii="宋体" w:hAnsi="宋体"/>
                <w:sz w:val="22"/>
                <w:szCs w:val="22"/>
              </w:rPr>
              <w:t>4.显卡：集成显卡</w:t>
            </w:r>
          </w:p>
          <w:p>
            <w:pPr>
              <w:spacing w:line="360" w:lineRule="exact"/>
              <w:ind w:firstLine="220" w:firstLineChars="100"/>
              <w:jc w:val="left"/>
              <w:outlineLvl w:val="7"/>
              <w:rPr>
                <w:rFonts w:ascii="宋体" w:hAnsi="宋体"/>
                <w:sz w:val="22"/>
                <w:szCs w:val="22"/>
              </w:rPr>
            </w:pPr>
            <w:r>
              <w:rPr>
                <w:rFonts w:hint="eastAsia" w:ascii="宋体" w:hAnsi="宋体"/>
                <w:sz w:val="22"/>
                <w:szCs w:val="22"/>
              </w:rPr>
              <w:t>★5.硬盘：512G PCIe M.2 SSD，带机械硬盘扩展插槽</w:t>
            </w:r>
          </w:p>
          <w:p>
            <w:pPr>
              <w:spacing w:line="360" w:lineRule="exact"/>
              <w:ind w:firstLine="440" w:firstLineChars="200"/>
              <w:jc w:val="left"/>
              <w:outlineLvl w:val="7"/>
              <w:rPr>
                <w:rFonts w:ascii="宋体" w:hAnsi="宋体"/>
                <w:sz w:val="22"/>
                <w:szCs w:val="22"/>
              </w:rPr>
            </w:pPr>
            <w:r>
              <w:rPr>
                <w:rFonts w:hint="eastAsia" w:ascii="宋体" w:hAnsi="宋体"/>
                <w:sz w:val="22"/>
                <w:szCs w:val="22"/>
              </w:rPr>
              <w:t>6.网卡：集成10/100/1000M以太网卡，带无线网卡</w:t>
            </w:r>
          </w:p>
          <w:p>
            <w:pPr>
              <w:spacing w:line="360" w:lineRule="exact"/>
              <w:ind w:firstLine="220" w:firstLineChars="100"/>
              <w:jc w:val="left"/>
              <w:outlineLvl w:val="7"/>
              <w:rPr>
                <w:rFonts w:ascii="宋体" w:hAnsi="宋体"/>
                <w:sz w:val="22"/>
                <w:szCs w:val="22"/>
              </w:rPr>
            </w:pPr>
            <w:r>
              <w:rPr>
                <w:rFonts w:hint="eastAsia" w:ascii="宋体" w:hAnsi="宋体"/>
                <w:sz w:val="22"/>
                <w:szCs w:val="22"/>
              </w:rPr>
              <w:t>★7.显示屏：≥23.8英寸全高清液晶显示屏(1920x1080)，窄边框设计，上下左右178度可视角度</w:t>
            </w:r>
          </w:p>
          <w:p>
            <w:pPr>
              <w:spacing w:line="360" w:lineRule="exact"/>
              <w:ind w:firstLine="440" w:firstLineChars="200"/>
              <w:jc w:val="left"/>
              <w:outlineLvl w:val="7"/>
              <w:rPr>
                <w:rFonts w:ascii="宋体" w:hAnsi="宋体"/>
                <w:sz w:val="22"/>
                <w:szCs w:val="22"/>
              </w:rPr>
            </w:pPr>
            <w:r>
              <w:rPr>
                <w:rFonts w:hint="eastAsia" w:ascii="宋体" w:hAnsi="宋体"/>
                <w:sz w:val="22"/>
                <w:szCs w:val="22"/>
              </w:rPr>
              <w:t xml:space="preserve">8.键盘、鼠标：USB键盘、鼠标； </w:t>
            </w:r>
          </w:p>
          <w:p>
            <w:pPr>
              <w:spacing w:line="360" w:lineRule="exact"/>
              <w:ind w:firstLine="440" w:firstLineChars="200"/>
              <w:jc w:val="left"/>
              <w:outlineLvl w:val="7"/>
              <w:rPr>
                <w:rFonts w:ascii="宋体" w:hAnsi="宋体"/>
                <w:sz w:val="22"/>
                <w:szCs w:val="22"/>
              </w:rPr>
            </w:pPr>
            <w:r>
              <w:rPr>
                <w:rFonts w:hint="eastAsia" w:ascii="宋体" w:hAnsi="宋体"/>
                <w:sz w:val="22"/>
                <w:szCs w:val="22"/>
              </w:rPr>
              <w:t>9.接口：≥6个USB接口（其中至少4个USB3.0 )，1个HDMI接口，1个串口，耳机/麦克风接口</w:t>
            </w:r>
          </w:p>
          <w:p>
            <w:pPr>
              <w:spacing w:line="360" w:lineRule="exact"/>
              <w:ind w:firstLine="440" w:firstLineChars="200"/>
              <w:jc w:val="left"/>
              <w:outlineLvl w:val="7"/>
              <w:rPr>
                <w:rFonts w:hint="eastAsia" w:ascii="宋体" w:hAnsi="宋体"/>
                <w:sz w:val="22"/>
                <w:szCs w:val="22"/>
              </w:rPr>
            </w:pPr>
            <w:r>
              <w:rPr>
                <w:rFonts w:hint="eastAsia" w:ascii="宋体" w:hAnsi="宋体"/>
                <w:sz w:val="22"/>
                <w:szCs w:val="22"/>
              </w:rPr>
              <w:t>10.电源：≥120W 节能电源</w:t>
            </w:r>
          </w:p>
          <w:p>
            <w:pPr>
              <w:spacing w:line="360" w:lineRule="exact"/>
              <w:ind w:firstLine="440" w:firstLineChars="200"/>
              <w:jc w:val="left"/>
              <w:outlineLvl w:val="7"/>
              <w:rPr>
                <w:rFonts w:hint="eastAsia" w:ascii="宋体" w:hAnsi="宋体"/>
                <w:sz w:val="22"/>
                <w:szCs w:val="22"/>
              </w:rPr>
            </w:pPr>
            <w:r>
              <w:rPr>
                <w:rFonts w:hint="eastAsia" w:ascii="宋体" w:hAnsi="宋体"/>
                <w:sz w:val="22"/>
                <w:szCs w:val="22"/>
              </w:rPr>
              <w:t>11.音箱：内置音箱</w:t>
            </w:r>
          </w:p>
          <w:p>
            <w:pPr>
              <w:widowControl/>
              <w:ind w:firstLine="422" w:firstLineChars="200"/>
              <w:rPr>
                <w:rFonts w:hint="eastAsia"/>
              </w:rPr>
            </w:pPr>
            <w:r>
              <w:rPr>
                <w:rFonts w:hint="eastAsia"/>
                <w:b/>
              </w:rPr>
              <w:t>推荐品牌：</w:t>
            </w:r>
            <w:r>
              <w:rPr>
                <w:rFonts w:hint="eastAsia" w:ascii="宋体" w:hAnsi="宋体" w:cs="宋体"/>
                <w:color w:val="000000"/>
                <w:sz w:val="22"/>
              </w:rPr>
              <w:t xml:space="preserve">联想 惠普 </w:t>
            </w:r>
            <w:r>
              <w:t>戴尔</w:t>
            </w:r>
          </w:p>
        </w:tc>
        <w:tc>
          <w:tcPr>
            <w:tcW w:w="673" w:type="dxa"/>
            <w:noWrap w:val="0"/>
            <w:vAlign w:val="center"/>
          </w:tcPr>
          <w:p>
            <w:pPr>
              <w:widowControl/>
              <w:jc w:val="center"/>
              <w:textAlignment w:val="center"/>
              <w:rPr>
                <w:rFonts w:ascii="宋体" w:hAnsi="宋体" w:cs="宋体"/>
                <w:bCs/>
                <w:kern w:val="0"/>
                <w:sz w:val="24"/>
              </w:rPr>
            </w:pPr>
            <w:r>
              <w:rPr>
                <w:rFonts w:hint="eastAsia" w:ascii="宋体" w:hAnsi="宋体" w:cs="宋体"/>
                <w:color w:val="000000"/>
                <w:kern w:val="0"/>
                <w:sz w:val="22"/>
                <w:szCs w:val="22"/>
                <w:lang w:bidi="ar"/>
              </w:rPr>
              <w:t>50</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2</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机房管理软件</w:t>
            </w:r>
          </w:p>
        </w:tc>
        <w:tc>
          <w:tcPr>
            <w:tcW w:w="6062" w:type="dxa"/>
            <w:noWrap w:val="0"/>
            <w:vAlign w:val="center"/>
          </w:tcPr>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 同时支持Legacy与UEFI两种方式启动系统，支持管理维护双网卡、双硬盘，支持NVME，M.2新型高速固态硬盘，同时兼容新老机型部署。</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2.支持批量管理设置终端机计算机名、IP地址、分辨率、时间同步等配置信息。支持限制使用多种外设设备。支持批量自动登入域及多域名分配管理。</w:t>
            </w:r>
          </w:p>
          <w:p>
            <w:pPr>
              <w:widowControl/>
              <w:ind w:firstLine="440" w:firstLineChars="200"/>
              <w:jc w:val="left"/>
              <w:textAlignment w:val="center"/>
              <w:rPr>
                <w:rFonts w:hint="eastAsia" w:ascii="宋体" w:hAnsi="宋体" w:cs="宋体"/>
                <w:b/>
                <w:color w:val="000000"/>
                <w:kern w:val="0"/>
                <w:sz w:val="22"/>
                <w:szCs w:val="22"/>
                <w:lang w:bidi="ar"/>
              </w:rPr>
            </w:pPr>
            <w:r>
              <w:rPr>
                <w:rFonts w:hint="eastAsia" w:ascii="宋体" w:hAnsi="宋体" w:cs="宋体"/>
                <w:color w:val="000000"/>
                <w:kern w:val="0"/>
                <w:sz w:val="22"/>
                <w:szCs w:val="22"/>
                <w:lang w:bidi="ar"/>
              </w:rPr>
              <w:t>3.支持超级镜像功能，可通过一个标准镜像可以支持多种不同硬件配置，可覆盖不同品牌、跨越不同代的CPU。</w:t>
            </w:r>
            <w:r>
              <w:rPr>
                <w:rFonts w:hint="eastAsia" w:ascii="宋体" w:hAnsi="宋体" w:cs="宋体"/>
                <w:b/>
                <w:color w:val="000000"/>
                <w:kern w:val="0"/>
                <w:sz w:val="22"/>
                <w:szCs w:val="22"/>
                <w:lang w:bidi="ar"/>
              </w:rPr>
              <w:t>（提供此功能界面截图证明）。</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4.同时支持手拉手和广播两种镜像下载模式。支持边用边载的背景载入功能，可在正常上课的同时完成缓存载入，同一网络机器可互相分享数据，大幅减少网络传输中的重复数据，可以大幅提高传输效率。</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5.终端本地硬盘无需安装操作系统，通过PXE网络部署和引导，启动虚拟桌面方式运行操作系统及应用，简化部署维护工作。</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6.支持离线脱网运行:客户端可在没有网络连接的情况下可离线运行与在线状态下一致的操作系统及软件，并保证同一桌面环境在线与离线数据一致。</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7.支持复杂网络环境、跨校区跨互联网部署 。 IP可达即可部署，支持WIFI/4G网络的更新桌面。满足学校使用WIFI的使用场景，简化网络结构。</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8. 客户端支持Windows7/8.1/10系列的32位和64位系统及Linux系统，支持打包windows\Linux系统镜像。客户端可自主选择不同的系统环境启动或由管理端指定启动环境且多个虚拟系统环境可快速切换。</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9.支持智能学习模式，系统可智能学习计算机的个性化配置，个性化驱动和用户的个性化设置并保存。用户进行桌面恢复时，可恢复至用户个性化快照。</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10.为了适应各种网络环境减少对网络环境的调整，可灵活支持U盘、网络、dhcp中继等多种部署方式。</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11.支持终端的双盘管理，支持第二块磁盘格式化、读写、只读设置。</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12.支持使用U盘/移动硬盘在脱机的情况下（完全没有网络）脱机恢复桌面。</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13.支持终端在无法进入系统情况下，通过数据恢复模块（基于Linux和Windows两种方式）进行系统数据恢复。</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14.专属打印机管理模块，支持打印机的个性化管理。打印机配置在终端和服务器端都保留，如果终端使用还原桌面，打印机配置不需要重新在客户机上设置。</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15.支持从服务器端发起对客户端进行远程开机、关机、发送通知消息，发送远程命令，在提供授权情况下，支持管理员远程桌面协助排错功能。</w:t>
            </w:r>
          </w:p>
          <w:p>
            <w:pPr>
              <w:widowControl/>
              <w:ind w:firstLine="440" w:firstLineChars="200"/>
              <w:jc w:val="left"/>
              <w:textAlignment w:val="center"/>
              <w:rPr>
                <w:rFonts w:hint="eastAsia" w:ascii="宋体" w:hAnsi="宋体" w:cs="宋体"/>
                <w:b/>
                <w:color w:val="000000"/>
                <w:kern w:val="0"/>
                <w:sz w:val="22"/>
                <w:szCs w:val="22"/>
                <w:lang w:bidi="ar"/>
              </w:rPr>
            </w:pPr>
            <w:r>
              <w:rPr>
                <w:rFonts w:hint="eastAsia" w:ascii="宋体" w:hAnsi="宋体" w:cs="宋体"/>
                <w:color w:val="000000"/>
                <w:kern w:val="0"/>
                <w:sz w:val="22"/>
                <w:szCs w:val="22"/>
                <w:lang w:bidi="ar"/>
              </w:rPr>
              <w:t>16.硬件资产管理：收集平台中所有终端硬件配置信息，包括终端名称、主板型号、CPU型号、内存容量、最近运行时间、合计运行时间、硬件变更和记录信息等。</w:t>
            </w:r>
            <w:r>
              <w:rPr>
                <w:rFonts w:hint="eastAsia" w:ascii="宋体" w:hAnsi="宋体" w:cs="宋体"/>
                <w:b/>
                <w:color w:val="000000"/>
                <w:kern w:val="0"/>
                <w:sz w:val="22"/>
                <w:szCs w:val="22"/>
                <w:lang w:bidi="ar"/>
              </w:rPr>
              <w:t>（提供此功能界面截图证明）。</w:t>
            </w:r>
          </w:p>
          <w:p>
            <w:pPr>
              <w:widowControl/>
              <w:ind w:firstLine="440" w:firstLineChars="200"/>
              <w:jc w:val="left"/>
              <w:textAlignment w:val="center"/>
              <w:rPr>
                <w:rFonts w:hint="eastAsia" w:ascii="宋体" w:hAnsi="宋体"/>
                <w:bCs/>
                <w:sz w:val="22"/>
                <w:szCs w:val="22"/>
              </w:rPr>
            </w:pPr>
            <w:r>
              <w:rPr>
                <w:rFonts w:hint="eastAsia" w:ascii="宋体" w:hAnsi="宋体" w:cs="宋体"/>
                <w:color w:val="000000"/>
                <w:kern w:val="0"/>
                <w:sz w:val="22"/>
                <w:szCs w:val="22"/>
                <w:lang w:bidi="ar"/>
              </w:rPr>
              <w:t>17.软件资产管理，支持收集软件列表，软件安装时间，使用时长并计算使用率。</w:t>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60</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3</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电子教室软件</w:t>
            </w:r>
          </w:p>
        </w:tc>
        <w:tc>
          <w:tcPr>
            <w:tcW w:w="6062" w:type="dxa"/>
            <w:noWrap w:val="0"/>
            <w:vAlign w:val="center"/>
          </w:tcPr>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1.全面支持Windows系列操作系统。</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2.软件支持服务器端授权、在线序列号、离线文件等多种方式。</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3.屏幕广播可选择全屏或窗口方式。</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4.网络影院可将教师机播放的视频同步到学生机，支持几乎所有常见的媒体音视频格式，支持1080p高清视频。</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5.教师可指定一台学生机作为示范，由此学生代替教师示范教学。</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6.可进行分组讨论。</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7.文件收发功能，可拖拽添加文件，可限制学生提交文件的数目和大小。</w:t>
            </w:r>
          </w:p>
          <w:p>
            <w:pPr>
              <w:widowControl/>
              <w:ind w:firstLine="440" w:firstLineChars="200"/>
              <w:jc w:val="left"/>
              <w:textAlignment w:val="center"/>
              <w:rPr>
                <w:rFonts w:hint="eastAsia" w:ascii="宋体" w:hAnsi="宋体" w:cs="宋体"/>
                <w:b/>
                <w:color w:val="000000"/>
                <w:kern w:val="0"/>
                <w:sz w:val="22"/>
                <w:szCs w:val="22"/>
                <w:lang w:bidi="ar"/>
              </w:rPr>
            </w:pPr>
            <w:r>
              <w:rPr>
                <w:rFonts w:hint="eastAsia" w:ascii="宋体" w:hAnsi="宋体" w:cs="宋体"/>
                <w:color w:val="000000"/>
                <w:kern w:val="0"/>
                <w:sz w:val="22"/>
                <w:szCs w:val="22"/>
                <w:lang w:bidi="ar"/>
              </w:rPr>
              <w:t>8.可设置上网、程序限制策略，可对不同学生设置不同策略。</w:t>
            </w:r>
            <w:r>
              <w:rPr>
                <w:rFonts w:hint="eastAsia" w:ascii="宋体" w:hAnsi="宋体" w:cs="宋体"/>
                <w:b/>
                <w:color w:val="000000"/>
                <w:kern w:val="0"/>
                <w:sz w:val="22"/>
                <w:szCs w:val="22"/>
                <w:lang w:bidi="ar"/>
              </w:rPr>
              <w:t>（提供此功能界面截图证明）</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9.屏幕笔：教师教学使用的辅助工具，突出显示项目、添加注释，添加批注等等。</w:t>
            </w:r>
          </w:p>
          <w:p>
            <w:pPr>
              <w:widowControl/>
              <w:ind w:firstLine="440" w:firstLineChars="200"/>
              <w:jc w:val="left"/>
              <w:textAlignment w:val="center"/>
              <w:rPr>
                <w:rFonts w:hint="eastAsia" w:ascii="宋体" w:hAnsi="宋体" w:cs="宋体"/>
                <w:b/>
                <w:color w:val="000000"/>
                <w:kern w:val="0"/>
                <w:sz w:val="22"/>
                <w:szCs w:val="22"/>
                <w:lang w:bidi="ar"/>
              </w:rPr>
            </w:pPr>
            <w:r>
              <w:rPr>
                <w:rFonts w:hint="eastAsia" w:ascii="宋体" w:hAnsi="宋体" w:cs="宋体"/>
                <w:color w:val="000000"/>
                <w:kern w:val="0"/>
                <w:sz w:val="22"/>
                <w:szCs w:val="22"/>
                <w:lang w:bidi="ar"/>
              </w:rPr>
              <w:t>10.教师可设置题目请学生作答。</w:t>
            </w:r>
            <w:r>
              <w:rPr>
                <w:rFonts w:hint="eastAsia" w:ascii="宋体" w:hAnsi="宋体" w:cs="宋体"/>
                <w:b/>
                <w:color w:val="000000"/>
                <w:kern w:val="0"/>
                <w:sz w:val="22"/>
                <w:szCs w:val="22"/>
                <w:lang w:bidi="ar"/>
              </w:rPr>
              <w:t>（提供此功能界面截图证明）</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11.系统具备单独的班级模型管理功能，实现对班级模型的统一管理。</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12.可实现学生签到、电子点名功能。</w:t>
            </w:r>
          </w:p>
          <w:p>
            <w:pPr>
              <w:widowControl/>
              <w:ind w:firstLine="440" w:firstLineChars="200"/>
              <w:jc w:val="left"/>
              <w:textAlignment w:val="center"/>
              <w:rPr>
                <w:rFonts w:hint="eastAsia" w:ascii="宋体" w:hAnsi="宋体"/>
                <w:bCs/>
                <w:sz w:val="22"/>
                <w:szCs w:val="22"/>
              </w:rPr>
            </w:pPr>
            <w:r>
              <w:rPr>
                <w:rFonts w:hint="eastAsia" w:ascii="宋体" w:hAnsi="宋体" w:cs="宋体"/>
                <w:color w:val="000000"/>
                <w:kern w:val="0"/>
                <w:sz w:val="22"/>
                <w:szCs w:val="22"/>
                <w:lang w:bidi="ar"/>
              </w:rPr>
              <w:t>13.可实现远程开关机、远程命令、远程设置、远程登录功能。</w:t>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60</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4</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耳机</w:t>
            </w:r>
          </w:p>
        </w:tc>
        <w:tc>
          <w:tcPr>
            <w:tcW w:w="6062" w:type="dxa"/>
            <w:noWrap w:val="0"/>
            <w:vAlign w:val="center"/>
          </w:tcPr>
          <w:p>
            <w:pPr>
              <w:widowControl/>
              <w:ind w:left="437" w:leftChars="208"/>
              <w:jc w:val="left"/>
              <w:textAlignment w:val="center"/>
              <w:rPr>
                <w:rFonts w:hint="eastAsia" w:ascii="宋体" w:hAnsi="宋体" w:cs="宋体"/>
                <w:bCs/>
                <w:color w:val="000000"/>
                <w:sz w:val="22"/>
                <w:szCs w:val="22"/>
              </w:rPr>
            </w:pPr>
            <w:r>
              <w:rPr>
                <w:rFonts w:hint="eastAsia" w:ascii="宋体" w:hAnsi="宋体" w:cs="宋体"/>
                <w:color w:val="000000"/>
                <w:kern w:val="0"/>
                <w:sz w:val="22"/>
                <w:szCs w:val="22"/>
                <w:lang w:bidi="ar"/>
              </w:rPr>
              <w:t>1.头戴式有线耳机，双3.5mm接口 ；                                  2.外观时尚大方，工体工学设计，佩戴舒适；                                     3.耳壳集成高灵敏度麦克风，保持高质量通话；                                  4.单边线设计，避免缠绕；                                                 5.独特的耳壳音量调节旋纽设计，使用便利</w:t>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60</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5</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交换机</w:t>
            </w:r>
          </w:p>
        </w:tc>
        <w:tc>
          <w:tcPr>
            <w:tcW w:w="6062" w:type="dxa"/>
            <w:noWrap w:val="0"/>
            <w:vAlign w:val="center"/>
          </w:tcPr>
          <w:p>
            <w:pPr>
              <w:widowControl/>
              <w:numPr>
                <w:ilvl w:val="0"/>
                <w:numId w:val="1"/>
              </w:numPr>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支持固化千兆电口≥48个，固化万兆光口≥4个，标准1U设备；</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2.交换容量≥336Gbps，包转发率≥132Mpps；</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3.支持 MAC地址容量≥16K；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4.支持生成树 STP / RSTP ; 提高容错能力，保证网络的稳定运行和链路的负载均衡，合理使用网络通道，提供冗余链路利用率；</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5.支持端口镜像，一对一镜像，多对一镜像；</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6.支持支持DHCP Snooping；很好的避免了上网终端从非法DHCP服务器分配的IP地址，引起的网络异常或安全隐患；</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7.支持VLAN划分，最大支持4094个VLAN；</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8.支持高效节能以太网（EEE），端口如果在连续一段时间之内空闲，系统会将该端口设置为节能模式，当有报文收发时再通过定时发送的监听码流唤醒端口恢复业务，达到节能的效果；</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9.支持防雷等级≥6KV；</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10.支持QOS，支持端口流量限速；</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11.支持多种管理方式，中文WEB界面；</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12.支持标准的ACL、支持基于IP/MAC扩展的ACL；</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13.支持专门基础网络保护机制，增强设备防攻击能力，即使在受到攻击的情况下，也能保护系统各种服务的正常运行，保持较低的CPU负载，从而保障整个网络的稳定运行；</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14.为了可以对交换机进行统一的可视化集中管理，要求所投交换机支持管理平台的集中管理，能够实现拓扑呈现，链路状态呈现，远程配置等，实配网管平台；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15.要求所投交换机可以通过同一品牌的网管软件或手机APP实现CPU，内存利用率的查看，以及交换机VLAN划分等功能，实配网管平台，提供功能截图，提供软件产品登记测试报告，保留测试权力；</w:t>
            </w:r>
          </w:p>
          <w:p>
            <w:pPr>
              <w:widowControl/>
              <w:ind w:firstLine="440" w:firstLineChars="200"/>
              <w:jc w:val="left"/>
              <w:textAlignment w:val="center"/>
              <w:rPr>
                <w:rFonts w:hint="eastAsia" w:ascii="宋体" w:hAnsi="宋体" w:cs="宋体"/>
                <w:b/>
                <w:color w:val="000000"/>
                <w:kern w:val="0"/>
                <w:sz w:val="22"/>
                <w:szCs w:val="22"/>
                <w:lang w:bidi="ar"/>
              </w:rPr>
            </w:pPr>
            <w:r>
              <w:rPr>
                <w:rFonts w:hint="eastAsia" w:ascii="宋体" w:hAnsi="宋体" w:cs="宋体"/>
                <w:color w:val="000000"/>
                <w:kern w:val="0"/>
                <w:sz w:val="22"/>
                <w:szCs w:val="22"/>
                <w:lang w:bidi="ar"/>
              </w:rPr>
              <w:t>16.为方便新建项目开局，要求设备支持对全网同品牌设备进行统一的发现，并通过网关对交换、AP、AC进行集中化的调试，避免各区域分别调试的麻烦。提供设备配置截图作为证明，如需要依赖于外部软件实现，需免费提供软件，并提供相应软件配置截图作为证明，加盖投标专用章，保留测试权力；</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w:t>
            </w:r>
            <w:r>
              <w:rPr>
                <w:rFonts w:hint="eastAsia" w:ascii="宋体" w:hAnsi="宋体" w:cs="宋体"/>
                <w:b/>
                <w:color w:val="000000"/>
                <w:kern w:val="0"/>
                <w:sz w:val="22"/>
                <w:szCs w:val="22"/>
                <w:lang w:bidi="ar"/>
              </w:rPr>
              <w:t xml:space="preserve">17.提供电信设备进网许可证证书复印件；    </w:t>
            </w:r>
          </w:p>
          <w:p>
            <w:pPr>
              <w:widowControl/>
              <w:ind w:firstLine="442" w:firstLineChars="200"/>
              <w:jc w:val="left"/>
              <w:textAlignment w:val="center"/>
              <w:rPr>
                <w:rFonts w:hint="eastAsia" w:ascii="宋体" w:hAnsi="宋体" w:cs="宋体"/>
                <w:color w:val="000000"/>
                <w:kern w:val="0"/>
                <w:sz w:val="22"/>
                <w:szCs w:val="22"/>
                <w:lang w:bidi="ar"/>
              </w:rPr>
            </w:pPr>
            <w:r>
              <w:rPr>
                <w:rFonts w:hint="eastAsia" w:ascii="宋体" w:hAnsi="宋体" w:cs="宋体"/>
                <w:b/>
                <w:color w:val="000000"/>
                <w:kern w:val="0"/>
                <w:sz w:val="22"/>
                <w:szCs w:val="22"/>
                <w:lang w:bidi="ar"/>
              </w:rPr>
              <w:t>18.提供国家强制认证CCC认证书复印件；</w:t>
            </w:r>
            <w:r>
              <w:rPr>
                <w:rFonts w:hint="eastAsia" w:ascii="宋体" w:hAnsi="宋体" w:cs="宋体"/>
                <w:color w:val="000000"/>
                <w:kern w:val="0"/>
                <w:sz w:val="22"/>
                <w:szCs w:val="22"/>
                <w:lang w:bidi="ar"/>
              </w:rPr>
              <w:t xml:space="preserve">    </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19.工作温度范围-0ºC ~ 50ºC。</w:t>
            </w:r>
          </w:p>
          <w:p>
            <w:pPr>
              <w:widowControl/>
              <w:ind w:firstLine="442" w:firstLineChars="200"/>
              <w:rPr>
                <w:rFonts w:hint="eastAsia"/>
                <w:lang w:bidi="ar"/>
              </w:rPr>
            </w:pPr>
            <w:r>
              <w:rPr>
                <w:rFonts w:hint="eastAsia" w:ascii="宋体" w:hAnsi="宋体" w:cs="宋体"/>
                <w:b/>
                <w:color w:val="000000"/>
                <w:sz w:val="22"/>
              </w:rPr>
              <w:t>推荐品牌：</w:t>
            </w:r>
            <w:r>
              <w:rPr>
                <w:rFonts w:hint="eastAsia" w:ascii="宋体" w:hAnsi="宋体" w:cs="宋体"/>
                <w:color w:val="000000"/>
                <w:sz w:val="22"/>
              </w:rPr>
              <w:t>华为 华三 锐捷</w:t>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2</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6</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屏风电脑桌</w:t>
            </w:r>
          </w:p>
        </w:tc>
        <w:tc>
          <w:tcPr>
            <w:tcW w:w="6062" w:type="dxa"/>
            <w:noWrap w:val="0"/>
            <w:vAlign w:val="center"/>
          </w:tcPr>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1.规格100CM×60CM×110CM；屏风厚度：40mm。</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 xml:space="preserve">2、框架：采用挤压拉伸成型塑钢，受力主架壁厚≥1.5mm，其余框架壁厚≥1.2mm，局部加强壁厚2.5MM，铝材喷涂采用当前先进全自动喷涂设备，静电粉末喷涂，高温固化，喷涂效果达到国家玩具类产品表面效果，粉末质量符合国家安全标准。表面涂层均匀顺滑，保证表面没有颗粒和橘皮现状，表面采用氧化工艺处理。                                                                                              </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3、基材：采用优质环保刨花板，甲醛释放量≤0.124mg/m³。达到国家环保标准，并经过防虫、防腐等化学处理，符合国际E1级标准。</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 xml:space="preserve">4、面材：采用三聚氰胺饰面板，需符合GB/T15102-2006浸渍胶膜纸饰面人造板标准要求。其中甲醛释放量≤0.05mg/m³，符合国际E1级标准。                                       </w:t>
            </w:r>
          </w:p>
          <w:p>
            <w:pPr>
              <w:widowControl/>
              <w:ind w:firstLine="440" w:firstLineChars="200"/>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5、胶水：环保热熔胶，符合国际E1级环保标准。</w:t>
            </w:r>
          </w:p>
          <w:p>
            <w:pPr>
              <w:widowControl/>
              <w:ind w:firstLine="440" w:firstLineChars="200"/>
              <w:jc w:val="left"/>
              <w:textAlignment w:val="center"/>
              <w:rPr>
                <w:rFonts w:hint="eastAsia" w:ascii="宋体" w:hAnsi="宋体"/>
                <w:bCs/>
                <w:sz w:val="22"/>
                <w:szCs w:val="22"/>
              </w:rPr>
            </w:pPr>
            <w:r>
              <w:rPr>
                <w:rFonts w:hint="eastAsia" w:ascii="宋体" w:hAnsi="宋体" w:cs="宋体"/>
                <w:color w:val="000000"/>
                <w:kern w:val="0"/>
                <w:sz w:val="22"/>
                <w:szCs w:val="22"/>
                <w:lang w:bidi="ar"/>
              </w:rPr>
              <w:t xml:space="preserve">6、采用五金连接件，永不生锈腐蚀，拼装紧凑牢固。所有五金配件做防锈、防腐处理。         </w:t>
            </w:r>
            <w:r>
              <w:rPr>
                <w:sz w:val="22"/>
                <w:szCs w:val="22"/>
              </w:rPr>
              <w:drawing>
                <wp:inline distT="0" distB="0" distL="114300" distR="114300">
                  <wp:extent cx="2625090" cy="207645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25090" cy="2076450"/>
                          </a:xfrm>
                          <a:prstGeom prst="rect">
                            <a:avLst/>
                          </a:prstGeom>
                          <a:noFill/>
                          <a:ln>
                            <a:noFill/>
                          </a:ln>
                        </pic:spPr>
                      </pic:pic>
                    </a:graphicData>
                  </a:graphic>
                </wp:inline>
              </w:drawing>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60</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7</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学生椅</w:t>
            </w:r>
          </w:p>
        </w:tc>
        <w:tc>
          <w:tcPr>
            <w:tcW w:w="6062" w:type="dxa"/>
            <w:noWrap w:val="0"/>
            <w:vAlign w:val="center"/>
          </w:tcPr>
          <w:p>
            <w:pPr>
              <w:widowControl/>
              <w:ind w:firstLine="440" w:firstLineChars="200"/>
              <w:jc w:val="left"/>
              <w:textAlignment w:val="center"/>
              <w:rPr>
                <w:rFonts w:hint="eastAsia"/>
                <w:sz w:val="22"/>
                <w:szCs w:val="22"/>
              </w:rPr>
            </w:pPr>
            <w:r>
              <w:rPr>
                <w:rFonts w:hint="eastAsia"/>
                <w:sz w:val="22"/>
                <w:szCs w:val="22"/>
              </w:rPr>
              <w:t>背高≥89CM,椅宽≥48CM，坐深≥51CM,坐高≥47CM 弧形仿生背框，桐架厚度≥2.0MM；加宽靠背，靠背可以活动摇摆，人坐着更加舒适，坐垫采用高密度定型海绵，透气网布，加厚钢架结实牢固，脚垫防滑耐磨。</w:t>
            </w:r>
          </w:p>
          <w:p>
            <w:pPr>
              <w:pStyle w:val="3"/>
              <w:ind w:left="0" w:leftChars="0"/>
              <w:jc w:val="center"/>
              <w:rPr>
                <w:rFonts w:hint="eastAsia"/>
                <w:sz w:val="22"/>
                <w:szCs w:val="22"/>
              </w:rPr>
            </w:pPr>
            <w:r>
              <w:rPr>
                <w:sz w:val="22"/>
                <w:szCs w:val="22"/>
              </w:rPr>
              <w:drawing>
                <wp:inline distT="0" distB="0" distL="114300" distR="114300">
                  <wp:extent cx="835660" cy="1114425"/>
                  <wp:effectExtent l="0" t="0" r="254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835660" cy="1114425"/>
                          </a:xfrm>
                          <a:prstGeom prst="rect">
                            <a:avLst/>
                          </a:prstGeom>
                          <a:noFill/>
                          <a:ln w="1">
                            <a:noFill/>
                          </a:ln>
                        </pic:spPr>
                      </pic:pic>
                    </a:graphicData>
                  </a:graphic>
                </wp:inline>
              </w:drawing>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60</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8</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机柜</w:t>
            </w:r>
          </w:p>
        </w:tc>
        <w:tc>
          <w:tcPr>
            <w:tcW w:w="6062" w:type="dxa"/>
            <w:noWrap w:val="0"/>
            <w:vAlign w:val="center"/>
          </w:tcPr>
          <w:p>
            <w:pPr>
              <w:widowControl/>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优质冷轧钢板，拼装式机柜框架，前门是 5mm3C 认证透明钢化玻璃门，后门是钢质平板门，机柜侧板两快侧板可拆卸，厚度（MM）：19 英寸角规 2.0 600 深侧门 1.0 其他 1.2，负载：动态≤600，静态≤800；19 英寸角规，表面脱脂，磷化、静电喷塑处理；最大开启角度&gt;180 度；防护等级 IP20</w:t>
            </w:r>
          </w:p>
          <w:p>
            <w:pPr>
              <w:pStyle w:val="2"/>
              <w:spacing w:line="240" w:lineRule="auto"/>
              <w:ind w:firstLine="442"/>
              <w:rPr>
                <w:rFonts w:hint="eastAsia" w:ascii="Times New Roman" w:hAnsi="Times New Roman" w:cs="Times New Roman"/>
              </w:rPr>
            </w:pPr>
            <w:r>
              <w:rPr>
                <w:rFonts w:hint="eastAsia" w:ascii="宋体" w:hAnsi="宋体" w:cs="宋体"/>
                <w:b/>
                <w:color w:val="000000"/>
                <w:sz w:val="22"/>
              </w:rPr>
              <w:t>推荐品牌：</w:t>
            </w:r>
            <w:r>
              <w:rPr>
                <w:rFonts w:hint="eastAsia" w:ascii="宋体" w:hAnsi="宋体" w:cs="宋体"/>
                <w:color w:val="000000"/>
                <w:sz w:val="22"/>
              </w:rPr>
              <w:t>一舟 图腾 华三</w:t>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1</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jc w:val="center"/>
              <w:textAlignment w:val="center"/>
              <w:rPr>
                <w:rFonts w:ascii="宋体" w:hAnsi="宋体" w:cs="宋体"/>
                <w:bCs/>
                <w:kern w:val="0"/>
                <w:sz w:val="22"/>
                <w:szCs w:val="22"/>
              </w:rPr>
            </w:pPr>
            <w:r>
              <w:rPr>
                <w:rFonts w:hint="eastAsia" w:ascii="宋体" w:hAnsi="宋体" w:cs="宋体"/>
                <w:color w:val="000000"/>
                <w:kern w:val="0"/>
                <w:sz w:val="22"/>
                <w:szCs w:val="22"/>
                <w:lang w:bidi="ar"/>
              </w:rPr>
              <w:t>9</w:t>
            </w:r>
          </w:p>
        </w:tc>
        <w:tc>
          <w:tcPr>
            <w:tcW w:w="1014" w:type="dxa"/>
            <w:noWrap w:val="0"/>
            <w:vAlign w:val="center"/>
          </w:tcPr>
          <w:p>
            <w:pPr>
              <w:widowControl/>
              <w:jc w:val="center"/>
              <w:textAlignment w:val="center"/>
              <w:rPr>
                <w:rFonts w:hint="eastAsia" w:ascii="宋体" w:hAnsi="宋体"/>
                <w:bCs/>
                <w:kern w:val="0"/>
                <w:sz w:val="22"/>
                <w:szCs w:val="22"/>
              </w:rPr>
            </w:pPr>
            <w:r>
              <w:rPr>
                <w:rFonts w:hint="eastAsia" w:ascii="宋体" w:hAnsi="宋体" w:cs="宋体"/>
                <w:color w:val="000000"/>
                <w:kern w:val="0"/>
                <w:sz w:val="22"/>
                <w:szCs w:val="22"/>
                <w:lang w:bidi="ar"/>
              </w:rPr>
              <w:t>综合  布线</w:t>
            </w:r>
          </w:p>
        </w:tc>
        <w:tc>
          <w:tcPr>
            <w:tcW w:w="6062" w:type="dxa"/>
            <w:noWrap w:val="0"/>
            <w:vAlign w:val="center"/>
          </w:tcPr>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强弱电安装整合及辅材。电源线选用≥4 平方铜芯品牌电线，3 种颜色，约 200 米（4 路供电），总长度以现场勘探为准；</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PVC 管约 60 米，总长度以现场勘探为准；</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插座选用 6 孔 3 眼电源插线板，不少于 70个，两台电脑共同一个插座；</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网线两端要有标记，网线规格为六类网线，具体长度以现场勘探为准；</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水晶头六类千兆 RJ45，具体数量以现场勘探为准。</w:t>
            </w:r>
          </w:p>
          <w:p>
            <w:pPr>
              <w:widowControl/>
              <w:spacing w:line="320" w:lineRule="exact"/>
              <w:ind w:firstLine="442" w:firstLineChars="200"/>
              <w:jc w:val="left"/>
              <w:textAlignment w:val="center"/>
              <w:rPr>
                <w:rFonts w:hint="eastAsia" w:ascii="宋体" w:hAnsi="宋体" w:cs="宋体"/>
                <w:b/>
                <w:bCs/>
                <w:color w:val="000000"/>
                <w:sz w:val="22"/>
                <w:szCs w:val="22"/>
              </w:rPr>
            </w:pPr>
            <w:r>
              <w:rPr>
                <w:rFonts w:hint="eastAsia" w:ascii="宋体" w:hAnsi="宋体" w:cs="宋体"/>
                <w:b/>
                <w:bCs/>
                <w:color w:val="000000"/>
                <w:sz w:val="22"/>
                <w:szCs w:val="22"/>
              </w:rPr>
              <w:t>推荐品牌：</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电源线：海康、帖田、爱普华顿</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网线：一舟、普天、东强</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管材：中财、公园、日丰</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水晶头：一舟、普天、东强</w:t>
            </w:r>
          </w:p>
          <w:p>
            <w:pPr>
              <w:widowControl/>
              <w:spacing w:line="320" w:lineRule="exact"/>
              <w:ind w:firstLine="440" w:firstLineChars="200"/>
              <w:jc w:val="left"/>
              <w:textAlignment w:val="center"/>
              <w:rPr>
                <w:rFonts w:hint="eastAsia" w:ascii="宋体" w:hAnsi="宋体" w:cs="宋体"/>
                <w:bCs/>
                <w:color w:val="000000"/>
                <w:sz w:val="22"/>
                <w:szCs w:val="22"/>
              </w:rPr>
            </w:pPr>
            <w:r>
              <w:rPr>
                <w:rFonts w:hint="eastAsia" w:ascii="宋体" w:hAnsi="宋体" w:cs="宋体"/>
                <w:bCs/>
                <w:color w:val="000000"/>
                <w:sz w:val="22"/>
                <w:szCs w:val="22"/>
              </w:rPr>
              <w:t>插座：公牛、子弹头、得力</w:t>
            </w:r>
          </w:p>
        </w:tc>
        <w:tc>
          <w:tcPr>
            <w:tcW w:w="673"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1</w:t>
            </w:r>
          </w:p>
        </w:tc>
        <w:tc>
          <w:tcPr>
            <w:tcW w:w="709" w:type="dxa"/>
            <w:noWrap w:val="0"/>
            <w:vAlign w:val="center"/>
          </w:tcPr>
          <w:p>
            <w:pPr>
              <w:widowControl/>
              <w:jc w:val="center"/>
              <w:textAlignment w:val="center"/>
              <w:rPr>
                <w:rFonts w:hint="eastAsia" w:ascii="宋体" w:hAnsi="宋体" w:cs="宋体"/>
                <w:bCs/>
                <w:kern w:val="0"/>
                <w:sz w:val="24"/>
              </w:rPr>
            </w:pPr>
            <w:r>
              <w:rPr>
                <w:rFonts w:hint="eastAsia" w:ascii="宋体" w:hAnsi="宋体" w:cs="宋体"/>
                <w:color w:val="000000"/>
                <w:kern w:val="0"/>
                <w:sz w:val="22"/>
                <w:szCs w:val="22"/>
                <w:lang w:bidi="ar"/>
              </w:rPr>
              <w:t>批</w:t>
            </w:r>
          </w:p>
        </w:tc>
      </w:tr>
      <w:bookmarkEnd w:id="0"/>
      <w:bookmarkEnd w:id="1"/>
      <w:bookmarkEnd w:id="2"/>
    </w:tbl>
    <w:p>
      <w:pPr>
        <w:spacing w:line="500" w:lineRule="exact"/>
        <w:ind w:firstLine="482" w:firstLineChars="200"/>
        <w:rPr>
          <w:rFonts w:hint="eastAsia" w:ascii="宋体" w:hAnsi="宋体" w:cs="宋体"/>
          <w:b/>
          <w:sz w:val="24"/>
          <w:szCs w:val="21"/>
        </w:rPr>
      </w:pPr>
      <w:r>
        <w:rPr>
          <w:rFonts w:hint="eastAsia" w:ascii="宋体" w:hAnsi="宋体" w:cs="宋体"/>
          <w:b/>
          <w:sz w:val="24"/>
          <w:szCs w:val="21"/>
        </w:rPr>
        <w:t>三、质量和服务要求：</w:t>
      </w:r>
    </w:p>
    <w:p>
      <w:pPr>
        <w:spacing w:line="500" w:lineRule="exact"/>
        <w:ind w:firstLine="480" w:firstLineChars="200"/>
        <w:jc w:val="left"/>
        <w:rPr>
          <w:rFonts w:hint="eastAsia" w:ascii="宋体" w:hAnsi="宋体" w:cs="宋体"/>
          <w:bCs/>
          <w:sz w:val="24"/>
          <w:szCs w:val="21"/>
        </w:rPr>
      </w:pPr>
      <w:r>
        <w:rPr>
          <w:rFonts w:hint="eastAsia" w:ascii="宋体" w:hAnsi="宋体" w:cs="宋体"/>
          <w:bCs/>
          <w:sz w:val="24"/>
          <w:szCs w:val="21"/>
        </w:rPr>
        <w:t>1、所供产品必须符合国家标准，设备和配件为全新原装，功能符合使用要求，保证为正规渠道供货的正宗原厂产品。须提供良好的售后服务，终身提供技术支持。</w:t>
      </w:r>
    </w:p>
    <w:p>
      <w:pPr>
        <w:spacing w:line="500" w:lineRule="exact"/>
        <w:ind w:firstLine="480" w:firstLineChars="200"/>
        <w:jc w:val="left"/>
        <w:rPr>
          <w:rFonts w:hint="eastAsia" w:ascii="宋体" w:hAnsi="宋体" w:cs="宋体"/>
          <w:bCs/>
          <w:sz w:val="24"/>
          <w:szCs w:val="21"/>
        </w:rPr>
      </w:pPr>
      <w:r>
        <w:rPr>
          <w:rFonts w:hint="eastAsia" w:ascii="宋体" w:hAnsi="宋体" w:cs="宋体"/>
          <w:bCs/>
          <w:sz w:val="24"/>
          <w:szCs w:val="21"/>
        </w:rPr>
        <w:t>采购人可以根据实际需要，适当调整采购数量，按实际数量与成交单价调整合同金额。</w:t>
      </w:r>
    </w:p>
    <w:p>
      <w:pPr>
        <w:spacing w:line="500" w:lineRule="exact"/>
        <w:ind w:firstLine="482" w:firstLineChars="200"/>
        <w:rPr>
          <w:rFonts w:hint="eastAsia" w:ascii="宋体" w:hAnsi="宋体" w:cs="宋体"/>
          <w:b/>
          <w:bCs/>
          <w:sz w:val="24"/>
          <w:szCs w:val="21"/>
        </w:rPr>
      </w:pPr>
      <w:r>
        <w:rPr>
          <w:rFonts w:hint="eastAsia" w:ascii="宋体" w:hAnsi="宋体" w:cs="宋体"/>
          <w:b/>
          <w:bCs/>
          <w:sz w:val="24"/>
          <w:szCs w:val="21"/>
        </w:rPr>
        <w:t>2、供货方式、时间及地点要求：</w:t>
      </w:r>
    </w:p>
    <w:p>
      <w:pPr>
        <w:spacing w:line="500" w:lineRule="exact"/>
        <w:ind w:firstLine="480" w:firstLineChars="200"/>
        <w:jc w:val="left"/>
        <w:rPr>
          <w:rFonts w:hint="eastAsia" w:ascii="宋体" w:hAnsi="宋体" w:cs="宋体"/>
          <w:bCs/>
          <w:sz w:val="24"/>
          <w:szCs w:val="21"/>
        </w:rPr>
      </w:pPr>
      <w:r>
        <w:rPr>
          <w:rFonts w:hint="eastAsia" w:ascii="宋体" w:hAnsi="宋体" w:cs="宋体"/>
          <w:bCs/>
          <w:sz w:val="24"/>
          <w:szCs w:val="21"/>
        </w:rPr>
        <w:t>合同签订后30天内设备运抵江苏医药职业学院校内指定地点，在接到采购方安装通知后，供货方应在15天内完成设备的安装及调试。</w:t>
      </w:r>
    </w:p>
    <w:p>
      <w:pPr>
        <w:spacing w:line="500" w:lineRule="exact"/>
        <w:ind w:firstLine="482" w:firstLineChars="200"/>
        <w:rPr>
          <w:rFonts w:hint="eastAsia" w:ascii="宋体" w:hAnsi="宋体" w:cs="宋体"/>
          <w:b/>
          <w:bCs/>
          <w:sz w:val="24"/>
          <w:szCs w:val="21"/>
        </w:rPr>
      </w:pPr>
      <w:r>
        <w:rPr>
          <w:rFonts w:hint="eastAsia" w:ascii="宋体" w:hAnsi="宋体" w:cs="宋体"/>
          <w:b/>
          <w:bCs/>
          <w:sz w:val="24"/>
          <w:szCs w:val="21"/>
        </w:rPr>
        <w:t>3、质保期及服务要求：</w:t>
      </w:r>
    </w:p>
    <w:p>
      <w:pPr>
        <w:spacing w:line="500" w:lineRule="exact"/>
        <w:ind w:firstLine="480" w:firstLineChars="200"/>
        <w:rPr>
          <w:rFonts w:hint="eastAsia" w:ascii="宋体" w:hAnsi="宋体" w:cs="宋体"/>
          <w:bCs/>
          <w:sz w:val="24"/>
          <w:szCs w:val="21"/>
        </w:rPr>
      </w:pPr>
      <w:r>
        <w:rPr>
          <w:rFonts w:hint="eastAsia" w:ascii="宋体" w:hAnsi="宋体" w:cs="宋体"/>
          <w:bCs/>
          <w:sz w:val="24"/>
          <w:szCs w:val="21"/>
        </w:rPr>
        <w:t>（1）培训及售后服务：现场完成安装、调试之后，由中标方工程师提供免费操作培训。培训内容主要包括设备原理、基本操作要领、设备简易故障排除和维护保养知识等，直至用户熟练操作。</w:t>
      </w:r>
    </w:p>
    <w:p>
      <w:pPr>
        <w:spacing w:line="500" w:lineRule="exact"/>
        <w:ind w:firstLine="480" w:firstLineChars="200"/>
        <w:rPr>
          <w:rFonts w:hint="eastAsia" w:ascii="宋体" w:hAnsi="宋体" w:cs="宋体"/>
          <w:bCs/>
          <w:sz w:val="24"/>
          <w:szCs w:val="21"/>
        </w:rPr>
      </w:pPr>
      <w:r>
        <w:rPr>
          <w:rFonts w:hint="eastAsia" w:ascii="宋体" w:hAnsi="宋体" w:cs="宋体"/>
          <w:bCs/>
          <w:sz w:val="24"/>
          <w:szCs w:val="21"/>
        </w:rPr>
        <w:t>（2）须提供售后服务团队人员名单清单和联系方式。</w:t>
      </w:r>
    </w:p>
    <w:p>
      <w:pPr>
        <w:spacing w:line="500" w:lineRule="exact"/>
        <w:ind w:firstLine="480" w:firstLineChars="200"/>
        <w:rPr>
          <w:rFonts w:hint="eastAsia" w:ascii="宋体" w:hAnsi="宋体" w:cs="宋体"/>
          <w:bCs/>
          <w:sz w:val="24"/>
          <w:szCs w:val="21"/>
        </w:rPr>
      </w:pPr>
      <w:r>
        <w:rPr>
          <w:rFonts w:hint="eastAsia" w:ascii="宋体" w:hAnsi="宋体" w:cs="宋体"/>
          <w:bCs/>
          <w:sz w:val="24"/>
          <w:szCs w:val="21"/>
        </w:rPr>
        <w:t>（3）质保期：提供至少3年的免费质保期，自验收合格之日起计算。在质保期内，若仪器设备因质量或设备本身问题出现故障，由中标方进行免费更换。对于采购方的服务通知，中标方必须在接到通知后4小时内予以响应，若有必要，中标方工程师必须8小时内到达现场，48小时内处理完毕。若在48小时内未能有效解决，中标方须免费提供同档次的设备予采购方临时使用。</w:t>
      </w:r>
    </w:p>
    <w:p>
      <w:pPr>
        <w:spacing w:line="500" w:lineRule="exact"/>
        <w:ind w:firstLine="480" w:firstLineChars="200"/>
        <w:rPr>
          <w:rFonts w:hint="eastAsia" w:ascii="宋体" w:hAnsi="宋体" w:cs="宋体"/>
          <w:bCs/>
          <w:sz w:val="24"/>
          <w:szCs w:val="21"/>
        </w:rPr>
      </w:pPr>
      <w:r>
        <w:rPr>
          <w:rFonts w:hint="eastAsia" w:ascii="宋体" w:hAnsi="宋体" w:cs="宋体"/>
          <w:bCs/>
          <w:sz w:val="24"/>
          <w:szCs w:val="21"/>
        </w:rPr>
        <w:t>质保期外，服务响应时间与质保期内一致，同时备品备件以合理优惠价格供应。</w:t>
      </w:r>
    </w:p>
    <w:p>
      <w:pPr>
        <w:spacing w:line="500" w:lineRule="exact"/>
        <w:ind w:firstLine="482" w:firstLineChars="200"/>
        <w:rPr>
          <w:rFonts w:hint="eastAsia" w:ascii="宋体" w:hAnsi="宋体" w:cs="宋体"/>
          <w:b/>
          <w:bCs/>
          <w:sz w:val="24"/>
          <w:szCs w:val="21"/>
        </w:rPr>
      </w:pPr>
      <w:r>
        <w:rPr>
          <w:rFonts w:hint="eastAsia" w:ascii="宋体" w:hAnsi="宋体" w:cs="宋体"/>
          <w:b/>
          <w:bCs/>
          <w:sz w:val="24"/>
          <w:szCs w:val="21"/>
        </w:rPr>
        <w:t>4、验收方法及验收标准：</w:t>
      </w:r>
    </w:p>
    <w:p>
      <w:pPr>
        <w:spacing w:line="500" w:lineRule="exact"/>
        <w:ind w:firstLine="480" w:firstLineChars="200"/>
        <w:rPr>
          <w:rFonts w:hint="eastAsia" w:ascii="宋体" w:hAnsi="宋体" w:cs="宋体"/>
          <w:bCs/>
          <w:sz w:val="24"/>
          <w:szCs w:val="21"/>
        </w:rPr>
      </w:pPr>
      <w:r>
        <w:rPr>
          <w:rFonts w:hint="eastAsia" w:ascii="宋体" w:hAnsi="宋体" w:cs="宋体"/>
          <w:bCs/>
          <w:sz w:val="24"/>
          <w:szCs w:val="21"/>
        </w:rPr>
        <w:t>货物发运前，必须对设备的质量、规格、性能等方面的技术数据进行综合检验，需随设备提供检验合格证书和原产地证明书。在验收并提交成果前，项目所涉及有关安全措施的，均由中标供应商负责。设备现场安装、调试结束后，中标方和采购方相关人员按验收标准进行验收。验收标准为招标文件、投标文件、合同中的相关技术及服务条款内容。</w:t>
      </w:r>
    </w:p>
    <w:p>
      <w:pPr>
        <w:spacing w:line="500" w:lineRule="exact"/>
        <w:ind w:firstLine="482" w:firstLineChars="200"/>
        <w:rPr>
          <w:rFonts w:hint="eastAsia" w:ascii="宋体" w:hAnsi="宋体" w:cs="宋体"/>
          <w:b/>
          <w:bCs/>
          <w:sz w:val="24"/>
          <w:szCs w:val="21"/>
        </w:rPr>
      </w:pPr>
      <w:r>
        <w:rPr>
          <w:rFonts w:hint="eastAsia" w:ascii="宋体" w:hAnsi="宋体" w:cs="宋体"/>
          <w:b/>
          <w:bCs/>
          <w:sz w:val="24"/>
          <w:szCs w:val="21"/>
        </w:rPr>
        <w:t>5、现场踏勘及技术咨询：</w:t>
      </w:r>
    </w:p>
    <w:p>
      <w:pPr>
        <w:spacing w:line="360" w:lineRule="auto"/>
        <w:ind w:firstLine="480" w:firstLineChars="200"/>
        <w:rPr>
          <w:rFonts w:hint="eastAsia" w:ascii="宋体" w:hAnsi="宋体" w:cs="宋体"/>
          <w:bCs/>
          <w:sz w:val="24"/>
          <w:szCs w:val="21"/>
        </w:rPr>
      </w:pPr>
      <w:r>
        <w:rPr>
          <w:rFonts w:hint="eastAsia" w:ascii="宋体" w:hAnsi="宋体" w:cs="宋体"/>
          <w:bCs/>
          <w:sz w:val="24"/>
          <w:szCs w:val="21"/>
        </w:rPr>
        <w:t>本项目招标人不组织集体勘查现场，为减少相关误差，如投标人需要进行现场踏勘的，请自行联系、组织实施。投标人对考察中获取的现场资料自行负责，无论是否踏勘过现场，均被认为已经对现场做过充分详实了解，并在响应文件中已充分考虑了现场和环境因素，责任和风险自行承担。踏勘现场所发生的费用由投标人自行承担，投标人自行负责在踏勘现场中所发生的人员伤亡和财产损失。</w:t>
      </w:r>
    </w:p>
    <w:p>
      <w:pPr>
        <w:spacing w:line="360" w:lineRule="auto"/>
        <w:ind w:firstLine="480" w:firstLineChars="200"/>
        <w:rPr>
          <w:rFonts w:hint="eastAsia" w:ascii="宋体" w:hAnsi="宋体" w:cs="宋体"/>
          <w:bCs/>
          <w:sz w:val="24"/>
          <w:szCs w:val="21"/>
        </w:rPr>
      </w:pPr>
      <w:r>
        <w:rPr>
          <w:rFonts w:hint="eastAsia" w:ascii="宋体" w:hAnsi="宋体" w:cs="宋体"/>
          <w:bCs/>
          <w:sz w:val="24"/>
          <w:szCs w:val="21"/>
        </w:rPr>
        <w:t>因本项目处于疫情防控期间，按照防疫要求需登记相关信息，踏勘现场人员（仅限1人）须从位于盐城市解放南路283号，江苏医药职业学院南门进入，进门前请投标人配戴口罩，通过手机出示“健康码”、“行程码”、48小时核酸阴性证明，接受体温检测。</w:t>
      </w:r>
    </w:p>
    <w:p>
      <w:pPr>
        <w:spacing w:line="360" w:lineRule="auto"/>
        <w:ind w:firstLine="480" w:firstLineChars="200"/>
        <w:rPr>
          <w:rFonts w:hint="eastAsia" w:ascii="宋体" w:hAnsi="宋体" w:cs="宋体"/>
          <w:bCs/>
          <w:sz w:val="24"/>
          <w:szCs w:val="21"/>
        </w:rPr>
      </w:pPr>
      <w:r>
        <w:rPr>
          <w:rFonts w:hint="eastAsia" w:ascii="宋体" w:hAnsi="宋体" w:cs="宋体"/>
          <w:bCs/>
          <w:sz w:val="24"/>
          <w:szCs w:val="21"/>
        </w:rPr>
        <w:t>技术咨询及现场踏勘联系人：宋老师，联系方式： 15862080164</w:t>
      </w:r>
    </w:p>
    <w:p>
      <w:pPr>
        <w:spacing w:line="500" w:lineRule="exact"/>
        <w:ind w:firstLine="482" w:firstLineChars="200"/>
        <w:rPr>
          <w:rFonts w:hint="eastAsia" w:ascii="宋体" w:hAnsi="宋体" w:cs="宋体"/>
          <w:b/>
          <w:sz w:val="24"/>
        </w:rPr>
      </w:pPr>
      <w:r>
        <w:rPr>
          <w:rFonts w:hint="eastAsia" w:ascii="宋体" w:hAnsi="宋体" w:cs="宋体"/>
          <w:b/>
          <w:sz w:val="24"/>
        </w:rPr>
        <w:t>四、本项目其它需要特别说明的情况：</w:t>
      </w:r>
    </w:p>
    <w:p>
      <w:pPr>
        <w:spacing w:line="500" w:lineRule="exact"/>
        <w:ind w:firstLine="480" w:firstLineChars="200"/>
        <w:rPr>
          <w:rFonts w:hint="eastAsia" w:ascii="宋体" w:hAnsi="宋体" w:cs="宋体"/>
          <w:sz w:val="24"/>
        </w:rPr>
      </w:pPr>
      <w:r>
        <w:rPr>
          <w:rFonts w:hint="eastAsia" w:ascii="宋体" w:hAnsi="宋体" w:cs="宋体"/>
          <w:sz w:val="24"/>
        </w:rPr>
        <w:t>投标人应针对本项目用户需求书中技术参数响应情况提供有效的佐证材料，包括但不限于列有技术参数且完整的厂家产品彩页，或厂家官方网站公布的截图，或厂家产品说明书，或经厂家确认的证明材料，或第三方机构出具的检测报告等，以佐证所投产品的相应的技术参数及功能，如上述资料未能体现招标需求的所有参数，则相应的技术参数响应可被视为负偏离。</w:t>
      </w:r>
    </w:p>
    <w:p>
      <w:pPr>
        <w:spacing w:line="500" w:lineRule="exact"/>
        <w:ind w:firstLine="480" w:firstLineChars="200"/>
        <w:rPr>
          <w:rFonts w:hint="eastAsia" w:ascii="宋体" w:hAnsi="宋体" w:cs="宋体"/>
          <w:sz w:val="24"/>
        </w:rPr>
      </w:pPr>
      <w:r>
        <w:rPr>
          <w:rFonts w:hint="eastAsia" w:ascii="宋体" w:hAnsi="宋体" w:cs="宋体"/>
          <w:sz w:val="24"/>
        </w:rPr>
        <w:t>1、所递交投标文件中的技术参数描述须与投标文件中提供的厂家产品彩页或厂家官方网站公布的资料相一致。</w:t>
      </w:r>
    </w:p>
    <w:p>
      <w:pPr>
        <w:spacing w:line="500" w:lineRule="exact"/>
        <w:ind w:firstLine="480" w:firstLineChars="200"/>
        <w:rPr>
          <w:rFonts w:hint="eastAsia" w:ascii="宋体" w:hAnsi="宋体" w:cs="宋体"/>
          <w:sz w:val="24"/>
        </w:rPr>
      </w:pPr>
      <w:r>
        <w:rPr>
          <w:rFonts w:hint="eastAsia" w:ascii="宋体" w:hAnsi="宋体" w:cs="宋体"/>
          <w:sz w:val="24"/>
        </w:rPr>
        <w:t>2、由于厂家的产品彩页或厂家官方网站公布的资料更新滞后，造成所投产品技术参数相比厂家产品彩页说明或厂家官方网站资料确有改进或不同的，须在“技术规格/要求偏离表”的备注栏中做出特别说明并提供经厂家确认的证明材料。</w:t>
      </w:r>
    </w:p>
    <w:p>
      <w:pPr>
        <w:spacing w:line="500" w:lineRule="exact"/>
        <w:ind w:firstLine="480" w:firstLineChars="200"/>
        <w:rPr>
          <w:rFonts w:hint="eastAsia" w:ascii="宋体" w:hAnsi="宋体" w:cs="宋体"/>
          <w:sz w:val="24"/>
        </w:rPr>
      </w:pPr>
      <w:r>
        <w:rPr>
          <w:rFonts w:hint="eastAsia" w:ascii="宋体" w:hAnsi="宋体" w:cs="宋体"/>
          <w:sz w:val="24"/>
        </w:rPr>
        <w:t>3、投标文件中的技术参数描述与厂家的产品彩页和厂家官方网站公布的资料不一致而又没有在“技术规格/要求偏离表”备注栏中做出说明并提供厂家证明材料支持的，均视为该项参数响应为“负偏离”，若投标文件出现多处类似情形，评标委员会可认定投标人虛假响应并引致投标无效，情节严重者按不良行为记入江苏医药职业学院采购供应商诚信评价记录。</w:t>
      </w:r>
    </w:p>
    <w:p>
      <w:pPr>
        <w:spacing w:line="500" w:lineRule="exact"/>
        <w:ind w:firstLine="480" w:firstLineChars="200"/>
        <w:rPr>
          <w:rFonts w:hint="eastAsia" w:ascii="宋体" w:hAnsi="宋体" w:cs="宋体"/>
          <w:sz w:val="24"/>
        </w:rPr>
      </w:pPr>
      <w:r>
        <w:rPr>
          <w:rFonts w:hint="eastAsia" w:ascii="宋体" w:hAnsi="宋体" w:cs="宋体"/>
          <w:sz w:val="24"/>
        </w:rPr>
        <w:t>4、本次招标采购内容中的核心产品为</w:t>
      </w:r>
      <w:r>
        <w:rPr>
          <w:rFonts w:hint="eastAsia" w:ascii="宋体" w:hAnsi="宋体" w:cs="宋体"/>
          <w:b/>
          <w:bCs/>
          <w:sz w:val="24"/>
          <w:u w:val="single"/>
        </w:rPr>
        <w:t xml:space="preserve">一体机电脑 </w:t>
      </w:r>
      <w:r>
        <w:rPr>
          <w:rFonts w:hint="eastAsia" w:ascii="宋体" w:hAnsi="宋体" w:cs="宋体"/>
          <w:sz w:val="24"/>
        </w:rPr>
        <w:t>（货物清单详见技术要求）。若同一品牌的核心产品有多家投标人参与竞争，则只推荐综合评分最高的同品牌投标人为中标候选供应商（综合评分相同的 ，按投标报价由低到高顺序排列 。综合评分且投标报价相同的，按技术指标优劣顺序排列），其他同品牌投标人不推荐为中标候选供应商 。</w:t>
      </w:r>
    </w:p>
    <w:p>
      <w:pPr>
        <w:spacing w:line="500" w:lineRule="exact"/>
        <w:ind w:firstLine="480" w:firstLineChars="200"/>
        <w:rPr>
          <w:rFonts w:hint="eastAsia" w:ascii="宋体" w:hAnsi="宋体" w:cs="宋体"/>
          <w:sz w:val="24"/>
        </w:rPr>
      </w:pPr>
      <w:r>
        <w:rPr>
          <w:rFonts w:hint="eastAsia" w:ascii="宋体" w:hAnsi="宋体" w:cs="宋体"/>
          <w:sz w:val="24"/>
        </w:rPr>
        <w:t>5、投标人中标后必须按照投标时所承诺品牌进行采购，各投标人投标前必须充分调研拟投标品牌实际情况，中标后不再作任何调整。</w:t>
      </w:r>
    </w:p>
    <w:p>
      <w:pPr>
        <w:spacing w:line="500" w:lineRule="exact"/>
        <w:ind w:firstLine="480" w:firstLineChars="200"/>
        <w:rPr>
          <w:rFonts w:hint="eastAsia" w:ascii="宋体" w:hAnsi="宋体" w:cs="宋体"/>
          <w:sz w:val="24"/>
        </w:rPr>
      </w:pPr>
      <w:r>
        <w:rPr>
          <w:rFonts w:hint="eastAsia" w:ascii="宋体" w:hAnsi="宋体" w:cs="宋体"/>
          <w:sz w:val="24"/>
        </w:rPr>
        <w:t>6、上述所涉及的到品牌均为参考品牌，均为了更好的描述本次招标内容的技术产品的要求，供应商应提供相同档次的品牌即可。</w:t>
      </w:r>
    </w:p>
    <w:p>
      <w:pPr>
        <w:spacing w:line="500" w:lineRule="exact"/>
        <w:ind w:firstLine="482" w:firstLineChars="200"/>
        <w:rPr>
          <w:rFonts w:hint="eastAsia" w:ascii="宋体" w:hAnsi="宋体" w:cs="宋体"/>
          <w:b/>
          <w:sz w:val="24"/>
          <w:szCs w:val="21"/>
        </w:rPr>
      </w:pPr>
      <w:r>
        <w:rPr>
          <w:rFonts w:hint="eastAsia" w:ascii="宋体" w:hAnsi="宋体" w:cs="宋体"/>
          <w:b/>
          <w:sz w:val="24"/>
          <w:szCs w:val="21"/>
        </w:rPr>
        <w:t>注：采购标的的所属行业为</w:t>
      </w:r>
      <w:r>
        <w:rPr>
          <w:rFonts w:hint="eastAsia" w:ascii="宋体" w:hAnsi="宋体" w:cs="宋体"/>
          <w:b/>
          <w:sz w:val="24"/>
          <w:szCs w:val="21"/>
          <w:u w:val="single"/>
        </w:rPr>
        <w:t>工业</w:t>
      </w:r>
      <w:r>
        <w:rPr>
          <w:rFonts w:hint="eastAsia" w:ascii="宋体" w:hAnsi="宋体" w:cs="宋体"/>
          <w:b/>
          <w:sz w:val="24"/>
          <w:szCs w:val="21"/>
        </w:rPr>
        <w:t>，根据《工业和信息化部、国家统计局、国家发展和改革委员会、财政部关于印发中小企业划型标准规定的通知》（工信部联企业[2011]300号）规定的划分标准填写。</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FA442B"/>
    <w:multiLevelType w:val="singleLevel"/>
    <w:tmpl w:val="6DFA442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0000000"/>
    <w:rsid w:val="03450073"/>
    <w:rsid w:val="05A72BD7"/>
    <w:rsid w:val="0B9B0B50"/>
    <w:rsid w:val="2C413E10"/>
    <w:rsid w:val="3C257A29"/>
    <w:rsid w:val="4B807A4A"/>
    <w:rsid w:val="5796147C"/>
    <w:rsid w:val="5A7E088E"/>
    <w:rsid w:val="5BFC68F7"/>
    <w:rsid w:val="5C4D76FA"/>
    <w:rsid w:val="6C6359BE"/>
    <w:rsid w:val="70673D08"/>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1"/>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styleId="3">
    <w:name w:val="index 9"/>
    <w:basedOn w:val="1"/>
    <w:next w:val="1"/>
    <w:uiPriority w:val="0"/>
    <w:pPr>
      <w:ind w:left="1600" w:leftChars="16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一念初见</cp:lastModifiedBy>
  <dcterms:modified xsi:type="dcterms:W3CDTF">2022-11-24T09:31:48Z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2052-11.1.0.12974</vt:lpwstr>
  </property>
  <property fmtid="{D5CDD505-2E9C-101B-9397-08002B2CF9AE}" pid="3" name="ICV">
    <vt:lpwstr>567C3DD905534D5CBE82ABB29CB728F4</vt:lpwstr>
  </property>
</Properties>
</file>