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华文中宋" w:hAnsi="华文中宋" w:eastAsia="华文中宋"/>
          <w:b/>
          <w:sz w:val="44"/>
          <w:szCs w:val="44"/>
        </w:rPr>
      </w:pPr>
      <w:r>
        <w:rPr>
          <w:rFonts w:hint="eastAsia" w:ascii="华文中宋" w:hAnsi="华文中宋" w:eastAsia="华文中宋"/>
          <w:b/>
          <w:sz w:val="44"/>
          <w:szCs w:val="44"/>
        </w:rPr>
        <w:t>教职工政治学习参考资料</w:t>
      </w:r>
    </w:p>
    <w:p>
      <w:pPr>
        <w:spacing w:line="400" w:lineRule="exact"/>
        <w:jc w:val="center"/>
        <w:rPr>
          <w:rFonts w:ascii="黑体" w:hAnsi="宋体" w:eastAsia="黑体"/>
          <w:b/>
          <w:sz w:val="28"/>
          <w:szCs w:val="28"/>
        </w:rPr>
      </w:pPr>
      <w:r>
        <w:rPr>
          <w:rFonts w:hint="eastAsia" w:ascii="黑体" w:hAnsi="宋体" w:eastAsia="黑体"/>
          <w:b/>
          <w:sz w:val="28"/>
          <w:szCs w:val="28"/>
        </w:rPr>
        <w:t>（201</w:t>
      </w:r>
      <w:r>
        <w:rPr>
          <w:rFonts w:ascii="黑体" w:hAnsi="宋体" w:eastAsia="黑体"/>
          <w:b/>
          <w:sz w:val="28"/>
          <w:szCs w:val="28"/>
        </w:rPr>
        <w:t>8</w:t>
      </w:r>
      <w:r>
        <w:rPr>
          <w:rFonts w:hint="eastAsia" w:ascii="黑体" w:hAnsi="宋体" w:eastAsia="黑体"/>
          <w:b/>
          <w:sz w:val="28"/>
          <w:szCs w:val="28"/>
        </w:rPr>
        <w:t>-201</w:t>
      </w:r>
      <w:r>
        <w:rPr>
          <w:rFonts w:ascii="黑体" w:hAnsi="宋体" w:eastAsia="黑体"/>
          <w:b/>
          <w:sz w:val="28"/>
          <w:szCs w:val="28"/>
        </w:rPr>
        <w:t>9</w:t>
      </w:r>
      <w:r>
        <w:rPr>
          <w:rFonts w:hint="eastAsia" w:ascii="黑体" w:hAnsi="宋体" w:eastAsia="黑体"/>
          <w:b/>
          <w:sz w:val="28"/>
          <w:szCs w:val="28"/>
        </w:rPr>
        <w:t>学年第2学期  第</w:t>
      </w:r>
      <w:r>
        <w:rPr>
          <w:rFonts w:hint="eastAsia" w:ascii="黑体" w:hAnsi="宋体" w:eastAsia="黑体"/>
          <w:b/>
          <w:sz w:val="28"/>
          <w:szCs w:val="28"/>
          <w:lang w:val="en-US" w:eastAsia="zh-CN"/>
        </w:rPr>
        <w:t>4</w:t>
      </w:r>
      <w:r>
        <w:rPr>
          <w:rFonts w:hint="eastAsia" w:ascii="黑体" w:hAnsi="宋体" w:eastAsia="黑体"/>
          <w:b/>
          <w:sz w:val="28"/>
          <w:szCs w:val="28"/>
        </w:rPr>
        <w:t>期）</w:t>
      </w:r>
    </w:p>
    <w:p>
      <w:pPr>
        <w:pBdr>
          <w:bottom w:val="single" w:color="auto" w:sz="12" w:space="1"/>
        </w:pBdr>
        <w:spacing w:line="400" w:lineRule="exact"/>
        <w:rPr>
          <w:rFonts w:ascii="楷体" w:hAnsi="楷体" w:eastAsia="楷体"/>
          <w:b/>
          <w:sz w:val="24"/>
        </w:rPr>
      </w:pPr>
      <w:r>
        <w:rPr>
          <w:rFonts w:hint="eastAsia" w:ascii="楷体" w:hAnsi="楷体" w:eastAsia="楷体"/>
          <w:b/>
          <w:sz w:val="24"/>
        </w:rPr>
        <w:t>江苏医药职业学院党委宣传部编　　　　　　　　　　           2019年</w:t>
      </w:r>
      <w:r>
        <w:rPr>
          <w:rFonts w:hint="eastAsia" w:ascii="楷体" w:hAnsi="楷体" w:eastAsia="楷体"/>
          <w:b/>
          <w:sz w:val="24"/>
          <w:lang w:val="en-US" w:eastAsia="zh-CN"/>
        </w:rPr>
        <w:t>4</w:t>
      </w:r>
      <w:r>
        <w:rPr>
          <w:rFonts w:hint="eastAsia" w:ascii="楷体" w:hAnsi="楷体" w:eastAsia="楷体"/>
          <w:b/>
          <w:sz w:val="24"/>
        </w:rPr>
        <w:t>月</w:t>
      </w:r>
      <w:r>
        <w:rPr>
          <w:rFonts w:hint="eastAsia" w:ascii="楷体" w:hAnsi="楷体" w:eastAsia="楷体"/>
          <w:b/>
          <w:sz w:val="24"/>
          <w:lang w:val="en-US" w:eastAsia="zh-CN"/>
        </w:rPr>
        <w:t>10</w:t>
      </w:r>
      <w:r>
        <w:rPr>
          <w:rFonts w:hint="eastAsia" w:ascii="楷体" w:hAnsi="楷体" w:eastAsia="楷体"/>
          <w:b/>
          <w:sz w:val="24"/>
        </w:rPr>
        <w:t>日</w:t>
      </w:r>
    </w:p>
    <w:p>
      <w:pPr>
        <w:spacing w:line="400" w:lineRule="exact"/>
        <w:jc w:val="left"/>
        <w:rPr>
          <w:rFonts w:ascii="黑体" w:hAnsi="黑体" w:eastAsia="黑体"/>
          <w:kern w:val="28"/>
          <w:sz w:val="28"/>
          <w:szCs w:val="28"/>
        </w:rPr>
      </w:pPr>
    </w:p>
    <w:p>
      <w:pPr>
        <w:spacing w:line="400" w:lineRule="exact"/>
        <w:jc w:val="left"/>
        <w:rPr>
          <w:rFonts w:ascii="黑体" w:hAnsi="黑体" w:eastAsia="黑体"/>
          <w:b/>
          <w:kern w:val="28"/>
          <w:sz w:val="28"/>
          <w:szCs w:val="28"/>
        </w:rPr>
      </w:pPr>
      <w:r>
        <w:rPr>
          <w:rFonts w:hint="eastAsia" w:ascii="黑体" w:hAnsi="黑体" w:eastAsia="黑体"/>
          <w:b/>
          <w:kern w:val="28"/>
          <w:sz w:val="32"/>
          <w:szCs w:val="32"/>
        </w:rPr>
        <w:t>●学习内容：</w:t>
      </w:r>
    </w:p>
    <w:p>
      <w:pPr>
        <w:widowControl/>
        <w:spacing w:line="400" w:lineRule="exact"/>
        <w:rPr>
          <w:rFonts w:ascii="黑体" w:eastAsia="黑体"/>
          <w:b/>
          <w:bCs/>
          <w:color w:val="000000"/>
          <w:sz w:val="30"/>
          <w:szCs w:val="30"/>
        </w:rPr>
      </w:pPr>
    </w:p>
    <w:p>
      <w:pPr>
        <w:widowControl/>
        <w:spacing w:line="400" w:lineRule="exact"/>
        <w:rPr>
          <w:rFonts w:ascii="黑体" w:eastAsia="黑体"/>
          <w:b/>
          <w:bCs/>
          <w:color w:val="000000"/>
          <w:sz w:val="30"/>
          <w:szCs w:val="30"/>
        </w:rPr>
      </w:pPr>
    </w:p>
    <w:p>
      <w:pPr>
        <w:widowControl/>
        <w:spacing w:line="400" w:lineRule="exact"/>
        <w:rPr>
          <w:rFonts w:ascii="黑体" w:hAnsi="黑体" w:eastAsia="黑体" w:cs="宋体"/>
          <w:b/>
          <w:bCs/>
          <w:kern w:val="0"/>
          <w:sz w:val="32"/>
          <w:szCs w:val="32"/>
        </w:rPr>
      </w:pPr>
    </w:p>
    <w:p>
      <w:pPr>
        <w:widowControl/>
        <w:spacing w:line="400" w:lineRule="exact"/>
        <w:rPr>
          <w:rFonts w:ascii="黑体" w:hAnsi="黑体" w:eastAsia="黑体" w:cs="宋体"/>
          <w:b/>
          <w:bCs/>
          <w:kern w:val="0"/>
          <w:sz w:val="32"/>
          <w:szCs w:val="32"/>
        </w:rPr>
      </w:pPr>
    </w:p>
    <w:p>
      <w:pPr>
        <w:widowControl/>
        <w:spacing w:line="400" w:lineRule="exact"/>
        <w:rPr>
          <w:rFonts w:ascii="黑体" w:hAnsi="黑体" w:eastAsia="黑体" w:cs="宋体"/>
          <w:b/>
          <w:bCs/>
          <w:kern w:val="0"/>
          <w:sz w:val="32"/>
          <w:szCs w:val="32"/>
        </w:rPr>
      </w:pPr>
    </w:p>
    <w:p>
      <w:pPr>
        <w:widowControl/>
        <w:spacing w:line="400" w:lineRule="exact"/>
        <w:rPr>
          <w:rFonts w:ascii="黑体" w:hAnsi="黑体" w:eastAsia="黑体" w:cs="宋体"/>
          <w:b/>
          <w:bCs/>
          <w:kern w:val="0"/>
          <w:sz w:val="32"/>
          <w:szCs w:val="32"/>
        </w:rPr>
      </w:pPr>
    </w:p>
    <w:p>
      <w:pPr>
        <w:pStyle w:val="9"/>
        <w:numPr>
          <w:ilvl w:val="0"/>
          <w:numId w:val="1"/>
        </w:numPr>
        <w:shd w:val="clear" w:color="auto" w:fill="FFFFFF"/>
        <w:spacing w:before="0" w:beforeAutospacing="0" w:after="0" w:afterAutospacing="0" w:line="480" w:lineRule="auto"/>
        <w:rPr>
          <w:rStyle w:val="12"/>
          <w:rFonts w:hint="eastAsia" w:ascii="黑体" w:hAnsi="黑体" w:eastAsia="黑体"/>
          <w:sz w:val="32"/>
          <w:szCs w:val="32"/>
          <w:shd w:val="clear" w:color="auto" w:fill="FFFFFF"/>
        </w:rPr>
      </w:pPr>
      <w:r>
        <w:rPr>
          <w:rStyle w:val="12"/>
          <w:rFonts w:hint="eastAsia" w:ascii="黑体" w:hAnsi="黑体" w:eastAsia="黑体"/>
          <w:sz w:val="32"/>
          <w:szCs w:val="32"/>
          <w:shd w:val="clear" w:color="auto" w:fill="FFFFFF"/>
        </w:rPr>
        <w:t>省委教育工委省教育厅</w:t>
      </w:r>
      <w:r>
        <w:rPr>
          <w:rStyle w:val="12"/>
          <w:rFonts w:hint="eastAsia" w:ascii="黑体" w:hAnsi="黑体" w:eastAsia="黑体"/>
          <w:sz w:val="32"/>
          <w:szCs w:val="32"/>
          <w:shd w:val="clear" w:color="auto" w:fill="FFFFFF"/>
          <w:lang w:eastAsia="zh-CN"/>
        </w:rPr>
        <w:t>《</w:t>
      </w:r>
      <w:r>
        <w:rPr>
          <w:rStyle w:val="12"/>
          <w:rFonts w:hint="eastAsia" w:ascii="黑体" w:hAnsi="黑体" w:eastAsia="黑体"/>
          <w:sz w:val="32"/>
          <w:szCs w:val="32"/>
          <w:shd w:val="clear" w:color="auto" w:fill="FFFFFF"/>
        </w:rPr>
        <w:t>关于进一步推进学校贯彻落实“三重一大”决策制度的意见</w:t>
      </w:r>
      <w:r>
        <w:rPr>
          <w:rStyle w:val="12"/>
          <w:rFonts w:hint="eastAsia" w:ascii="黑体" w:hAnsi="黑体" w:eastAsia="黑体"/>
          <w:sz w:val="32"/>
          <w:szCs w:val="32"/>
          <w:shd w:val="clear" w:color="auto" w:fill="FFFFFF"/>
          <w:lang w:eastAsia="zh-CN"/>
        </w:rPr>
        <w:t>》（</w:t>
      </w:r>
      <w:r>
        <w:rPr>
          <w:rStyle w:val="12"/>
          <w:rFonts w:hint="eastAsia" w:ascii="黑体" w:hAnsi="黑体" w:eastAsia="黑体"/>
          <w:sz w:val="32"/>
          <w:szCs w:val="32"/>
          <w:shd w:val="clear" w:color="auto" w:fill="FFFFFF"/>
          <w:lang w:val="en-US" w:eastAsia="zh-CN"/>
        </w:rPr>
        <w:t>见附件</w:t>
      </w:r>
      <w:r>
        <w:rPr>
          <w:rStyle w:val="12"/>
          <w:rFonts w:hint="eastAsia" w:ascii="黑体" w:hAnsi="黑体" w:eastAsia="黑体"/>
          <w:sz w:val="32"/>
          <w:szCs w:val="32"/>
          <w:shd w:val="clear" w:color="auto" w:fill="FFFFFF"/>
          <w:lang w:eastAsia="zh-CN"/>
        </w:rPr>
        <w:t>）</w:t>
      </w:r>
    </w:p>
    <w:p>
      <w:pPr>
        <w:pStyle w:val="9"/>
        <w:numPr>
          <w:ilvl w:val="0"/>
          <w:numId w:val="1"/>
        </w:numPr>
        <w:shd w:val="clear" w:color="auto" w:fill="FFFFFF"/>
        <w:spacing w:before="0" w:beforeAutospacing="0" w:after="0" w:afterAutospacing="0" w:line="480" w:lineRule="auto"/>
        <w:rPr>
          <w:rStyle w:val="12"/>
          <w:rFonts w:hint="eastAsia" w:ascii="黑体" w:hAnsi="黑体" w:eastAsia="黑体"/>
          <w:sz w:val="32"/>
          <w:szCs w:val="32"/>
          <w:shd w:val="clear" w:color="auto" w:fill="FFFFFF"/>
          <w:lang w:val="en-US" w:eastAsia="zh-CN"/>
        </w:rPr>
      </w:pPr>
      <w:r>
        <w:rPr>
          <w:rStyle w:val="12"/>
          <w:rFonts w:hint="eastAsia" w:ascii="黑体" w:hAnsi="黑体" w:eastAsia="黑体"/>
          <w:sz w:val="32"/>
          <w:szCs w:val="32"/>
          <w:shd w:val="clear" w:color="auto" w:fill="FFFFFF"/>
          <w:lang w:val="en-US" w:eastAsia="zh-CN"/>
        </w:rPr>
        <w:t>《关于实施中国特色高水平高职学校和专业建设计划的意见》</w:t>
      </w:r>
    </w:p>
    <w:p>
      <w:pPr>
        <w:widowControl/>
        <w:spacing w:line="400" w:lineRule="exact"/>
        <w:jc w:val="center"/>
        <w:rPr>
          <w:rFonts w:ascii="黑体" w:hAnsi="黑体" w:eastAsia="黑体" w:cs="宋体"/>
          <w:b/>
          <w:bCs/>
          <w:kern w:val="0"/>
          <w:sz w:val="32"/>
          <w:szCs w:val="32"/>
        </w:rPr>
      </w:pPr>
      <w:r>
        <w:rPr>
          <w:rFonts w:hint="eastAsia" w:ascii="仿宋_GB2312" w:hAnsi="仿宋_GB2312" w:eastAsia="仿宋_GB2312" w:cs="仿宋_GB2312"/>
          <w:i w:val="0"/>
          <w:caps w:val="0"/>
          <w:color w:val="auto"/>
          <w:spacing w:val="0"/>
          <w:sz w:val="32"/>
          <w:szCs w:val="32"/>
          <w:lang w:val="en-US" w:eastAsia="zh-CN"/>
        </w:rPr>
        <w:t xml:space="preserve"> </w:t>
      </w:r>
    </w:p>
    <w:p>
      <w:pPr>
        <w:widowControl/>
        <w:spacing w:line="400" w:lineRule="exact"/>
        <w:jc w:val="center"/>
        <w:rPr>
          <w:rFonts w:ascii="黑体" w:hAnsi="黑体" w:eastAsia="黑体"/>
          <w:bCs/>
          <w:kern w:val="28"/>
          <w:sz w:val="28"/>
          <w:szCs w:val="28"/>
        </w:rPr>
      </w:pPr>
      <w:r>
        <w:rPr>
          <w:rFonts w:hint="eastAsia" w:ascii="微软雅黑" w:hAnsi="微软雅黑" w:eastAsia="微软雅黑"/>
          <w:kern w:val="36"/>
          <w:sz w:val="28"/>
          <w:szCs w:val="28"/>
        </w:rPr>
        <w:t xml:space="preserve"> </w:t>
      </w: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widowControl/>
        <w:spacing w:line="400" w:lineRule="exact"/>
        <w:rPr>
          <w:rFonts w:ascii="黑体" w:hAnsi="黑体" w:eastAsia="黑体"/>
          <w:b/>
          <w:kern w:val="2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ascii="微软雅黑" w:hAnsi="微软雅黑" w:eastAsia="微软雅黑" w:cs="微软雅黑"/>
          <w:b/>
          <w:color w:val="auto"/>
          <w:sz w:val="30"/>
          <w:szCs w:val="30"/>
        </w:rPr>
      </w:pPr>
      <w:r>
        <w:rPr>
          <w:rFonts w:hint="eastAsia" w:ascii="微软雅黑" w:hAnsi="微软雅黑" w:eastAsia="微软雅黑" w:cs="微软雅黑"/>
          <w:b/>
          <w:i w:val="0"/>
          <w:caps w:val="0"/>
          <w:color w:val="auto"/>
          <w:spacing w:val="0"/>
          <w:sz w:val="30"/>
          <w:szCs w:val="30"/>
          <w:bdr w:val="none" w:color="auto" w:sz="0" w:space="0"/>
          <w:shd w:val="clear" w:fill="FFFFFF"/>
        </w:rPr>
        <w:t>教育部 财政部关于实施中国特色高水平</w:t>
      </w:r>
      <w:r>
        <w:rPr>
          <w:rFonts w:hint="eastAsia" w:ascii="微软雅黑" w:hAnsi="微软雅黑" w:eastAsia="微软雅黑" w:cs="微软雅黑"/>
          <w:b/>
          <w:i w:val="0"/>
          <w:caps w:val="0"/>
          <w:color w:val="auto"/>
          <w:spacing w:val="0"/>
          <w:sz w:val="30"/>
          <w:szCs w:val="30"/>
          <w:bdr w:val="none" w:color="auto" w:sz="0" w:space="0"/>
          <w:shd w:val="clear" w:fill="FFFFFF"/>
        </w:rPr>
        <w:br w:type="textWrapping"/>
      </w:r>
      <w:r>
        <w:rPr>
          <w:rFonts w:hint="eastAsia" w:ascii="微软雅黑" w:hAnsi="微软雅黑" w:eastAsia="微软雅黑" w:cs="微软雅黑"/>
          <w:b/>
          <w:i w:val="0"/>
          <w:caps w:val="0"/>
          <w:color w:val="auto"/>
          <w:spacing w:val="0"/>
          <w:sz w:val="30"/>
          <w:szCs w:val="30"/>
          <w:bdr w:val="none" w:color="auto" w:sz="0" w:space="0"/>
          <w:shd w:val="clear" w:fill="FFFFFF"/>
        </w:rPr>
        <w:t>高职学校和专业建设计划的意见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教职成〔2019〕5号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各省、自治区、直辖市教育厅（教委）、财政厅（局），新疆生产建设兵团教育局、财政局：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为深入贯彻落实全国教育大会精神，</w:t>
      </w:r>
      <w:bookmarkStart w:id="0" w:name="_GoBack"/>
      <w:bookmarkEnd w:id="0"/>
      <w:r>
        <w:rPr>
          <w:rFonts w:hint="eastAsia" w:ascii="仿宋" w:hAnsi="仿宋" w:eastAsia="仿宋" w:cs="仿宋"/>
          <w:b w:val="0"/>
          <w:i w:val="0"/>
          <w:caps w:val="0"/>
          <w:color w:val="auto"/>
          <w:spacing w:val="0"/>
          <w:sz w:val="32"/>
          <w:szCs w:val="32"/>
          <w:bdr w:val="none" w:color="auto" w:sz="0" w:space="0"/>
          <w:shd w:val="clear" w:fill="FFFFFF"/>
        </w:rPr>
        <w:t>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Style w:val="12"/>
          <w:rFonts w:hint="eastAsia" w:ascii="仿宋" w:hAnsi="仿宋" w:eastAsia="仿宋" w:cs="仿宋"/>
          <w:i w:val="0"/>
          <w:caps w:val="0"/>
          <w:color w:val="auto"/>
          <w:spacing w:val="0"/>
          <w:sz w:val="32"/>
          <w:szCs w:val="32"/>
          <w:bdr w:val="none" w:color="auto" w:sz="0" w:space="0"/>
          <w:shd w:val="clear" w:fill="FFFFFF"/>
        </w:rPr>
        <w:t>　　一、总体要求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（一）指导思想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作出重要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（二）基本原则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坚持中国特色。扎根中国大地，全面贯彻党的教育方针，坚定社会主义办学方向，完善职业教育和培训体系，健全德技并修、工学结合的育人机制，服务新时代经济高质量发展，为中国产业走向全球产业中高端提供高素质技术技能人才支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——坚持扶优扶强。质量为先、以点带面，兼顾区域和产业布局，支持基础条件优良、改革成效突出、办学特色鲜明的高职学校和专业群率先发展，积累可复制、可借鉴的改革经验和模式，发挥示范引领作用。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——坚持持续推进。按周期、分阶段推进建设，实行动态管理、过程监测、有进有出、优胜劣汰，完善持续支持高水平高职学校和专业群建设的机制，实现高质量发展。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坚持省级统筹。发挥地方支持职业教育改革发展的积极性和主动性，加大资金和政策保障力度。中央财政以奖补的形式通过相关转移支付给予引导支持。多渠道扩大资源供给，构建政府行业企业学校协同推进职业教育发展新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（三）总体目标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围绕办好新时代职业教育的新要求，集中力量建设50所左右高水平高职学校和150个左右高水平专业群，打造技术技能人才培养高地和技术技能创新服务平台，支撑国家重点产业、区域支柱产业发展，引领新时代职业教育实现高质量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到2022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到2035年，一批高职学校和专业群达到国际先进水平，引领职业教育实现现代化，为促进经济社会发展和提高国家竞争力提供优质人才资源支撑。职业教育高质量发展的政策、制度、标准体系更加成熟完善，形成中国特色职业教育发展模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Style w:val="12"/>
          <w:rFonts w:hint="eastAsia" w:ascii="仿宋" w:hAnsi="仿宋" w:eastAsia="仿宋" w:cs="仿宋"/>
          <w:i w:val="0"/>
          <w:caps w:val="0"/>
          <w:color w:val="auto"/>
          <w:spacing w:val="0"/>
          <w:sz w:val="32"/>
          <w:szCs w:val="32"/>
          <w:bdr w:val="none" w:color="auto" w:sz="0" w:space="0"/>
          <w:shd w:val="clear" w:fill="FFFFFF"/>
        </w:rPr>
        <w:t>　　二、改革发展任务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（四）加强党的建设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意识形态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（五）打造技术技能人才培养高地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（六）打造技术技能创新服务平台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对接科技发展趋势，以技术技能积累为纽带，建设集人才培养、团队建设、技术服务于一体，资源共享、机制灵活、产出高效的人才培养与技术创新平台，促进创新成果与核心技术产业化，重点服务企业特别是中小微企业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（七）打造高水平专业群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组建高水平、结构化教师教学创新团队，探索教师分工协作的模块化教学模式，深化教材与教法改革，推动课堂革命。建立健全多方协同的专业群可持续发展保障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（八）打造高水平双师队伍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健全教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（九）提升校企合作水平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与行业领先企业在人才培养、技术创新、社会服务、就业创业、文化传承等方面深度合作，形成校企命运共同体。把握全球产业发展、国内产业升级的新机遇，主动参与供需对接和流程再造，推动专业建设与产业发展相适应，实质推进协同育人。施行校企联合培养、双主体育人的中国特色现代学徒制。推行面向企业真实生产环境的任务式培养模式。牵头组建职业教育集团，推进实体化运作，实现资源共建共享。吸引企业联合建设产业学院和企业工作室、实验室、创新基地、实践基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（十）提升服务发展水平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（十一）提升学校治理水平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（十二）提升信息化水平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（十三）提升国际化水平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Style w:val="12"/>
          <w:rFonts w:hint="eastAsia" w:ascii="仿宋" w:hAnsi="仿宋" w:eastAsia="仿宋" w:cs="仿宋"/>
          <w:i w:val="0"/>
          <w:caps w:val="0"/>
          <w:color w:val="auto"/>
          <w:spacing w:val="0"/>
          <w:sz w:val="32"/>
          <w:szCs w:val="32"/>
          <w:bdr w:val="none" w:color="auto" w:sz="0" w:space="0"/>
          <w:shd w:val="clear" w:fill="FFFFFF"/>
        </w:rPr>
        <w:t>　　三、组织实施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（十四）建立协同推进机制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建以“双高计划”学校为引领，区域内高职学校协调发展的格局。“双高计划”学校要深化改革创新，聚焦建设任务，科学编制建设方案和任务书，健全责任机制，扎实推进建设，确保工作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（十五）加强项目实施管理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（十六）健全多元投入机制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各地新增教育经费向职业教育倾斜，在完善高职生均拨款制度、逐步提高生均拨款水平的基础上，对“双高计划”学校给予重点支持，中央财政通过现代职业教育质量提升计划专项资金对“双高计划”给予奖补支持，发挥引导作用。有关部门和行业企业以共建、共培等方式积极参与项目建设。项目学校以服务求发展，积极筹集社会资源，增强自我造血功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（十七）优化改革发展环境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rPr>
        <w:t>　　各地要结合区域功能、产业特点探索差别化的职业教育发展路径，建立健全产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bdr w:val="none" w:color="auto" w:sz="0" w:space="0"/>
          <w:shd w:val="clear" w:fill="FFFFFF"/>
          <w:lang w:val="en-US" w:eastAsia="zh-CN"/>
        </w:rPr>
        <w:t xml:space="preserve">                                        </w:t>
      </w:r>
      <w:r>
        <w:rPr>
          <w:rFonts w:hint="eastAsia" w:ascii="仿宋" w:hAnsi="仿宋" w:eastAsia="仿宋" w:cs="仿宋"/>
          <w:b w:val="0"/>
          <w:i w:val="0"/>
          <w:caps w:val="0"/>
          <w:color w:val="auto"/>
          <w:spacing w:val="0"/>
          <w:sz w:val="32"/>
          <w:szCs w:val="32"/>
          <w:bdr w:val="none" w:color="auto" w:sz="0" w:space="0"/>
          <w:shd w:val="clear" w:fill="FFFFFF"/>
        </w:rPr>
        <w:t>教育部 财政部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b/>
          <w:color w:val="auto"/>
          <w:kern w:val="28"/>
          <w:sz w:val="32"/>
          <w:szCs w:val="32"/>
        </w:rPr>
      </w:pPr>
      <w:r>
        <w:rPr>
          <w:rFonts w:hint="eastAsia" w:ascii="仿宋" w:hAnsi="仿宋" w:eastAsia="仿宋" w:cs="仿宋"/>
          <w:b w:val="0"/>
          <w:i w:val="0"/>
          <w:caps w:val="0"/>
          <w:color w:val="auto"/>
          <w:spacing w:val="0"/>
          <w:sz w:val="32"/>
          <w:szCs w:val="32"/>
          <w:bdr w:val="none" w:color="auto" w:sz="0" w:space="0"/>
          <w:shd w:val="clear" w:fill="FFFFFF"/>
        </w:rPr>
        <w:t>2019年3月29</w:t>
      </w:r>
      <w:r>
        <w:rPr>
          <w:rFonts w:hint="eastAsia" w:ascii="仿宋" w:hAnsi="仿宋" w:eastAsia="仿宋" w:cs="仿宋"/>
          <w:b w:val="0"/>
          <w:i w:val="0"/>
          <w:caps w:val="0"/>
          <w:color w:val="auto"/>
          <w:spacing w:val="0"/>
          <w:sz w:val="32"/>
          <w:szCs w:val="32"/>
          <w:bdr w:val="none" w:color="auto" w:sz="0" w:space="0"/>
          <w:shd w:val="clear" w:fill="FFFFFF"/>
          <w:lang w:val="en-US" w:eastAsia="zh-CN"/>
        </w:rPr>
        <w:t>日</w:t>
      </w:r>
    </w:p>
    <w:p>
      <w:pPr>
        <w:widowControl/>
        <w:spacing w:line="400" w:lineRule="exact"/>
        <w:rPr>
          <w:rFonts w:ascii="黑体" w:hAnsi="黑体" w:eastAsia="黑体"/>
          <w:b/>
          <w:kern w:val="28"/>
          <w:sz w:val="28"/>
          <w:szCs w:val="28"/>
        </w:rPr>
      </w:pPr>
    </w:p>
    <w:p>
      <w:pPr>
        <w:widowControl/>
        <w:spacing w:line="400" w:lineRule="exact"/>
        <w:rPr>
          <w:rFonts w:hint="eastAsia" w:ascii="黑体" w:hAnsi="黑体" w:eastAsia="黑体"/>
          <w:b/>
          <w:kern w:val="28"/>
          <w:sz w:val="28"/>
          <w:szCs w:val="28"/>
        </w:rPr>
      </w:pPr>
    </w:p>
    <w:sectPr>
      <w:footerReference r:id="rId3" w:type="default"/>
      <w:footerReference r:id="rId4"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20</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8BCC6"/>
    <w:multiLevelType w:val="singleLevel"/>
    <w:tmpl w:val="D5E8BC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B407E"/>
    <w:rsid w:val="002B40BB"/>
    <w:rsid w:val="002E067E"/>
    <w:rsid w:val="002F3115"/>
    <w:rsid w:val="002F3B05"/>
    <w:rsid w:val="00301D8C"/>
    <w:rsid w:val="003141CC"/>
    <w:rsid w:val="0032615D"/>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5D9F"/>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164BE"/>
    <w:rsid w:val="00921613"/>
    <w:rsid w:val="00922584"/>
    <w:rsid w:val="009264EB"/>
    <w:rsid w:val="009328E1"/>
    <w:rsid w:val="009345AA"/>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4859"/>
    <w:rsid w:val="00F16B50"/>
    <w:rsid w:val="00F26522"/>
    <w:rsid w:val="00F34CFE"/>
    <w:rsid w:val="00F55476"/>
    <w:rsid w:val="00F662FA"/>
    <w:rsid w:val="00FA5AFB"/>
    <w:rsid w:val="00FA792A"/>
    <w:rsid w:val="00FB2DBC"/>
    <w:rsid w:val="00FC3FF7"/>
    <w:rsid w:val="00FC41F1"/>
    <w:rsid w:val="00FC71B3"/>
    <w:rsid w:val="00FD1B10"/>
    <w:rsid w:val="00FE1C7A"/>
    <w:rsid w:val="04907AB0"/>
    <w:rsid w:val="0A127C52"/>
    <w:rsid w:val="194550AD"/>
    <w:rsid w:val="22253A38"/>
    <w:rsid w:val="305628E3"/>
    <w:rsid w:val="4EE95833"/>
    <w:rsid w:val="56325B5A"/>
    <w:rsid w:val="61644936"/>
    <w:rsid w:val="6A83365F"/>
    <w:rsid w:val="6AEB58F2"/>
    <w:rsid w:val="6D8E753D"/>
    <w:rsid w:val="7BE62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00"/>
      <w:u w:val="none"/>
    </w:rPr>
  </w:style>
  <w:style w:type="character" w:customStyle="1" w:styleId="15">
    <w:name w:val="lemmatitleh11"/>
    <w:basedOn w:val="11"/>
    <w:qFormat/>
    <w:uiPriority w:val="0"/>
  </w:style>
  <w:style w:type="character" w:customStyle="1" w:styleId="16">
    <w:name w:val="hei141"/>
    <w:basedOn w:val="11"/>
    <w:qFormat/>
    <w:uiPriority w:val="0"/>
    <w:rPr>
      <w:rFonts w:hint="eastAsia" w:ascii="宋体" w:hAnsi="宋体" w:eastAsia="宋体"/>
      <w:color w:val="000000"/>
      <w:sz w:val="21"/>
      <w:szCs w:val="21"/>
      <w:u w:val="none"/>
    </w:rPr>
  </w:style>
  <w:style w:type="character" w:customStyle="1" w:styleId="17">
    <w:name w:val="页眉 Char"/>
    <w:basedOn w:val="11"/>
    <w:link w:val="8"/>
    <w:qFormat/>
    <w:uiPriority w:val="0"/>
    <w:rPr>
      <w:kern w:val="2"/>
      <w:sz w:val="18"/>
      <w:szCs w:val="18"/>
    </w:rPr>
  </w:style>
  <w:style w:type="character" w:customStyle="1" w:styleId="18">
    <w:name w:val="标题 1 Char"/>
    <w:basedOn w:val="11"/>
    <w:link w:val="2"/>
    <w:qFormat/>
    <w:uiPriority w:val="9"/>
    <w:rPr>
      <w:rFonts w:ascii="宋体" w:hAnsi="宋体" w:cs="宋体"/>
      <w:b/>
      <w:bCs/>
      <w:kern w:val="36"/>
      <w:sz w:val="48"/>
      <w:szCs w:val="48"/>
    </w:rPr>
  </w:style>
  <w:style w:type="paragraph" w:styleId="1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3089</Words>
  <Characters>17613</Characters>
  <Lines>146</Lines>
  <Paragraphs>41</Paragraphs>
  <TotalTime>2</TotalTime>
  <ScaleCrop>false</ScaleCrop>
  <LinksUpToDate>false</LinksUpToDate>
  <CharactersWithSpaces>20661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2016-01-18T09:57:00Z</dcterms:created>
  <dc:creator>微软用户</dc:creator>
  <cp:lastModifiedBy>admin</cp:lastModifiedBy>
  <cp:lastPrinted>2010-11-01T01:58:00Z</cp:lastPrinted>
  <dcterms:modified xsi:type="dcterms:W3CDTF">2019-04-08T03:17:16Z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