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left"/>
        <w:rPr>
          <w:rFonts w:hint="eastAsia" w:ascii="宋体" w:hAnsi="宋体" w:eastAsia="宋体" w:cs="宋体"/>
          <w:lang w:val="en-US" w:eastAsia="zh-CN"/>
        </w:rPr>
      </w:pPr>
      <w:r>
        <w:rPr>
          <w:rFonts w:hint="eastAsia" w:ascii="宋体" w:hAnsi="宋体" w:eastAsia="宋体" w:cs="宋体"/>
          <w:lang w:val="en-US" w:eastAsia="zh-CN"/>
        </w:rPr>
        <w:t>附件2：</w:t>
      </w:r>
    </w:p>
    <w:tbl>
      <w:tblPr>
        <w:tblStyle w:val="2"/>
        <w:tblW w:w="16367" w:type="dxa"/>
        <w:jc w:val="center"/>
        <w:tblLayout w:type="autofit"/>
        <w:tblCellMar>
          <w:top w:w="0" w:type="dxa"/>
          <w:left w:w="0" w:type="dxa"/>
          <w:bottom w:w="0" w:type="dxa"/>
          <w:right w:w="0" w:type="dxa"/>
        </w:tblCellMar>
      </w:tblPr>
      <w:tblGrid>
        <w:gridCol w:w="1358"/>
        <w:gridCol w:w="3686"/>
        <w:gridCol w:w="552"/>
        <w:gridCol w:w="498"/>
        <w:gridCol w:w="1049"/>
        <w:gridCol w:w="2292"/>
        <w:gridCol w:w="2784"/>
        <w:gridCol w:w="1158"/>
        <w:gridCol w:w="1250"/>
        <w:gridCol w:w="1740"/>
      </w:tblGrid>
      <w:tr>
        <w:tblPrEx>
          <w:tblCellMar>
            <w:top w:w="0" w:type="dxa"/>
            <w:left w:w="0" w:type="dxa"/>
            <w:bottom w:w="0" w:type="dxa"/>
            <w:right w:w="0" w:type="dxa"/>
          </w:tblCellMar>
        </w:tblPrEx>
        <w:trPr>
          <w:trHeight w:val="651" w:hRule="atLeast"/>
          <w:jc w:val="center"/>
        </w:trPr>
        <w:tc>
          <w:tcPr>
            <w:tcW w:w="16367" w:type="dxa"/>
            <w:gridSpan w:val="10"/>
            <w:tcBorders>
              <w:top w:val="nil"/>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r>
              <w:rPr>
                <w:rFonts w:hint="eastAsia" w:ascii="宋体" w:hAnsi="宋体" w:eastAsia="宋体" w:cs="宋体"/>
                <w:b/>
                <w:i w:val="0"/>
                <w:color w:val="000000"/>
                <w:kern w:val="0"/>
                <w:sz w:val="40"/>
                <w:szCs w:val="40"/>
                <w:u w:val="none"/>
                <w:lang w:val="en-US" w:eastAsia="zh-CN" w:bidi="ar"/>
              </w:rPr>
              <w:t>江苏医药职业学院公开招聘教师、教辅、科研等岗位人才（岗位表二）</w:t>
            </w:r>
          </w:p>
        </w:tc>
      </w:tr>
      <w:tr>
        <w:tblPrEx>
          <w:tblCellMar>
            <w:top w:w="0" w:type="dxa"/>
            <w:left w:w="0" w:type="dxa"/>
            <w:bottom w:w="0" w:type="dxa"/>
            <w:right w:w="0" w:type="dxa"/>
          </w:tblCellMar>
        </w:tblPrEx>
        <w:trPr>
          <w:trHeight w:val="357" w:hRule="atLeast"/>
          <w:jc w:val="center"/>
        </w:trPr>
        <w:tc>
          <w:tcPr>
            <w:tcW w:w="559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招聘岗位</w:t>
            </w:r>
          </w:p>
        </w:tc>
        <w:tc>
          <w:tcPr>
            <w:tcW w:w="4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招聘人数</w:t>
            </w:r>
          </w:p>
        </w:tc>
        <w:tc>
          <w:tcPr>
            <w:tcW w:w="728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招聘条件</w:t>
            </w:r>
          </w:p>
        </w:tc>
        <w:tc>
          <w:tcPr>
            <w:tcW w:w="12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考试形式和</w:t>
            </w:r>
          </w:p>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所占比例</w:t>
            </w:r>
          </w:p>
        </w:tc>
        <w:tc>
          <w:tcPr>
            <w:tcW w:w="17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其他说明</w:t>
            </w:r>
          </w:p>
        </w:tc>
      </w:tr>
      <w:tr>
        <w:tblPrEx>
          <w:tblCellMar>
            <w:top w:w="0" w:type="dxa"/>
            <w:left w:w="0" w:type="dxa"/>
            <w:bottom w:w="0" w:type="dxa"/>
            <w:right w:w="0" w:type="dxa"/>
          </w:tblCellMar>
        </w:tblPrEx>
        <w:trPr>
          <w:trHeight w:val="357" w:hRule="atLeast"/>
          <w:jc w:val="center"/>
        </w:trPr>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岗位名称</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岗位描述</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岗位编号</w:t>
            </w:r>
          </w:p>
        </w:tc>
        <w:tc>
          <w:tcPr>
            <w:tcW w:w="4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学历</w:t>
            </w:r>
          </w:p>
        </w:tc>
        <w:tc>
          <w:tcPr>
            <w:tcW w:w="2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 xml:space="preserve">专业 </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其他条件</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招聘对象</w:t>
            </w:r>
          </w:p>
        </w:tc>
        <w:tc>
          <w:tcPr>
            <w:tcW w:w="12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p>
        </w:tc>
        <w:tc>
          <w:tcPr>
            <w:tcW w:w="17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p>
        </w:tc>
      </w:tr>
      <w:tr>
        <w:tblPrEx>
          <w:tblCellMar>
            <w:top w:w="0" w:type="dxa"/>
            <w:left w:w="0" w:type="dxa"/>
            <w:bottom w:w="0" w:type="dxa"/>
            <w:right w:w="0" w:type="dxa"/>
          </w:tblCellMar>
        </w:tblPrEx>
        <w:trPr>
          <w:trHeight w:val="90" w:hRule="atLeast"/>
          <w:jc w:val="center"/>
        </w:trPr>
        <w:tc>
          <w:tcPr>
            <w:tcW w:w="1358"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骨干教师</w:t>
            </w:r>
          </w:p>
        </w:tc>
        <w:tc>
          <w:tcPr>
            <w:tcW w:w="368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承担康复、血透及社区护理教学工作</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B338</w:t>
            </w:r>
          </w:p>
        </w:tc>
        <w:tc>
          <w:tcPr>
            <w:tcW w:w="498"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4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29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护理学</w:t>
            </w:r>
          </w:p>
        </w:tc>
        <w:tc>
          <w:tcPr>
            <w:tcW w:w="2784"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本科为全日制本科，本科所学专业为护理学</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应届毕业生</w:t>
            </w:r>
          </w:p>
        </w:tc>
        <w:tc>
          <w:tcPr>
            <w:tcW w:w="12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面试，100%</w:t>
            </w:r>
          </w:p>
        </w:tc>
        <w:tc>
          <w:tcPr>
            <w:tcW w:w="174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编外，同岗同酬</w:t>
            </w:r>
          </w:p>
        </w:tc>
      </w:tr>
      <w:tr>
        <w:tblPrEx>
          <w:tblCellMar>
            <w:top w:w="0" w:type="dxa"/>
            <w:left w:w="0" w:type="dxa"/>
            <w:bottom w:w="0" w:type="dxa"/>
            <w:right w:w="0" w:type="dxa"/>
          </w:tblCellMar>
        </w:tblPrEx>
        <w:trPr>
          <w:trHeight w:val="90" w:hRule="atLeast"/>
          <w:jc w:val="center"/>
        </w:trPr>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实验教学、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管理人员</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实验教学、实训中心管理工作</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B339</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医学信息学</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本科为全日制本科，本科所学专业为医学类</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应届毕业生</w:t>
            </w:r>
          </w:p>
        </w:tc>
        <w:tc>
          <w:tcPr>
            <w:tcW w:w="12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面试，100%</w:t>
            </w:r>
          </w:p>
        </w:tc>
        <w:tc>
          <w:tcPr>
            <w:tcW w:w="174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编外，同岗同酬</w:t>
            </w:r>
          </w:p>
        </w:tc>
      </w:tr>
      <w:tr>
        <w:tblPrEx>
          <w:tblCellMar>
            <w:top w:w="0" w:type="dxa"/>
            <w:left w:w="0" w:type="dxa"/>
            <w:bottom w:w="0" w:type="dxa"/>
            <w:right w:w="0" w:type="dxa"/>
          </w:tblCellMar>
        </w:tblPrEx>
        <w:trPr>
          <w:trHeight w:val="90" w:hRule="atLeast"/>
          <w:jc w:val="center"/>
        </w:trPr>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健康管理</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专业教师</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负责健康管理专业建设、核心课程建设</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B340</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公共卫生、社会医学与卫生事业管理</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本科为全日制本科</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应届毕业生</w:t>
            </w:r>
          </w:p>
        </w:tc>
        <w:tc>
          <w:tcPr>
            <w:tcW w:w="12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面试，100%</w:t>
            </w:r>
          </w:p>
        </w:tc>
        <w:tc>
          <w:tcPr>
            <w:tcW w:w="174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编外，同岗同酬</w:t>
            </w:r>
          </w:p>
        </w:tc>
      </w:tr>
      <w:tr>
        <w:tblPrEx>
          <w:tblCellMar>
            <w:top w:w="0" w:type="dxa"/>
            <w:left w:w="0" w:type="dxa"/>
            <w:bottom w:w="0" w:type="dxa"/>
            <w:right w:w="0" w:type="dxa"/>
          </w:tblCellMar>
        </w:tblPrEx>
        <w:trPr>
          <w:trHeight w:val="118" w:hRule="atLeast"/>
          <w:jc w:val="center"/>
        </w:trPr>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临床药学教师</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负责临床药学专业建设、教学工作</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B341</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临床药学</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本科五年制临床药学</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应届毕业生</w:t>
            </w:r>
          </w:p>
        </w:tc>
        <w:tc>
          <w:tcPr>
            <w:tcW w:w="12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面试，100%</w:t>
            </w:r>
          </w:p>
        </w:tc>
        <w:tc>
          <w:tcPr>
            <w:tcW w:w="174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编内</w:t>
            </w:r>
          </w:p>
        </w:tc>
      </w:tr>
      <w:tr>
        <w:tblPrEx>
          <w:tblCellMar>
            <w:top w:w="0" w:type="dxa"/>
            <w:left w:w="0" w:type="dxa"/>
            <w:bottom w:w="0" w:type="dxa"/>
            <w:right w:w="0" w:type="dxa"/>
          </w:tblCellMar>
        </w:tblPrEx>
        <w:trPr>
          <w:trHeight w:val="90" w:hRule="atLeast"/>
          <w:jc w:val="center"/>
        </w:trPr>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骨干教师</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负责临床医学专业建设、课程建设、临床教学、教科研项目申报等工作</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B342</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基础医学、临床医学</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本科为全日制本科，本科专业为临床医学</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2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面试，100%</w:t>
            </w:r>
          </w:p>
        </w:tc>
        <w:tc>
          <w:tcPr>
            <w:tcW w:w="174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编外，同岗同酬</w:t>
            </w:r>
          </w:p>
        </w:tc>
      </w:tr>
      <w:tr>
        <w:tblPrEx>
          <w:tblCellMar>
            <w:top w:w="0" w:type="dxa"/>
            <w:left w:w="0" w:type="dxa"/>
            <w:bottom w:w="0" w:type="dxa"/>
            <w:right w:w="0" w:type="dxa"/>
          </w:tblCellMar>
        </w:tblPrEx>
        <w:trPr>
          <w:trHeight w:val="90" w:hRule="atLeast"/>
          <w:jc w:val="center"/>
        </w:trPr>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骨干教师</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负责临床医学专业建设、课程建设、临床教学、教科研项目申报等工作</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B343</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基础医学、临床医学</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本科为全日制本科，本科专业为临床医学</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应届毕业生</w:t>
            </w:r>
          </w:p>
        </w:tc>
        <w:tc>
          <w:tcPr>
            <w:tcW w:w="12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面试，100%</w:t>
            </w:r>
          </w:p>
        </w:tc>
        <w:tc>
          <w:tcPr>
            <w:tcW w:w="174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编外，同岗同酬</w:t>
            </w:r>
          </w:p>
        </w:tc>
      </w:tr>
      <w:tr>
        <w:tblPrEx>
          <w:tblCellMar>
            <w:top w:w="0" w:type="dxa"/>
            <w:left w:w="0" w:type="dxa"/>
            <w:bottom w:w="0" w:type="dxa"/>
            <w:right w:w="0" w:type="dxa"/>
          </w:tblCellMar>
        </w:tblPrEx>
        <w:trPr>
          <w:trHeight w:val="90" w:hRule="atLeast"/>
          <w:jc w:val="center"/>
        </w:trPr>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骨干教师</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负责中医学专业建设、课程建设、临床教学、教科研项目申报等工作</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B344</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中医学</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本科为全日制本科，本科专业为中医学、中西医临床医学、针灸推拿学</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2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面试，100%</w:t>
            </w:r>
          </w:p>
        </w:tc>
        <w:tc>
          <w:tcPr>
            <w:tcW w:w="174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编外，同岗同酬</w:t>
            </w:r>
          </w:p>
        </w:tc>
      </w:tr>
      <w:tr>
        <w:tblPrEx>
          <w:tblCellMar>
            <w:top w:w="0" w:type="dxa"/>
            <w:left w:w="0" w:type="dxa"/>
            <w:bottom w:w="0" w:type="dxa"/>
            <w:right w:w="0" w:type="dxa"/>
          </w:tblCellMar>
        </w:tblPrEx>
        <w:trPr>
          <w:trHeight w:val="90" w:hRule="atLeast"/>
          <w:jc w:val="center"/>
        </w:trPr>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康复治疗</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专业教师</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康复治疗技术、言语听觉康复技术及相关专业教学、科研工作</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B345</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康复医学与理疗学、运动医学、运动康复、言语听觉康复科学、应用心理学</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本科专业为康复治疗学、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临床医学、运动康复、运动人体科学、听力与言语康复学、教育康复学、特殊教育、应用心理学</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面试，100%</w:t>
            </w:r>
          </w:p>
        </w:tc>
        <w:tc>
          <w:tcPr>
            <w:tcW w:w="174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编外，同岗同酬</w:t>
            </w:r>
          </w:p>
        </w:tc>
      </w:tr>
      <w:tr>
        <w:tblPrEx>
          <w:tblCellMar>
            <w:top w:w="0" w:type="dxa"/>
            <w:left w:w="0" w:type="dxa"/>
            <w:bottom w:w="0" w:type="dxa"/>
            <w:right w:w="0" w:type="dxa"/>
          </w:tblCellMar>
        </w:tblPrEx>
        <w:trPr>
          <w:trHeight w:val="793" w:hRule="atLeast"/>
          <w:jc w:val="center"/>
        </w:trPr>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康复治疗</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专业教师</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康复治疗技术、言语听觉康复技术及相关专业教学、科研工作</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B346</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康复医学与理疗学、运动医学、运动康复、言语听觉康复科学、应用心理学</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本科专业为康复治疗学、临床医学、运动康复、运动人体科学、听力与言语康复学、教育康复学、特殊教育、应用心理学</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应届毕业生</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面试，100%</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编外，同岗同酬</w:t>
            </w:r>
          </w:p>
        </w:tc>
      </w:tr>
      <w:tr>
        <w:tblPrEx>
          <w:tblCellMar>
            <w:top w:w="0" w:type="dxa"/>
            <w:left w:w="0" w:type="dxa"/>
            <w:bottom w:w="0" w:type="dxa"/>
            <w:right w:w="0" w:type="dxa"/>
          </w:tblCellMar>
        </w:tblPrEx>
        <w:trPr>
          <w:trHeight w:val="90" w:hRule="atLeast"/>
          <w:jc w:val="center"/>
        </w:trPr>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卫生信息管理专业教师</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主要负责统计学相关课程和病案管理相关课程的教学和课程建设工作，完成岗位相关教学科研任务</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B347</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社会医学与卫生事业管理、流行病与卫生统计学</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本科为全日制本科，本科所学专业为临床医学、公共卫生、护理</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应届毕业生</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面试，100%</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编外，同岗同酬</w:t>
            </w:r>
          </w:p>
        </w:tc>
      </w:tr>
      <w:tr>
        <w:tblPrEx>
          <w:tblCellMar>
            <w:top w:w="0" w:type="dxa"/>
            <w:left w:w="0" w:type="dxa"/>
            <w:bottom w:w="0" w:type="dxa"/>
            <w:right w:w="0" w:type="dxa"/>
          </w:tblCellMar>
        </w:tblPrEx>
        <w:trPr>
          <w:trHeight w:val="90" w:hRule="atLeast"/>
          <w:jc w:val="center"/>
        </w:trPr>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司法鉴定技术专业教师</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司法鉴定专业教学和实践（司法鉴定）</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B348</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法医学</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本科、硕士研究生学历为全日制，本科专业为临床医学</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2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面试，100%</w:t>
            </w:r>
          </w:p>
        </w:tc>
        <w:tc>
          <w:tcPr>
            <w:tcW w:w="174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编外，同岗同酬</w:t>
            </w:r>
          </w:p>
        </w:tc>
      </w:tr>
      <w:tr>
        <w:tblPrEx>
          <w:tblCellMar>
            <w:top w:w="0" w:type="dxa"/>
            <w:left w:w="0" w:type="dxa"/>
            <w:bottom w:w="0" w:type="dxa"/>
            <w:right w:w="0" w:type="dxa"/>
          </w:tblCellMar>
        </w:tblPrEx>
        <w:trPr>
          <w:trHeight w:val="90" w:hRule="atLeast"/>
          <w:jc w:val="center"/>
        </w:trPr>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口腔医学技术专业教师</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从事教学及实验实训指导等工作</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B349</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口腔医学、耳鼻咽喉（口腔方向）</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本科为全日制本科，本科所学专业为口腔医学专业</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2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面试，100%</w:t>
            </w:r>
          </w:p>
        </w:tc>
        <w:tc>
          <w:tcPr>
            <w:tcW w:w="174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编外，同岗同酬</w:t>
            </w:r>
          </w:p>
        </w:tc>
      </w:tr>
      <w:tr>
        <w:tblPrEx>
          <w:tblCellMar>
            <w:top w:w="0" w:type="dxa"/>
            <w:left w:w="0" w:type="dxa"/>
            <w:bottom w:w="0" w:type="dxa"/>
            <w:right w:w="0" w:type="dxa"/>
          </w:tblCellMar>
        </w:tblPrEx>
        <w:trPr>
          <w:trHeight w:val="90" w:hRule="atLeast"/>
          <w:jc w:val="center"/>
        </w:trPr>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预防医学</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专业教师</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以培养预防医学专业专科人才为基础，开展相应的教学科研工作</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B350</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社会医学与卫生事业管理</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本科为全日制本科，本科所学专业为医学类专业或公共事业管理</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应届毕业生</w:t>
            </w:r>
          </w:p>
        </w:tc>
        <w:tc>
          <w:tcPr>
            <w:tcW w:w="12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面试，100%</w:t>
            </w:r>
          </w:p>
        </w:tc>
        <w:tc>
          <w:tcPr>
            <w:tcW w:w="174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编外，同岗同酬</w:t>
            </w:r>
          </w:p>
        </w:tc>
      </w:tr>
      <w:tr>
        <w:tblPrEx>
          <w:tblCellMar>
            <w:top w:w="0" w:type="dxa"/>
            <w:left w:w="0" w:type="dxa"/>
            <w:bottom w:w="0" w:type="dxa"/>
            <w:right w:w="0" w:type="dxa"/>
          </w:tblCellMar>
        </w:tblPrEx>
        <w:trPr>
          <w:trHeight w:val="90" w:hRule="atLeast"/>
          <w:jc w:val="center"/>
        </w:trPr>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预防医学</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专业教师</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以培养预防医学专业专科人才为基础，开展相应的教学研工作</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B351</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临床医学</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本科为全日制本科，本科所学专业为临床医学、预防医学专业</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应届毕业生</w:t>
            </w:r>
          </w:p>
        </w:tc>
        <w:tc>
          <w:tcPr>
            <w:tcW w:w="12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面试，100%</w:t>
            </w:r>
          </w:p>
        </w:tc>
        <w:tc>
          <w:tcPr>
            <w:tcW w:w="174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编外，同岗同酬</w:t>
            </w:r>
          </w:p>
        </w:tc>
      </w:tr>
      <w:tr>
        <w:tblPrEx>
          <w:tblCellMar>
            <w:top w:w="0" w:type="dxa"/>
            <w:left w:w="0" w:type="dxa"/>
            <w:bottom w:w="0" w:type="dxa"/>
            <w:right w:w="0" w:type="dxa"/>
          </w:tblCellMar>
        </w:tblPrEx>
        <w:trPr>
          <w:trHeight w:val="90" w:hRule="atLeast"/>
          <w:jc w:val="center"/>
        </w:trPr>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计算机教师</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课程教学及机房维护</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B352</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计算机（大类）</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本科为全日制本科，本科专业为数学或计算机类</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面试，100%</w:t>
            </w:r>
          </w:p>
        </w:tc>
        <w:tc>
          <w:tcPr>
            <w:tcW w:w="174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编外，同岗同酬</w:t>
            </w:r>
          </w:p>
        </w:tc>
      </w:tr>
      <w:tr>
        <w:tblPrEx>
          <w:tblCellMar>
            <w:top w:w="0" w:type="dxa"/>
            <w:left w:w="0" w:type="dxa"/>
            <w:bottom w:w="0" w:type="dxa"/>
            <w:right w:w="0" w:type="dxa"/>
          </w:tblCellMar>
        </w:tblPrEx>
        <w:trPr>
          <w:trHeight w:val="511" w:hRule="atLeast"/>
          <w:jc w:val="center"/>
        </w:trPr>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思政教育、</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从事思想政治理论课教学、改革和课程建设，对大学生进行全方位的思想政治教育、管理</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B353</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马克思主义中国化、思想政治教育、马克思主义基本原理、政治学、马克思主义理论、法学理论、法学、法治文化、社会治理法学、社会工作、社会学</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本科为全日制本科</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面试，100%</w:t>
            </w:r>
          </w:p>
        </w:tc>
        <w:tc>
          <w:tcPr>
            <w:tcW w:w="174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编外，同岗同酬</w:t>
            </w:r>
          </w:p>
        </w:tc>
      </w:tr>
      <w:tr>
        <w:tblPrEx>
          <w:tblCellMar>
            <w:top w:w="0" w:type="dxa"/>
            <w:left w:w="0" w:type="dxa"/>
            <w:bottom w:w="0" w:type="dxa"/>
            <w:right w:w="0" w:type="dxa"/>
          </w:tblCellMar>
        </w:tblPrEx>
        <w:trPr>
          <w:trHeight w:val="90" w:hRule="atLeast"/>
          <w:jc w:val="center"/>
        </w:trPr>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军事理论教师</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从事军事理论课教学、改革和课程建设，对大学生进行全方位的国防教育</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B354</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国防教育学、高等教育学（国防教育方向）</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本科为全日制本科</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应届毕业生</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面试，100%</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编外，同岗同酬</w:t>
            </w:r>
          </w:p>
        </w:tc>
      </w:tr>
      <w:tr>
        <w:tblPrEx>
          <w:tblCellMar>
            <w:top w:w="0" w:type="dxa"/>
            <w:left w:w="0" w:type="dxa"/>
            <w:bottom w:w="0" w:type="dxa"/>
            <w:right w:w="0" w:type="dxa"/>
          </w:tblCellMar>
        </w:tblPrEx>
        <w:trPr>
          <w:trHeight w:val="90" w:hRule="atLeast"/>
          <w:jc w:val="center"/>
        </w:trPr>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英语教师</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从事英语教学与科研</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B355</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英语教育、英语语言文学、学科教学（英语）</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本科为全日制本科，本科专业为英语</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应届毕业生</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面试，100%</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编外，同岗同酬</w:t>
            </w:r>
          </w:p>
        </w:tc>
      </w:tr>
      <w:tr>
        <w:tblPrEx>
          <w:tblCellMar>
            <w:top w:w="0" w:type="dxa"/>
            <w:left w:w="0" w:type="dxa"/>
            <w:bottom w:w="0" w:type="dxa"/>
            <w:right w:w="0" w:type="dxa"/>
          </w:tblCellMar>
        </w:tblPrEx>
        <w:trPr>
          <w:trHeight w:val="90" w:hRule="atLeast"/>
          <w:jc w:val="center"/>
        </w:trPr>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艺术类教师</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从事艺术理论课教学、改革和课程建设，对大学生进行全方位的艺术教育</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B356</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音乐学、舞蹈学、美术学、音乐与舞蹈学、音乐、舞蹈</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本科为全日制本科</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应届毕业生</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面试，100%</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编外，同岗同酬</w:t>
            </w:r>
          </w:p>
        </w:tc>
      </w:tr>
      <w:tr>
        <w:tblPrEx>
          <w:tblCellMar>
            <w:top w:w="0" w:type="dxa"/>
            <w:left w:w="0" w:type="dxa"/>
            <w:bottom w:w="0" w:type="dxa"/>
            <w:right w:w="0" w:type="dxa"/>
          </w:tblCellMar>
        </w:tblPrEx>
        <w:trPr>
          <w:trHeight w:val="90" w:hRule="atLeast"/>
          <w:jc w:val="center"/>
        </w:trPr>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体育教师</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从事体育教学、训练，侧重于足球、篮球或排球专项教学</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B357</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体育教育训练学、体育教学</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本科为全日制本科，本科为体育教育专业</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应届毕业生</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面试，100%</w:t>
            </w:r>
          </w:p>
        </w:tc>
        <w:tc>
          <w:tcPr>
            <w:tcW w:w="174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编外，同岗同酬</w:t>
            </w:r>
          </w:p>
        </w:tc>
      </w:tr>
      <w:tr>
        <w:tblPrEx>
          <w:tblCellMar>
            <w:top w:w="0" w:type="dxa"/>
            <w:left w:w="0" w:type="dxa"/>
            <w:bottom w:w="0" w:type="dxa"/>
            <w:right w:w="0" w:type="dxa"/>
          </w:tblCellMar>
        </w:tblPrEx>
        <w:trPr>
          <w:trHeight w:val="90" w:hRule="atLeast"/>
          <w:jc w:val="center"/>
        </w:trPr>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药理学教师</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主要从事各专业药理学课程的教学工作</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B358</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药理学</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本科为全日制本科，本科专业为临床医学、预防医学、口腔医学、麻醉学、护理类、临床药学、基础医学</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应届毕业生</w:t>
            </w:r>
          </w:p>
        </w:tc>
        <w:tc>
          <w:tcPr>
            <w:tcW w:w="12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面试，100%</w:t>
            </w:r>
          </w:p>
        </w:tc>
        <w:tc>
          <w:tcPr>
            <w:tcW w:w="174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编外，同岗同酬</w:t>
            </w:r>
          </w:p>
        </w:tc>
      </w:tr>
      <w:tr>
        <w:tblPrEx>
          <w:tblCellMar>
            <w:top w:w="0" w:type="dxa"/>
            <w:left w:w="0" w:type="dxa"/>
            <w:bottom w:w="0" w:type="dxa"/>
            <w:right w:w="0" w:type="dxa"/>
          </w:tblCellMar>
        </w:tblPrEx>
        <w:trPr>
          <w:trHeight w:val="90" w:hRule="atLeast"/>
          <w:jc w:val="center"/>
        </w:trPr>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生理学教师</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主要从事临床、护理等专业生理学课程的教学工作</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B359</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生理学</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本科为全日制本科，本科专业为临床医学、基础医学、口腔医学</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应届毕业生</w:t>
            </w:r>
          </w:p>
        </w:tc>
        <w:tc>
          <w:tcPr>
            <w:tcW w:w="12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面试，100%</w:t>
            </w:r>
          </w:p>
        </w:tc>
        <w:tc>
          <w:tcPr>
            <w:tcW w:w="174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编外，同岗同酬</w:t>
            </w:r>
          </w:p>
        </w:tc>
      </w:tr>
      <w:tr>
        <w:tblPrEx>
          <w:tblCellMar>
            <w:top w:w="0" w:type="dxa"/>
            <w:left w:w="0" w:type="dxa"/>
            <w:bottom w:w="0" w:type="dxa"/>
            <w:right w:w="0" w:type="dxa"/>
          </w:tblCellMar>
        </w:tblPrEx>
        <w:trPr>
          <w:trHeight w:val="90" w:hRule="atLeast"/>
          <w:jc w:val="center"/>
        </w:trPr>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基础医学教师</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主要从事各专业病理学与病理生理学课程的教学工作</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B360</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病理学、病理学与病理生理学</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本科、硕士研究生为全日制</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应届毕业生</w:t>
            </w:r>
          </w:p>
        </w:tc>
        <w:tc>
          <w:tcPr>
            <w:tcW w:w="12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面试，100%</w:t>
            </w:r>
          </w:p>
        </w:tc>
        <w:tc>
          <w:tcPr>
            <w:tcW w:w="174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编外，同岗同酬</w:t>
            </w:r>
          </w:p>
        </w:tc>
      </w:tr>
      <w:tr>
        <w:tblPrEx>
          <w:tblCellMar>
            <w:top w:w="0" w:type="dxa"/>
            <w:left w:w="0" w:type="dxa"/>
            <w:bottom w:w="0" w:type="dxa"/>
            <w:right w:w="0" w:type="dxa"/>
          </w:tblCellMar>
        </w:tblPrEx>
        <w:trPr>
          <w:trHeight w:val="223" w:hRule="atLeast"/>
          <w:jc w:val="center"/>
        </w:trPr>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病免教师</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主要从事病原生物学与与免疫学的教学工作</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B361</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免疫学、微生物学</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本科、硕士研究生为全日制，本科专业为临床医学、护理、口腔医学、基础医学</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应届毕业生</w:t>
            </w:r>
          </w:p>
        </w:tc>
        <w:tc>
          <w:tcPr>
            <w:tcW w:w="12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面试，100%</w:t>
            </w:r>
          </w:p>
        </w:tc>
        <w:tc>
          <w:tcPr>
            <w:tcW w:w="174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编外，同岗同酬</w:t>
            </w:r>
          </w:p>
        </w:tc>
      </w:tr>
      <w:tr>
        <w:tblPrEx>
          <w:tblCellMar>
            <w:top w:w="0" w:type="dxa"/>
            <w:left w:w="0" w:type="dxa"/>
            <w:bottom w:w="0" w:type="dxa"/>
            <w:right w:w="0" w:type="dxa"/>
          </w:tblCellMar>
        </w:tblPrEx>
        <w:trPr>
          <w:trHeight w:val="90" w:hRule="atLeast"/>
          <w:jc w:val="center"/>
        </w:trPr>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解剖学教师</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承担人体解剖、组织胚胎学、局剖解剖学的教学任务</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B362</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人体解剖学、组织胚胎学</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本科为全日制本科，本科专业为临床医学或基础医学</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应届毕业生</w:t>
            </w:r>
          </w:p>
        </w:tc>
        <w:tc>
          <w:tcPr>
            <w:tcW w:w="12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面试，100%</w:t>
            </w:r>
          </w:p>
        </w:tc>
        <w:tc>
          <w:tcPr>
            <w:tcW w:w="174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编外，同岗同酬</w:t>
            </w:r>
          </w:p>
        </w:tc>
      </w:tr>
      <w:tr>
        <w:tblPrEx>
          <w:tblCellMar>
            <w:top w:w="0" w:type="dxa"/>
            <w:left w:w="0" w:type="dxa"/>
            <w:bottom w:w="0" w:type="dxa"/>
            <w:right w:w="0" w:type="dxa"/>
          </w:tblCellMar>
        </w:tblPrEx>
        <w:trPr>
          <w:trHeight w:val="979" w:hRule="atLeast"/>
          <w:jc w:val="center"/>
        </w:trPr>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负责留学生教育管理工作</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B363</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英语语言文学、学科教学（英语）、翻译、对外汉语、教育学</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本科为全日制本科，本科专业为英语</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应届毕业生</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面试，100%</w:t>
            </w:r>
          </w:p>
        </w:tc>
        <w:tc>
          <w:tcPr>
            <w:tcW w:w="174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编外，同岗同酬</w:t>
            </w:r>
          </w:p>
        </w:tc>
      </w:tr>
      <w:tr>
        <w:tblPrEx>
          <w:tblCellMar>
            <w:top w:w="0" w:type="dxa"/>
            <w:left w:w="0" w:type="dxa"/>
            <w:bottom w:w="0" w:type="dxa"/>
            <w:right w:w="0" w:type="dxa"/>
          </w:tblCellMar>
        </w:tblPrEx>
        <w:trPr>
          <w:trHeight w:val="90" w:hRule="atLeast"/>
          <w:jc w:val="center"/>
        </w:trPr>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科研助理</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参与江苏高校哲学社会科学重点研究基地建设 </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B364</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社会医学与卫生事业管理、流行病与卫生统计学、公共卫生、临床医学</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本科为全日制本科</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应届毕业生</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面试，100%</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编外，同岗同酬</w:t>
            </w:r>
          </w:p>
        </w:tc>
      </w:tr>
      <w:tr>
        <w:tblPrEx>
          <w:tblCellMar>
            <w:top w:w="0" w:type="dxa"/>
            <w:left w:w="0" w:type="dxa"/>
            <w:bottom w:w="0" w:type="dxa"/>
            <w:right w:w="0" w:type="dxa"/>
          </w:tblCellMar>
        </w:tblPrEx>
        <w:trPr>
          <w:trHeight w:val="90" w:hRule="atLeast"/>
          <w:jc w:val="center"/>
        </w:trPr>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科研助理</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科研平台的管理，协助研究人员开展实验</w:t>
            </w:r>
          </w:p>
        </w:tc>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B365</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临床医学、基础医学、药学、细胞生物学、生物化学与分子生物学、生物工程、生物医学工程、特种医学、法医学、中药学</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本科为全日制本科</w:t>
            </w:r>
          </w:p>
        </w:tc>
        <w:tc>
          <w:tcPr>
            <w:tcW w:w="1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应届毕业生</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面试，100%</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编外，同岗同酬</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B36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yaohui</dc:creator>
  <cp:lastModifiedBy>yaohui</cp:lastModifiedBy>
  <dcterms:modified xsi:type="dcterms:W3CDTF">2020-07-15T01:19:47Z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