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outlineLvl w:val="1"/>
        <w:rPr>
          <w:rFonts w:ascii="宋体" w:hAnsi="宋体" w:eastAsia="宋体" w:cs="宋体"/>
          <w:b/>
          <w:sz w:val="21"/>
          <w:szCs w:val="21"/>
        </w:rPr>
      </w:pPr>
      <w:r>
        <w:rPr>
          <w:rFonts w:hint="eastAsia" w:ascii="宋体" w:hAnsi="宋体" w:eastAsia="宋体" w:cs="宋体"/>
          <w:b/>
          <w:sz w:val="21"/>
          <w:szCs w:val="21"/>
        </w:rPr>
        <w:t>第一部分：采购需求及参数要求</w:t>
      </w:r>
    </w:p>
    <w:p>
      <w:pPr>
        <w:widowControl/>
        <w:rPr>
          <w:rFonts w:ascii="宋体" w:hAnsi="宋体" w:cs="宋体"/>
          <w:b/>
          <w:kern w:val="0"/>
          <w:szCs w:val="21"/>
        </w:rPr>
      </w:pPr>
      <w:bookmarkStart w:id="0" w:name="_Toc108881184"/>
      <w:bookmarkStart w:id="1" w:name="_Toc108041646"/>
      <w:bookmarkStart w:id="2" w:name="_Toc115881320"/>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一、</w:t>
      </w:r>
      <w:r>
        <w:rPr>
          <w:rFonts w:hint="eastAsia" w:ascii="宋体" w:hAnsi="宋体" w:eastAsia="宋体" w:cs="宋体"/>
          <w:b/>
          <w:sz w:val="21"/>
          <w:szCs w:val="21"/>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多功能酶标仪一种应用非常广泛的光学检测设备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它可以提供许多种检测方法，包括化学发光、荧光强度、光吸收、</w:t>
      </w:r>
      <w:r>
        <w:rPr>
          <w:rFonts w:hint="eastAsia" w:ascii="宋体" w:hAnsi="宋体" w:eastAsia="宋体" w:cs="宋体"/>
          <w:color w:val="000000" w:themeColor="text1"/>
          <w:sz w:val="21"/>
          <w:szCs w:val="21"/>
          <w14:textFill>
            <w14:solidFill>
              <w14:schemeClr w14:val="tx1"/>
            </w14:solidFill>
          </w14:textFill>
        </w:rPr>
        <w:t>时间分辨荧光</w:t>
      </w:r>
      <w:r>
        <w:rPr>
          <w:rFonts w:hint="eastAsia" w:ascii="宋体" w:hAnsi="宋体" w:eastAsia="宋体" w:cs="宋体"/>
          <w:color w:val="000000"/>
          <w:sz w:val="21"/>
          <w:szCs w:val="21"/>
        </w:rPr>
        <w:t>等检测功能。当前心脑血管和癌症两类重大慢病的生物标志物研究是省工程中心的重点研究方向。该课题研究过程中，常常涉及肿瘤标志物的筛查检测、功能验证、机制探索和应用开发等所需要的细胞生物学信号转导测定、免疫学测定到快速/慢速动力学研究、药物筛选以及各种定量分析等各种应用</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二、主要技术参数</w:t>
      </w:r>
    </w:p>
    <w:tbl>
      <w:tblPr>
        <w:tblStyle w:val="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3"/>
        <w:gridCol w:w="504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213"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5046" w:type="dxa"/>
            <w:tcBorders>
              <w:top w:val="single" w:color="000000" w:sz="4" w:space="0"/>
            </w:tcBorders>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主要技术需求</w:t>
            </w:r>
          </w:p>
        </w:tc>
        <w:tc>
          <w:tcPr>
            <w:tcW w:w="851"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850"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829"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val="0"/>
                <w:bCs/>
                <w:kern w:val="0"/>
                <w:sz w:val="21"/>
                <w:szCs w:val="21"/>
              </w:rPr>
              <w:t>1</w:t>
            </w:r>
          </w:p>
        </w:tc>
        <w:tc>
          <w:tcPr>
            <w:tcW w:w="1213" w:type="dxa"/>
            <w:vAlign w:val="center"/>
          </w:tcPr>
          <w:p>
            <w:pPr>
              <w:widowControl/>
              <w:jc w:val="center"/>
              <w:rPr>
                <w:rFonts w:hint="eastAsia" w:ascii="宋体" w:hAnsi="宋体" w:eastAsia="宋体" w:cs="宋体"/>
                <w:bCs/>
                <w:kern w:val="0"/>
                <w:sz w:val="21"/>
                <w:szCs w:val="21"/>
              </w:rPr>
            </w:pPr>
            <w:r>
              <w:rPr>
                <w:rFonts w:hint="eastAsia" w:ascii="宋体" w:hAnsi="宋体" w:eastAsia="宋体" w:cs="宋体"/>
                <w:bCs/>
                <w:kern w:val="0"/>
                <w:sz w:val="21"/>
                <w:szCs w:val="21"/>
              </w:rPr>
              <w:t>多功能酶标仪</w:t>
            </w:r>
          </w:p>
        </w:tc>
        <w:tc>
          <w:tcPr>
            <w:tcW w:w="5046" w:type="dxa"/>
            <w:vAlign w:val="center"/>
          </w:tcPr>
          <w:p>
            <w:pPr>
              <w:spacing w:line="288"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 检测模式：能够进行荧光强度（包括FRET等）、全波长吸收光</w:t>
            </w:r>
            <w:r>
              <w:rPr>
                <w:rFonts w:hint="eastAsia" w:ascii="宋体" w:hAnsi="宋体" w:eastAsia="宋体" w:cs="宋体"/>
                <w:color w:val="FF0000"/>
                <w:sz w:val="21"/>
                <w:szCs w:val="21"/>
              </w:rPr>
              <w:t>、</w:t>
            </w:r>
            <w:r>
              <w:rPr>
                <w:rFonts w:hint="eastAsia" w:ascii="宋体" w:hAnsi="宋体" w:eastAsia="宋体" w:cs="宋体"/>
                <w:color w:val="000000"/>
                <w:sz w:val="21"/>
                <w:szCs w:val="21"/>
              </w:rPr>
              <w:t>化学发光（包括BRET，闪光及慢发光等）、</w:t>
            </w:r>
            <w:r>
              <w:rPr>
                <w:rFonts w:hint="eastAsia" w:ascii="宋体" w:hAnsi="宋体" w:eastAsia="宋体" w:cs="宋体"/>
                <w:color w:val="000000" w:themeColor="text1"/>
                <w:sz w:val="21"/>
                <w:szCs w:val="21"/>
                <w14:textFill>
                  <w14:solidFill>
                    <w14:schemeClr w14:val="tx1"/>
                  </w14:solidFill>
                </w14:textFill>
              </w:rPr>
              <w:t>时间分辨荧光</w:t>
            </w:r>
            <w:r>
              <w:rPr>
                <w:rFonts w:hint="eastAsia" w:ascii="宋体" w:hAnsi="宋体" w:eastAsia="宋体" w:cs="宋体"/>
                <w:color w:val="000000"/>
                <w:sz w:val="21"/>
                <w:szCs w:val="21"/>
              </w:rPr>
              <w:t>等多种模式的检测</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 光源类型：长寿命高能闪烁氙灯</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 检测器：超快速线性CCD，低噪音超灵敏光电倍增管（PMT）</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 读板方式：支持终点法、动力学、顺序多激发、顺序多发射、比例测定、光谱扫描、孔域扫描，轨道平均，椭圆平均等</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微孔类型：支持6-384孔板检测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 震荡：微孔板震荡器可控制时间、力度和方向以线性，圆形或双圆形的轨道运行，振荡频率100～700rpm</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 温度控制范围 ：</w:t>
            </w:r>
            <w:r>
              <w:rPr>
                <w:rFonts w:hint="eastAsia" w:ascii="宋体" w:hAnsi="宋体" w:eastAsia="宋体" w:cs="宋体"/>
                <w:color w:val="000000" w:themeColor="text1"/>
                <w:sz w:val="21"/>
                <w:szCs w:val="21"/>
                <w14:textFill>
                  <w14:solidFill>
                    <w14:schemeClr w14:val="tx1"/>
                  </w14:solidFill>
                </w14:textFill>
              </w:rPr>
              <w:t>室温+4 °C ~ 45°C</w:t>
            </w:r>
            <w:r>
              <w:rPr>
                <w:rFonts w:hint="eastAsia" w:ascii="宋体" w:hAnsi="宋体" w:eastAsia="宋体" w:cs="宋体"/>
                <w:color w:val="000000"/>
                <w:sz w:val="21"/>
                <w:szCs w:val="21"/>
              </w:rPr>
              <w:t>，精度控制为0.1°C；温度稳定性 0.2°C， 温度均一性 &lt; 0.5°C。</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 板孔扫描：</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可进行每孔多达30x30点高精度扫描，为细胞转染料测定等实验提供最精准检测方式</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独特的轨道平均检测技术，可为悬浮微生物等样品检测提供最快速最精准的检测方式</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各种检测模式支持特有的椭圆平均和轨道平均检测技术，为贴壁细胞等非均匀分布样品提供最佳检测方式</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 荧光检测模块：</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检测灵敏度：&lt;10pM（&lt;0.2 fmol/孔荧光素，384孔板,20ul)</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动态范围：6个数量级</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荧光检测速度：飞行模式：9 s (96孔板)，16 s (384孔板)</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 化学发光检测模块：</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灵敏度：&lt;20amol/孔ATP</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动态范围：8个数量级</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themeColor="text1"/>
                <w:sz w:val="21"/>
                <w:szCs w:val="21"/>
                <w14:textFill>
                  <w14:solidFill>
                    <w14:schemeClr w14:val="tx1"/>
                  </w14:solidFill>
                </w14:textFill>
              </w:rPr>
              <w:t>支持化学发光底读模式</w:t>
            </w:r>
            <w:r>
              <w:rPr>
                <w:rFonts w:hint="eastAsia" w:ascii="宋体" w:hAnsi="宋体" w:eastAsia="宋体" w:cs="宋体"/>
                <w:color w:val="000000" w:themeColor="text1"/>
                <w:sz w:val="21"/>
                <w:szCs w:val="21"/>
                <w:lang w:eastAsia="zh-CN"/>
                <w14:textFill>
                  <w14:solidFill>
                    <w14:schemeClr w14:val="tx1"/>
                  </w14:solidFill>
                </w14:textFill>
              </w:rPr>
              <w:t>；</w:t>
            </w:r>
          </w:p>
          <w:p>
            <w:pPr>
              <w:spacing w:line="27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专用供电器与电子部件是屏蔽式， 减少背景噪音</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 光吸收检测模块：</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超快速免选波长全波长扫描220-1000nm：小于1秒/孔，长期检测，免光路校正</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带宽：&lt;3nm，波长特异性高</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检测范围：0-4 D；光谱分辨率：1nm，2nm，5nm和10nm不同步进，灵活可选</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准确性：&lt;1% @2OD；精确度: &lt;0.5%@1OD，&lt;0.8%@2OD</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12.MARS软件： 人性化软件，图像化视窗式设计</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能通过软件全自动控制仪器</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高级Script语言控制模式，可以实现同一块酶标板上同时进行多模式（光吸收、荧光、化学发光、顶读、底读）检测</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动态多窗口运行：在同一个实验里以不同的速率收集数据（最多4种速率），慢速及快速动力学-最快可达每秒50次测读</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随机选取实验参数分析数据</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具备数据分析所需的一切功能软件和计算方法</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数据能够以Microsoft Excel等数据软件进行保存</w:t>
            </w:r>
            <w:r>
              <w:rPr>
                <w:rFonts w:hint="eastAsia" w:ascii="宋体" w:hAnsi="宋体" w:eastAsia="宋体" w:cs="宋体"/>
                <w:color w:val="000000"/>
                <w:sz w:val="21"/>
                <w:szCs w:val="21"/>
                <w:lang w:eastAsia="zh-CN"/>
              </w:rPr>
              <w:t>。</w:t>
            </w:r>
          </w:p>
        </w:tc>
        <w:tc>
          <w:tcPr>
            <w:tcW w:w="85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bl>
    <w:p>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bookmarkStart w:id="3" w:name="_Toc15882"/>
      <w:bookmarkStart w:id="4" w:name="_Toc11488"/>
      <w:r>
        <w:rPr>
          <w:rFonts w:hint="eastAsia" w:ascii="宋体" w:hAnsi="宋体" w:eastAsia="宋体" w:cs="宋体"/>
          <w:b/>
          <w:color w:val="000000" w:themeColor="text1"/>
          <w:sz w:val="21"/>
          <w:szCs w:val="21"/>
          <w14:textFill>
            <w14:solidFill>
              <w14:schemeClr w14:val="tx1"/>
            </w14:solidFill>
          </w14:textFill>
        </w:rPr>
        <w:t>三、服务要求及质量保障：</w:t>
      </w:r>
    </w:p>
    <w:bookmarkEnd w:id="3"/>
    <w:bookmarkEnd w:id="4"/>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5" w:name="_Toc3368"/>
      <w:bookmarkStart w:id="6" w:name="_Toc14629"/>
      <w:bookmarkStart w:id="7" w:name="_Toc115881321"/>
      <w:bookmarkStart w:id="8" w:name="_Toc867"/>
      <w:r>
        <w:rPr>
          <w:rFonts w:hint="eastAsia" w:ascii="宋体" w:hAnsi="宋体" w:eastAsia="宋体" w:cs="宋体"/>
          <w:color w:val="000000" w:themeColor="text1"/>
          <w:sz w:val="21"/>
          <w:szCs w:val="21"/>
          <w14:textFill>
            <w14:solidFill>
              <w14:schemeClr w14:val="tx1"/>
            </w14:solidFill>
          </w14:textFill>
        </w:rPr>
        <w:t>（一）培训及售后服务：现场完成安装、调试之后，由投标供应商工程师提供免费操作培训。培训内容主要包括设备原理、基本操作要领、设备简易故障排除和维护保养知识等，直至用户熟练操作。</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（二）须提供售后服务机构名称、地址，以及专业技术人员名单和联系电话。</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质保期：提供至少1年的免费质保期，自验收合格之日起计算。在质保期内，若仪器设备因质量或设备本身问题出现故障，由投标供应商进行免费更换。对于采购人的服务通知，投标供应商必须在接到通知后4小时内予以响应，若有必要，投标供应商工程师必须8小时内到达现场，48小时内处理完毕。若在48小时内未能有效解决，投标供应商须免费提供同档次的设备予采购人临时使用。</w:t>
      </w:r>
    </w:p>
    <w:p>
      <w:pPr>
        <w:pStyle w:val="5"/>
        <w:keepNext w:val="0"/>
        <w:keepLines w:val="0"/>
        <w:pageBreakBefore w:val="0"/>
        <w:tabs>
          <w:tab w:val="clear" w:pos="360"/>
        </w:tabs>
        <w:kinsoku/>
        <w:wordWrap/>
        <w:overflowPunct/>
        <w:topLinePunct w:val="0"/>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9" w:name="_Toc17588"/>
      <w:bookmarkStart w:id="10" w:name="_Toc2406"/>
      <w:bookmarkStart w:id="11" w:name="_Toc7122"/>
      <w:r>
        <w:rPr>
          <w:rFonts w:hint="eastAsia" w:ascii="宋体" w:hAnsi="宋体" w:eastAsia="宋体" w:cs="宋体"/>
          <w:color w:val="000000" w:themeColor="text1"/>
          <w:sz w:val="21"/>
          <w:szCs w:val="21"/>
          <w:highlight w:val="none"/>
          <w14:textFill>
            <w14:solidFill>
              <w14:schemeClr w14:val="tx1"/>
            </w14:solidFill>
          </w14:textFill>
        </w:rPr>
        <w:t>质保期外，服务响应时间与质保期内一致，同时备品备件以合理优惠价格供应。</w:t>
      </w:r>
      <w:bookmarkEnd w:id="9"/>
      <w:bookmarkEnd w:id="10"/>
      <w:bookmarkEnd w:id="11"/>
    </w:p>
    <w:p>
      <w:pPr>
        <w:pStyle w:val="5"/>
        <w:keepNext w:val="0"/>
        <w:keepLines w:val="0"/>
        <w:pageBreakBefore w:val="0"/>
        <w:tabs>
          <w:tab w:val="clear" w:pos="360"/>
        </w:tabs>
        <w:kinsoku/>
        <w:wordWrap/>
        <w:overflowPunct/>
        <w:topLinePunct w:val="0"/>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2" w:name="_Toc23156"/>
      <w:bookmarkStart w:id="13" w:name="_Toc6064"/>
      <w:r>
        <w:rPr>
          <w:rFonts w:hint="eastAsia" w:ascii="宋体" w:hAnsi="宋体" w:eastAsia="宋体" w:cs="宋体"/>
          <w:color w:val="000000" w:themeColor="text1"/>
          <w:sz w:val="21"/>
          <w:szCs w:val="21"/>
          <w14:textFill>
            <w14:solidFill>
              <w14:schemeClr w14:val="tx1"/>
            </w14:solidFill>
          </w14:textFill>
        </w:rPr>
        <w:t>四、交货期、交货方式及交货地点</w:t>
      </w:r>
      <w:bookmarkEnd w:id="5"/>
      <w:bookmarkEnd w:id="6"/>
      <w:bookmarkEnd w:id="7"/>
      <w:bookmarkEnd w:id="8"/>
      <w:bookmarkEnd w:id="12"/>
      <w:bookmarkEnd w:id="13"/>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4" w:name="_Toc26881"/>
      <w:bookmarkStart w:id="15" w:name="_Toc8463"/>
      <w:bookmarkStart w:id="16" w:name="_Toc2709"/>
      <w:r>
        <w:rPr>
          <w:rFonts w:hint="eastAsia" w:ascii="宋体" w:hAnsi="宋体" w:eastAsia="宋体" w:cs="宋体"/>
          <w:color w:val="000000" w:themeColor="text1"/>
          <w:sz w:val="21"/>
          <w:szCs w:val="21"/>
          <w14:textFill>
            <w14:solidFill>
              <w14:schemeClr w14:val="tx1"/>
            </w14:solidFill>
          </w14:textFill>
        </w:rPr>
        <w:t>（一）所供产品必须符合国家标准，设备和配件为全新原装，功能符合使用要求，保证为正规渠道供货的正宗原厂产品。须提供良好的售后服务，终身提供技术支持。</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（二）供货方式、时间及地点要求：</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合同签订后180天内设备运抵</w:t>
      </w:r>
      <w:r>
        <w:rPr>
          <w:rFonts w:hint="eastAsia" w:ascii="宋体" w:hAnsi="宋体" w:eastAsia="宋体" w:cs="宋体"/>
          <w:color w:val="000000" w:themeColor="text1"/>
          <w:kern w:val="0"/>
          <w:sz w:val="21"/>
          <w:szCs w:val="21"/>
          <w14:textFill>
            <w14:solidFill>
              <w14:schemeClr w14:val="tx1"/>
            </w14:solidFill>
          </w14:textFill>
        </w:rPr>
        <w:t>江苏医药职业学院校内</w:t>
      </w:r>
      <w:r>
        <w:rPr>
          <w:rFonts w:hint="eastAsia" w:ascii="宋体" w:hAnsi="宋体" w:eastAsia="宋体" w:cs="宋体"/>
          <w:color w:val="000000" w:themeColor="text1"/>
          <w:sz w:val="21"/>
          <w:szCs w:val="21"/>
          <w14:textFill>
            <w14:solidFill>
              <w14:schemeClr w14:val="tx1"/>
            </w14:solidFill>
          </w14:textFill>
        </w:rPr>
        <w:t>指定地点，在接到采购方安装通知后，供货方应在15天内完成设备的安装及调试。</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(三）验收方法及验收标准：</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2.后续运营维护、升级更新、备品备件等要求保证本设备终身的后续售后服务，提供后续终身免费软件升级，终身保证本设备的备件及耗材供应。</w:t>
      </w:r>
    </w:p>
    <w:p>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进口产品需随货提供报关单。初步验收不合格的不予签收货物。</w:t>
      </w:r>
    </w:p>
    <w:p>
      <w:pPr>
        <w:pStyle w:val="5"/>
        <w:keepNext w:val="0"/>
        <w:keepLines w:val="0"/>
        <w:pageBreakBefore w:val="0"/>
        <w:tabs>
          <w:tab w:val="clear" w:pos="360"/>
        </w:tabs>
        <w:kinsoku/>
        <w:wordWrap/>
        <w:overflowPunct/>
        <w:topLinePunct w:val="0"/>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7" w:name="_Toc115881322"/>
      <w:bookmarkStart w:id="18" w:name="_Toc23232"/>
      <w:bookmarkStart w:id="19" w:name="_Toc20183"/>
      <w:bookmarkStart w:id="20" w:name="_Toc6442"/>
      <w:bookmarkStart w:id="21" w:name="_Toc25193"/>
      <w:bookmarkStart w:id="22" w:name="_Toc1143"/>
      <w:r>
        <w:rPr>
          <w:rFonts w:hint="eastAsia" w:ascii="宋体" w:hAnsi="宋体" w:eastAsia="宋体" w:cs="宋体"/>
          <w:color w:val="000000" w:themeColor="text1"/>
          <w:sz w:val="21"/>
          <w:szCs w:val="21"/>
          <w14:textFill>
            <w14:solidFill>
              <w14:schemeClr w14:val="tx1"/>
            </w14:solidFill>
          </w14:textFill>
        </w:rPr>
        <w:t>五、货款支付</w:t>
      </w:r>
      <w:bookmarkEnd w:id="17"/>
      <w:bookmarkEnd w:id="18"/>
      <w:bookmarkEnd w:id="19"/>
      <w:bookmarkEnd w:id="20"/>
      <w:bookmarkEnd w:id="21"/>
      <w:bookmarkEnd w:id="22"/>
    </w:p>
    <w:bookmarkEnd w:id="14"/>
    <w:bookmarkEnd w:id="15"/>
    <w:bookmarkEnd w:id="16"/>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23" w:name="_Toc115881323"/>
      <w:bookmarkStart w:id="24" w:name="_Toc5423"/>
      <w:r>
        <w:rPr>
          <w:rFonts w:hint="eastAsia" w:ascii="宋体" w:hAnsi="宋体" w:eastAsia="宋体" w:cs="宋体"/>
          <w:color w:val="000000" w:themeColor="text1"/>
          <w:sz w:val="21"/>
          <w:szCs w:val="21"/>
          <w14:textFill>
            <w14:solidFill>
              <w14:schemeClr w14:val="tx1"/>
            </w14:solidFill>
          </w14:textFill>
        </w:rPr>
        <w:t>项目验收合格后无质量问题支付合同价的70%款项；审计合格后付至审计价的90%，余款待验收合格质保结束后无质量问题一次性无息付清。</w:t>
      </w:r>
    </w:p>
    <w:p>
      <w:pPr>
        <w:keepNext w:val="0"/>
        <w:keepLines w:val="0"/>
        <w:pageBreakBefore w:val="0"/>
        <w:kinsoku/>
        <w:wordWrap/>
        <w:overflowPunct/>
        <w:topLinePunct w:val="0"/>
        <w:autoSpaceDE w:val="0"/>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w:t>
      </w:r>
      <w:bookmarkEnd w:id="23"/>
      <w:bookmarkStart w:id="25" w:name="_Toc115881324"/>
      <w:r>
        <w:rPr>
          <w:rFonts w:hint="eastAsia" w:ascii="宋体" w:hAnsi="宋体" w:eastAsia="宋体" w:cs="宋体"/>
          <w:b/>
          <w:bCs/>
          <w:color w:val="000000" w:themeColor="text1"/>
          <w:sz w:val="21"/>
          <w:szCs w:val="21"/>
          <w14:textFill>
            <w14:solidFill>
              <w14:schemeClr w14:val="tx1"/>
            </w14:solidFill>
          </w14:textFill>
        </w:rPr>
        <w:t>其他要求</w:t>
      </w:r>
      <w:bookmarkEnd w:id="24"/>
      <w:bookmarkEnd w:id="25"/>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（一）制订项目实施方案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应根据招标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（二）制订项目的验收方案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应根据招标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w:t>
      </w:r>
      <w:r>
        <w:rPr>
          <w:rFonts w:hint="eastAsia" w:ascii="宋体" w:hAnsi="宋体" w:cs="宋体"/>
          <w:color w:val="000000" w:themeColor="text1"/>
          <w:sz w:val="21"/>
          <w:szCs w:val="21"/>
          <w:lang w:eastAsia="zh-CN"/>
          <w14:textFill>
            <w14:solidFill>
              <w14:schemeClr w14:val="tx1"/>
            </w14:solidFill>
          </w14:textFill>
        </w:rPr>
        <w:t>投标供应商</w:t>
      </w:r>
      <w:r>
        <w:rPr>
          <w:rFonts w:hint="eastAsia" w:ascii="宋体" w:hAnsi="宋体" w:eastAsia="宋体" w:cs="宋体"/>
          <w:color w:val="000000" w:themeColor="text1"/>
          <w:sz w:val="21"/>
          <w:szCs w:val="21"/>
          <w14:textFill>
            <w14:solidFill>
              <w14:schemeClr w14:val="tx1"/>
            </w14:solidFill>
          </w14:textFill>
        </w:rPr>
        <w:t>的各项响应承诺要求。方案应做到完整全面、科学可行，并有针对性。</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（三）制订项目培训方案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应根据招标文件要求及本项目特点，制订相应的培训教材并提供培训课程，且承诺维修工程师首次安装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应做到培训计划内容编写充分完善，方案完整全面、科学可行，并有针对性。</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（四）制订项目售后服务方案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需响应招标文件质保和维保的服务要求，针对本项目自身及所投产品品牌原厂的响应标准、服务体系、备件体系、故障解决方案、专业技术人员保障等售后服务承诺方案；服务方案应内容详实完整、科学合理、售后应答及时、具备针对性、切实可行。</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（五）报价要求</w:t>
      </w:r>
    </w:p>
    <w:p>
      <w:pPr>
        <w:keepNext w:val="0"/>
        <w:keepLines w:val="0"/>
        <w:pageBreakBefore w:val="0"/>
        <w:kinsoku/>
        <w:wordWrap/>
        <w:overflowPunct/>
        <w:topLinePunct w:val="0"/>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sz w:val="21"/>
          <w:szCs w:val="21"/>
          <w14:textFill>
            <w14:solidFill>
              <w14:schemeClr w14:val="tx1"/>
            </w14:solidFill>
          </w14:textFill>
        </w:rPr>
      </w:pPr>
      <w:bookmarkStart w:id="26" w:name="_Toc17468"/>
      <w:bookmarkStart w:id="27" w:name="_Toc16566"/>
      <w:bookmarkStart w:id="28" w:name="_Toc11690"/>
      <w:r>
        <w:rPr>
          <w:rFonts w:hint="eastAsia" w:ascii="宋体" w:hAnsi="宋体" w:eastAsia="宋体" w:cs="宋体"/>
          <w:color w:val="000000" w:themeColor="text1"/>
          <w:sz w:val="21"/>
          <w:szCs w:val="21"/>
          <w14:textFill>
            <w14:solidFill>
              <w14:schemeClr w14:val="tx1"/>
            </w14:solidFill>
          </w14:textFill>
        </w:rPr>
        <w:t>投标供应商应当根据采购项目的要求按人民币报价。该项目已按规定办理进口产品采购审核备案有关手续，接受进口产品（即通过中国海关报关验放进入中国境内且产自关境外的产品）参与投标。</w:t>
      </w:r>
      <w:r>
        <w:rPr>
          <w:rFonts w:hint="eastAsia" w:ascii="宋体" w:hAnsi="宋体" w:cs="宋体"/>
          <w:color w:val="000000" w:themeColor="text1"/>
          <w:sz w:val="21"/>
          <w:szCs w:val="21"/>
          <w:lang w:eastAsia="zh-CN"/>
          <w14:textFill>
            <w14:solidFill>
              <w14:schemeClr w14:val="tx1"/>
            </w14:solidFill>
          </w14:textFill>
        </w:rPr>
        <w:t>投标供应商</w:t>
      </w:r>
      <w:r>
        <w:rPr>
          <w:rFonts w:hint="eastAsia" w:ascii="宋体" w:hAnsi="宋体" w:eastAsia="宋体" w:cs="宋体"/>
          <w:color w:val="000000" w:themeColor="text1"/>
          <w:sz w:val="21"/>
          <w:szCs w:val="21"/>
          <w14:textFill>
            <w14:solidFill>
              <w14:schemeClr w14:val="tx1"/>
            </w14:solidFill>
          </w14:textFill>
        </w:rPr>
        <w:t>负责办理进口产品有关报关等手续及所有相关费用，采购人不再支付额外费用。投标报价所涉及的各项费用（包含全部货物及伴随工程和服务、进出口代理费、海关办证费、报关费、报验费、银行手续费、运杂费、税费、利润、安装调试费、培训费、售后服务费及其他全部费用的总和）由中标人自行结算，采购人不再支付除中标价以外的任何费用。若合同条款中无另行约定,则合同履行期间项目实施相关费用不因市场变化因素而变动。</w:t>
      </w:r>
      <w:bookmarkEnd w:id="26"/>
      <w:bookmarkEnd w:id="27"/>
      <w:bookmarkEnd w:id="28"/>
    </w:p>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2623794D"/>
    <w:rsid w:val="0A5A5DF2"/>
    <w:rsid w:val="0E6B2687"/>
    <w:rsid w:val="11E2739F"/>
    <w:rsid w:val="13D10788"/>
    <w:rsid w:val="173F457C"/>
    <w:rsid w:val="17561FE9"/>
    <w:rsid w:val="17B434BC"/>
    <w:rsid w:val="187C5464"/>
    <w:rsid w:val="18A14C78"/>
    <w:rsid w:val="1A990915"/>
    <w:rsid w:val="1DDF07C4"/>
    <w:rsid w:val="2623794D"/>
    <w:rsid w:val="35F544A8"/>
    <w:rsid w:val="36DB69B2"/>
    <w:rsid w:val="3B974838"/>
    <w:rsid w:val="46976E9A"/>
    <w:rsid w:val="46C16952"/>
    <w:rsid w:val="49924986"/>
    <w:rsid w:val="4D8B2318"/>
    <w:rsid w:val="4DD45406"/>
    <w:rsid w:val="50C559A2"/>
    <w:rsid w:val="517E59C1"/>
    <w:rsid w:val="56595270"/>
    <w:rsid w:val="5B155F33"/>
    <w:rsid w:val="5CEB13C7"/>
    <w:rsid w:val="5E0C2147"/>
    <w:rsid w:val="646F4133"/>
    <w:rsid w:val="65CF0E53"/>
    <w:rsid w:val="7943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楷体_GB2312" w:hAnsi="Arial" w:eastAsia="楷体_GB2312"/>
      <w:kern w:val="0"/>
      <w:sz w:val="28"/>
      <w:szCs w:val="20"/>
    </w:rPr>
  </w:style>
  <w:style w:type="paragraph" w:customStyle="1" w:styleId="5">
    <w:name w:val="二级目录"/>
    <w:next w:val="1"/>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2023-12-04T01:08:00Z</dcterms:created>
  <dc:creator>WPS_1665191703</dc:creator>
  <cp:lastModifiedBy>WPS_1665191703</cp:lastModifiedBy>
  <dcterms:modified xsi:type="dcterms:W3CDTF">2023-12-04T01:08:56Z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2A0F6503B3174941B29F35F0632A0916_11</vt:lpwstr>
  </property>
</Properties>
</file>