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olor w:val="000000" w:themeColor="text1"/>
          <w:sz w:val="36"/>
          <w:highlight w:val="none"/>
          <w14:textFill>
            <w14:solidFill>
              <w14:schemeClr w14:val="tx1"/>
            </w14:solidFill>
          </w14:textFill>
        </w:rPr>
      </w:pP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pStyle w:val="44"/>
        <w:spacing w:line="660" w:lineRule="exact"/>
        <w:ind w:firstLine="163" w:firstLineChars="45"/>
        <w:jc w:val="center"/>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江苏医药职业学院消防维保服务项目</w:t>
      </w: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84"/>
          <w:highlight w:val="none"/>
          <w14:textFill>
            <w14:solidFill>
              <w14:schemeClr w14:val="tx1"/>
            </w14:solidFill>
          </w14:textFill>
        </w:rPr>
      </w:pPr>
      <w:r>
        <w:rPr>
          <w:rFonts w:hint="eastAsia" w:asciiTheme="majorEastAsia" w:hAnsiTheme="majorEastAsia" w:eastAsiaTheme="majorEastAsia"/>
          <w:b/>
          <w:color w:val="000000" w:themeColor="text1"/>
          <w:sz w:val="84"/>
          <w:highlight w:val="none"/>
          <w14:textFill>
            <w14:solidFill>
              <w14:schemeClr w14:val="tx1"/>
            </w14:solidFill>
          </w14:textFill>
        </w:rPr>
        <w:t>招 标 文 件</w:t>
      </w:r>
    </w:p>
    <w:p>
      <w:pPr>
        <w:rPr>
          <w:rFonts w:asciiTheme="majorEastAsia" w:hAnsiTheme="majorEastAsia" w:eastAsiaTheme="majorEastAsia"/>
          <w:b/>
          <w:color w:val="000000" w:themeColor="text1"/>
          <w:sz w:val="32"/>
          <w:highlight w:val="none"/>
          <w14:textFill>
            <w14:solidFill>
              <w14:schemeClr w14:val="tx1"/>
            </w14:solidFill>
          </w14:textFill>
        </w:rPr>
      </w:pPr>
    </w:p>
    <w:p>
      <w:pPr>
        <w:jc w:val="center"/>
        <w:rPr>
          <w:rFonts w:asciiTheme="majorEastAsia" w:hAnsiTheme="majorEastAsia" w:eastAsiaTheme="majorEastAsia"/>
          <w:b/>
          <w:color w:val="000000" w:themeColor="text1"/>
          <w:sz w:val="32"/>
          <w:highlight w:val="none"/>
          <w14:textFill>
            <w14:solidFill>
              <w14:schemeClr w14:val="tx1"/>
            </w14:solidFill>
          </w14:textFill>
        </w:rPr>
      </w:pPr>
    </w:p>
    <w:p>
      <w:pPr>
        <w:jc w:val="center"/>
        <w:rPr>
          <w:rFonts w:asciiTheme="majorEastAsia" w:hAnsiTheme="majorEastAsia" w:eastAsiaTheme="majorEastAsia"/>
          <w:b/>
          <w:color w:val="000000" w:themeColor="text1"/>
          <w:sz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ind w:firstLine="1558" w:firstLineChars="487"/>
        <w:rPr>
          <w:rFonts w:cs="Courier New" w:asciiTheme="majorEastAsia" w:hAnsiTheme="majorEastAsia" w:eastAsiaTheme="majorEastAsia"/>
          <w:color w:val="000000" w:themeColor="text1"/>
          <w:sz w:val="32"/>
          <w:szCs w:val="32"/>
          <w:highlight w:val="none"/>
          <w14:textFill>
            <w14:solidFill>
              <w14:schemeClr w14:val="tx1"/>
            </w14:solidFill>
          </w14:textFill>
        </w:rPr>
      </w:pPr>
      <w:r>
        <w:rPr>
          <w:rFonts w:hint="eastAsia" w:cs="Courier New" w:asciiTheme="majorEastAsia" w:hAnsiTheme="majorEastAsia" w:eastAsiaTheme="majorEastAsia"/>
          <w:color w:val="000000" w:themeColor="text1"/>
          <w:sz w:val="32"/>
          <w:szCs w:val="32"/>
          <w:highlight w:val="none"/>
          <w14:textFill>
            <w14:solidFill>
              <w14:schemeClr w14:val="tx1"/>
            </w14:solidFill>
          </w14:textFill>
        </w:rPr>
        <w:t>项目编号：SY2021-046-FW-GK</w:t>
      </w:r>
    </w:p>
    <w:p>
      <w:pPr>
        <w:pStyle w:val="24"/>
        <w:ind w:firstLine="1558" w:firstLineChars="487"/>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招标人：江苏医药职业学院</w:t>
      </w:r>
    </w:p>
    <w:p>
      <w:pPr>
        <w:pStyle w:val="24"/>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招标代理机构: 盐城市天平建设监理有限公司</w:t>
      </w:r>
    </w:p>
    <w:p>
      <w:pPr>
        <w:pStyle w:val="2"/>
        <w:ind w:firstLine="64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2021年7月6日</w:t>
      </w:r>
    </w:p>
    <w:p>
      <w:pPr>
        <w:pStyle w:val="24"/>
        <w:rPr>
          <w:rFonts w:asciiTheme="majorEastAsia" w:hAnsiTheme="majorEastAsia" w:eastAsiaTheme="majorEastAsia"/>
          <w:color w:val="000000" w:themeColor="text1"/>
          <w:sz w:val="32"/>
          <w:szCs w:val="32"/>
          <w:highlight w:val="none"/>
          <w14:textFill>
            <w14:solidFill>
              <w14:schemeClr w14:val="tx1"/>
            </w14:solidFill>
          </w14:textFill>
        </w:rPr>
      </w:pPr>
      <w:bookmarkStart w:id="0" w:name="_Toc120614210"/>
      <w:bookmarkStart w:id="1" w:name="_Toc479757206"/>
      <w:bookmarkStart w:id="2" w:name="_Toc20823272"/>
      <w:bookmarkStart w:id="3" w:name="_Toc513029200"/>
      <w:bookmarkStart w:id="4" w:name="_Toc16938516"/>
      <w:bookmarkStart w:id="5" w:name="_Toc523127445"/>
    </w:p>
    <w:p>
      <w:pPr>
        <w:pStyle w:val="24"/>
        <w:rPr>
          <w:rFonts w:asciiTheme="majorEastAsia" w:hAnsiTheme="majorEastAsia" w:eastAsiaTheme="majorEastAsia"/>
          <w:color w:val="000000" w:themeColor="text1"/>
          <w:highlight w:val="none"/>
          <w14:textFill>
            <w14:solidFill>
              <w14:schemeClr w14:val="tx1"/>
            </w14:solidFill>
          </w14:textFill>
        </w:rPr>
      </w:pPr>
    </w:p>
    <w:p>
      <w:pPr>
        <w:spacing w:line="480" w:lineRule="auto"/>
        <w:jc w:val="center"/>
        <w:outlineLvl w:val="0"/>
        <w:rPr>
          <w:rFonts w:asciiTheme="majorEastAsia" w:hAnsiTheme="majorEastAsia" w:eastAsiaTheme="majorEastAsia"/>
          <w:b/>
          <w:color w:val="000000" w:themeColor="text1"/>
          <w:sz w:val="44"/>
          <w:highlight w:val="none"/>
          <w14:textFill>
            <w14:solidFill>
              <w14:schemeClr w14:val="tx1"/>
            </w14:solidFill>
          </w14:textFill>
        </w:rPr>
      </w:pPr>
      <w:r>
        <w:rPr>
          <w:rFonts w:hint="eastAsia" w:asciiTheme="majorEastAsia" w:hAnsiTheme="majorEastAsia" w:eastAsiaTheme="majorEastAsia"/>
          <w:b/>
          <w:color w:val="000000" w:themeColor="text1"/>
          <w:sz w:val="44"/>
          <w:highlight w:val="none"/>
          <w14:textFill>
            <w14:solidFill>
              <w14:schemeClr w14:val="tx1"/>
            </w14:solidFill>
          </w14:textFill>
        </w:rPr>
        <w:t>目  录</w:t>
      </w:r>
    </w:p>
    <w:p>
      <w:pPr>
        <w:spacing w:line="480" w:lineRule="auto"/>
        <w:rPr>
          <w:rFonts w:asciiTheme="majorEastAsia" w:hAnsiTheme="majorEastAsia" w:eastAsiaTheme="majorEastAsia"/>
          <w:b/>
          <w:color w:val="000000" w:themeColor="text1"/>
          <w:sz w:val="28"/>
          <w:highlight w:val="none"/>
          <w14:textFill>
            <w14:solidFill>
              <w14:schemeClr w14:val="tx1"/>
            </w14:solidFill>
          </w14:textFill>
        </w:rPr>
      </w:pPr>
    </w:p>
    <w:p>
      <w:pPr>
        <w:spacing w:line="300" w:lineRule="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 xml:space="preserve">第一章  招标公告……………………………………………2 </w:t>
      </w:r>
    </w:p>
    <w:p>
      <w:pPr>
        <w:spacing w:line="300" w:lineRule="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 xml:space="preserve">第二章  投标人须知前附表…………………………………5 </w:t>
      </w:r>
    </w:p>
    <w:p>
      <w:pPr>
        <w:spacing w:line="300" w:lineRule="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第三章  合同条款及格式……………………………………18</w:t>
      </w:r>
    </w:p>
    <w:p>
      <w:pPr>
        <w:spacing w:line="300" w:lineRule="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第四章  项目需求……………………………………………21</w:t>
      </w:r>
    </w:p>
    <w:p>
      <w:pPr>
        <w:spacing w:line="300" w:lineRule="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第五章  评标方法与评标标准………………………………33</w:t>
      </w:r>
    </w:p>
    <w:p>
      <w:pPr>
        <w:spacing w:line="300" w:lineRule="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第六章  投标文件格式………………………………………35</w:t>
      </w:r>
    </w:p>
    <w:p>
      <w:pPr>
        <w:pStyle w:val="24"/>
        <w:rPr>
          <w:rFonts w:asciiTheme="majorEastAsia" w:hAnsiTheme="majorEastAsia" w:eastAsiaTheme="majorEastAsia"/>
          <w:color w:val="000000" w:themeColor="text1"/>
          <w:sz w:val="36"/>
          <w:szCs w:val="36"/>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pStyle w:val="5"/>
        <w:jc w:val="both"/>
        <w:rPr>
          <w:rFonts w:asciiTheme="majorEastAsia" w:hAnsiTheme="majorEastAsia" w:eastAsiaTheme="majorEastAsia"/>
          <w:color w:val="000000" w:themeColor="text1"/>
          <w:sz w:val="44"/>
          <w:szCs w:val="44"/>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134" w:right="1134" w:bottom="1134" w:left="1134" w:header="851" w:footer="907" w:gutter="0"/>
          <w:pgNumType w:fmt="decimalFullWidth" w:start="0"/>
          <w:cols w:space="720" w:num="1"/>
          <w:titlePg/>
          <w:docGrid w:type="lines" w:linePitch="290" w:charSpace="0"/>
        </w:sectPr>
      </w:pPr>
    </w:p>
    <w:bookmarkEnd w:id="0"/>
    <w:p>
      <w:pPr>
        <w:pStyle w:val="24"/>
        <w:rPr>
          <w:rStyle w:val="64"/>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第一章  招标公告</w:t>
      </w:r>
    </w:p>
    <w:p>
      <w:pPr>
        <w:rPr>
          <w:rFonts w:asciiTheme="majorEastAsia" w:hAnsiTheme="majorEastAsia" w:eastAsiaTheme="majorEastAsia"/>
          <w:color w:val="000000" w:themeColor="text1"/>
          <w:highlight w:val="none"/>
          <w14:textFill>
            <w14:solidFill>
              <w14:schemeClr w14:val="tx1"/>
            </w14:solidFill>
          </w14:textFill>
        </w:rPr>
      </w:pPr>
    </w:p>
    <w:p>
      <w:pPr>
        <w:pBdr>
          <w:top w:val="single" w:color="auto" w:sz="4" w:space="1"/>
          <w:left w:val="single" w:color="auto" w:sz="4" w:space="4"/>
          <w:bottom w:val="single" w:color="auto" w:sz="4" w:space="1"/>
          <w:right w:val="single" w:color="auto" w:sz="4" w:space="4"/>
        </w:pBdr>
        <w:ind w:firstLine="482" w:firstLineChars="200"/>
        <w:jc w:val="left"/>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项目概况</w:t>
      </w:r>
      <w:bookmarkStart w:id="6" w:name="_Toc35393621"/>
      <w:bookmarkStart w:id="7" w:name="_Toc28359079"/>
      <w:bookmarkStart w:id="8" w:name="_Toc35393790"/>
      <w:bookmarkStart w:id="9" w:name="_Toc28359002"/>
      <w:bookmarkStart w:id="10" w:name="_Hlk24379207"/>
    </w:p>
    <w:p>
      <w:pPr>
        <w:pBdr>
          <w:top w:val="single" w:color="auto" w:sz="4" w:space="1"/>
          <w:left w:val="single" w:color="auto" w:sz="4" w:space="4"/>
          <w:bottom w:val="single" w:color="auto" w:sz="4" w:space="1"/>
          <w:right w:val="single" w:color="auto" w:sz="4" w:space="4"/>
        </w:pBdr>
        <w:ind w:firstLine="480" w:firstLineChars="200"/>
        <w:jc w:val="left"/>
        <w:rPr>
          <w:rFonts w:asciiTheme="majorEastAsia" w:hAnsiTheme="majorEastAsia" w:eastAsiaTheme="majorEastAsia" w:cstheme="minorEastAsia"/>
          <w:b/>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inorEastAsia"/>
          <w:color w:val="000000" w:themeColor="text1"/>
          <w:sz w:val="24"/>
          <w:szCs w:val="24"/>
          <w:highlight w:val="none"/>
          <w:u w:val="single"/>
          <w14:textFill>
            <w14:solidFill>
              <w14:schemeClr w14:val="tx1"/>
            </w14:solidFill>
          </w14:textFill>
        </w:rPr>
        <w:t>江苏医药职业学院消防维保服务</w:t>
      </w:r>
      <w:r>
        <w:rPr>
          <w:rFonts w:hint="eastAsia" w:asciiTheme="majorEastAsia" w:hAnsiTheme="majorEastAsia" w:eastAsiaTheme="majorEastAsia" w:cstheme="minorEastAsia"/>
          <w:color w:val="000000" w:themeColor="text1"/>
          <w:sz w:val="24"/>
          <w:szCs w:val="24"/>
          <w:highlight w:val="none"/>
          <w14:textFill>
            <w14:solidFill>
              <w14:schemeClr w14:val="tx1"/>
            </w14:solidFill>
          </w14:textFill>
        </w:rPr>
        <w:t>招标项目的潜在投标人应在</w:t>
      </w:r>
      <w:r>
        <w:rPr>
          <w:rFonts w:hint="eastAsia" w:asciiTheme="majorEastAsia" w:hAnsiTheme="majorEastAsia" w:eastAsiaTheme="majorEastAsia" w:cstheme="minorEastAsia"/>
          <w:color w:val="000000" w:themeColor="text1"/>
          <w:sz w:val="24"/>
          <w:szCs w:val="24"/>
          <w:highlight w:val="none"/>
          <w:u w:val="single"/>
          <w14:textFill>
            <w14:solidFill>
              <w14:schemeClr w14:val="tx1"/>
            </w14:solidFill>
          </w14:textFill>
        </w:rPr>
        <w:t>盐城市政府采购网或江苏医药职业学院网</w:t>
      </w:r>
      <w:r>
        <w:rPr>
          <w:rFonts w:hint="eastAsia" w:asciiTheme="majorEastAsia" w:hAnsiTheme="majorEastAsia" w:eastAsiaTheme="majorEastAsia" w:cstheme="minorEastAsia"/>
          <w:color w:val="000000" w:themeColor="text1"/>
          <w:sz w:val="24"/>
          <w:szCs w:val="24"/>
          <w:highlight w:val="none"/>
          <w14:textFill>
            <w14:solidFill>
              <w14:schemeClr w14:val="tx1"/>
            </w14:solidFill>
          </w14:textFill>
        </w:rPr>
        <w:t>获取招标文件，并于</w:t>
      </w:r>
      <w:r>
        <w:rPr>
          <w:rFonts w:hint="eastAsia" w:asciiTheme="majorEastAsia" w:hAnsiTheme="majorEastAsia" w:eastAsiaTheme="majorEastAsia" w:cstheme="minorEastAsia"/>
          <w:color w:val="000000" w:themeColor="text1"/>
          <w:sz w:val="24"/>
          <w:szCs w:val="24"/>
          <w:highlight w:val="none"/>
          <w:u w:val="single"/>
          <w14:textFill>
            <w14:solidFill>
              <w14:schemeClr w14:val="tx1"/>
            </w14:solidFill>
          </w14:textFill>
        </w:rPr>
        <w:t>2021</w:t>
      </w:r>
      <w:r>
        <w:rPr>
          <w:rFonts w:hint="eastAsia" w:asciiTheme="majorEastAsia" w:hAnsiTheme="majorEastAsia" w:eastAsiaTheme="majorEastAsia" w:cstheme="minorEastAsia"/>
          <w:bCs/>
          <w:color w:val="000000" w:themeColor="text1"/>
          <w:sz w:val="24"/>
          <w:szCs w:val="24"/>
          <w:highlight w:val="none"/>
          <w:u w:val="single"/>
          <w14:textFill>
            <w14:solidFill>
              <w14:schemeClr w14:val="tx1"/>
            </w14:solidFill>
          </w14:textFill>
        </w:rPr>
        <w:t>年7月27日15点00分（</w:t>
      </w:r>
      <w:r>
        <w:rPr>
          <w:rFonts w:hint="eastAsia" w:asciiTheme="majorEastAsia" w:hAnsiTheme="majorEastAsia" w:eastAsiaTheme="majorEastAsia" w:cstheme="minorEastAsia"/>
          <w:bCs/>
          <w:color w:val="000000" w:themeColor="text1"/>
          <w:sz w:val="24"/>
          <w:szCs w:val="24"/>
          <w:highlight w:val="none"/>
          <w14:textFill>
            <w14:solidFill>
              <w14:schemeClr w14:val="tx1"/>
            </w14:solidFill>
          </w14:textFill>
        </w:rPr>
        <w:t>北京时间）前递交投标文件</w:t>
      </w:r>
      <w:r>
        <w:rPr>
          <w:rFonts w:hint="eastAsia" w:asciiTheme="majorEastAsia" w:hAnsiTheme="majorEastAsia" w:eastAsiaTheme="majorEastAsia" w:cstheme="minorEastAsia"/>
          <w:color w:val="000000" w:themeColor="text1"/>
          <w:sz w:val="24"/>
          <w:szCs w:val="24"/>
          <w:highlight w:val="none"/>
          <w14:textFill>
            <w14:solidFill>
              <w14:schemeClr w14:val="tx1"/>
            </w14:solidFill>
          </w14:textFill>
        </w:rPr>
        <w:t>。</w:t>
      </w:r>
    </w:p>
    <w:p>
      <w:pPr>
        <w:spacing w:line="46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一、项目基本情况</w:t>
      </w:r>
      <w:bookmarkEnd w:id="6"/>
      <w:bookmarkEnd w:id="7"/>
      <w:bookmarkEnd w:id="8"/>
      <w:bookmarkEnd w:id="9"/>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1.项目编号：SY2021-046-FW-GK</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2.项目名称：江苏医药职业学院</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消防维保服务项目</w:t>
      </w:r>
    </w:p>
    <w:bookmarkEnd w:id="10"/>
    <w:p>
      <w:pPr>
        <w:spacing w:line="460" w:lineRule="exact"/>
        <w:ind w:firstLine="480" w:firstLineChars="20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3.预算金额：28万元/年</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4.最高限价：28万元/年，招标人不接收高于最高限价的投标报价，投标报价高于最高限价的视为无效标书。</w:t>
      </w:r>
    </w:p>
    <w:p>
      <w:pPr>
        <w:spacing w:line="460" w:lineRule="exact"/>
        <w:ind w:firstLine="480"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5.采购需求：</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详细技术要求及货物需求以招标文件中项目需求为准。招标人保留对上述工程量及范围适当调整的权利。</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6.合同履行期限：</w:t>
      </w:r>
      <w:r>
        <w:rPr>
          <w:rFonts w:cs="宋体" w:asciiTheme="majorEastAsia" w:hAnsiTheme="majorEastAsia" w:eastAsiaTheme="majorEastAsia"/>
          <w:bCs/>
          <w:color w:val="000000" w:themeColor="text1"/>
          <w:sz w:val="24"/>
          <w:szCs w:val="24"/>
          <w:highlight w:val="none"/>
          <w14:textFill>
            <w14:solidFill>
              <w14:schemeClr w14:val="tx1"/>
            </w14:solidFill>
          </w14:textFill>
        </w:rPr>
        <w:t>计划三年，合同一年一签，按上年服务的考核结果，由学校主张是否续签</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7.</w:t>
      </w:r>
      <w:r>
        <w:rPr>
          <w:rFonts w:cs="宋体" w:asciiTheme="majorEastAsia" w:hAnsiTheme="majorEastAsia" w:eastAsiaTheme="majorEastAsia"/>
          <w:bCs/>
          <w:color w:val="000000" w:themeColor="text1"/>
          <w:sz w:val="24"/>
          <w:szCs w:val="24"/>
          <w:highlight w:val="none"/>
          <w14:textFill>
            <w14:solidFill>
              <w14:schemeClr w14:val="tx1"/>
            </w14:solidFill>
          </w14:textFill>
        </w:rPr>
        <w:t xml:space="preserve"> 质量要求</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w:t>
      </w:r>
      <w:r>
        <w:rPr>
          <w:rFonts w:cs="宋体" w:asciiTheme="majorEastAsia" w:hAnsiTheme="majorEastAsia" w:eastAsiaTheme="majorEastAsia"/>
          <w:bCs/>
          <w:color w:val="000000" w:themeColor="text1"/>
          <w:sz w:val="24"/>
          <w:szCs w:val="24"/>
          <w:highlight w:val="none"/>
          <w14:textFill>
            <w14:solidFill>
              <w14:schemeClr w14:val="tx1"/>
            </w14:solidFill>
          </w14:textFill>
        </w:rPr>
        <w:t xml:space="preserve"> 国家“合格”标准，确保消防设备能随时投入使用，并出具消防维保报告，接洽消防部门备案工作，确保消防设备安全可靠和正常运行。</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8.本项目</w:t>
      </w: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不接受</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联合体投标。</w:t>
      </w:r>
      <w:bookmarkStart w:id="11" w:name="_Toc35393622"/>
      <w:bookmarkStart w:id="12" w:name="_Toc28359080"/>
      <w:bookmarkStart w:id="13" w:name="_Toc28359003"/>
      <w:bookmarkStart w:id="14" w:name="_Toc35393791"/>
    </w:p>
    <w:p>
      <w:pPr>
        <w:spacing w:line="460" w:lineRule="exact"/>
        <w:ind w:firstLine="482" w:firstLineChars="200"/>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二、申请人的资格要求：</w:t>
      </w:r>
      <w:bookmarkEnd w:id="11"/>
      <w:bookmarkEnd w:id="12"/>
      <w:bookmarkEnd w:id="13"/>
      <w:bookmarkEnd w:id="14"/>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1.满足《中华人民共和国政府采购法》第二十二条规定，并提供下列材料；</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1.1 具有独立承担民事责任的能力（提供法人或者其他组织的营业执照，提供复印件加盖公章）；</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1.2 法人代表授权书（原件）及法定代表人、授权代表身份证复印件（如果是法定代表人直接参与投标的可以不提供授权书）；</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1.3 具有良好的商业信誉和健全的财务会计制度（提供2020年度经审计的财务报告，或投标截止时间前六个月内银行出具的资信证明，提供复印件加盖公章）；（成立不满一年不需提供）。</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1.4 具有履行合同所必需的设备和专业技术能力（投标人根据履行采购项目合同需要，提供履行合同所必需的设备和专业技术能力的证明材料或者加盖投标供应商公章的承诺函）；</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1.5 有依法缴纳税收和社会保障资金的良好记录（提供参加本次政府采购活动前一年内至少一个月缴纳增值税，或营业税，或企业所得税的凭据；并提供缴纳社会保险的凭据（专用收据或社会保险缴纳清单）；</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1.6 参加政府采购活动前三年内，在经营活动中没有重大违法记录（提供承诺书）；</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bookmarkStart w:id="15" w:name="_Toc28359081"/>
      <w:bookmarkStart w:id="16" w:name="_Toc28359004"/>
      <w:r>
        <w:rPr>
          <w:rFonts w:hint="eastAsia" w:cs="宋体" w:asciiTheme="majorEastAsia" w:hAnsiTheme="majorEastAsia" w:eastAsiaTheme="majorEastAsia"/>
          <w:color w:val="000000" w:themeColor="text1"/>
          <w:sz w:val="24"/>
          <w:szCs w:val="24"/>
          <w:highlight w:val="none"/>
          <w14:textFill>
            <w14:solidFill>
              <w14:schemeClr w14:val="tx1"/>
            </w14:solidFill>
          </w14:textFill>
        </w:rPr>
        <w:t>2.落实政府采购政策需满足的资格要求：无。</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3.本项目的特定资格要求：</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bookmarkStart w:id="17" w:name="_Toc35393792"/>
      <w:bookmarkStart w:id="18" w:name="_Toc35393623"/>
      <w:r>
        <w:rPr>
          <w:rFonts w:hint="eastAsia" w:cs="宋体" w:asciiTheme="majorEastAsia" w:hAnsiTheme="majorEastAsia" w:eastAsiaTheme="majorEastAsia"/>
          <w:color w:val="000000" w:themeColor="text1"/>
          <w:sz w:val="24"/>
          <w:szCs w:val="24"/>
          <w:highlight w:val="none"/>
          <w14:textFill>
            <w14:solidFill>
              <w14:schemeClr w14:val="tx1"/>
            </w14:solidFill>
          </w14:textFill>
        </w:rPr>
        <w:t>3.1投标人具有消防主管部门核发的《江苏省消防技术服务机构资质证书》（消防技术服务类别为：建筑消防设施维修保养）。</w:t>
      </w:r>
    </w:p>
    <w:p>
      <w:pPr>
        <w:pStyle w:val="2"/>
        <w:spacing w:line="460" w:lineRule="exact"/>
        <w:ind w:firstLine="48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3.2 投标单位在投标时，必须提供项目负责人、驻校工作人员缴纳社保的相关材料。拟派入本项目的项目经理必须取得《建筑消防设施维修保养技术服务人员执业资格证书》及中级消防员证。</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3.3</w:t>
      </w:r>
      <w:r>
        <w:rPr>
          <w:rFonts w:cs="宋体" w:asciiTheme="majorEastAsia" w:hAnsiTheme="majorEastAsia" w:eastAsiaTheme="majorEastAsia"/>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3.4</w:t>
      </w:r>
      <w:r>
        <w:rPr>
          <w:rFonts w:cs="宋体" w:asciiTheme="majorEastAsia" w:hAnsiTheme="majorEastAsia" w:eastAsiaTheme="majorEastAsia"/>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p>
      <w:pPr>
        <w:spacing w:line="46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三、获取招标文件</w:t>
      </w:r>
      <w:bookmarkEnd w:id="15"/>
      <w:bookmarkEnd w:id="16"/>
      <w:bookmarkEnd w:id="17"/>
      <w:bookmarkEnd w:id="18"/>
    </w:p>
    <w:p>
      <w:pPr>
        <w:spacing w:line="46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19" w:name="_Toc28359005"/>
      <w:bookmarkStart w:id="20" w:name="_Toc28359082"/>
      <w:bookmarkStart w:id="21" w:name="_Toc35393624"/>
      <w:bookmarkStart w:id="22" w:name="_Toc35393793"/>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时间：自公告之日起至投标截止时间前</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日。</w:t>
      </w:r>
    </w:p>
    <w:p>
      <w:pPr>
        <w:spacing w:line="46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地点：江苏医药职业学院网。</w:t>
      </w:r>
    </w:p>
    <w:p>
      <w:pPr>
        <w:spacing w:line="46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方式：符合资格要求的投标人可自行下载招标文件，招标文件见盐城市政府采购网或江苏医药职业学院网本项目招标公告附件。</w:t>
      </w:r>
    </w:p>
    <w:p>
      <w:pPr>
        <w:spacing w:line="46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售价：人民币500元在开标现场现金交纳。</w:t>
      </w:r>
    </w:p>
    <w:p>
      <w:pPr>
        <w:spacing w:line="460" w:lineRule="exact"/>
        <w:ind w:firstLine="54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四、提交投标文件</w:t>
      </w:r>
      <w:bookmarkEnd w:id="19"/>
      <w:bookmarkEnd w:id="20"/>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截止时间、开标时间和地</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点</w:t>
      </w:r>
      <w:bookmarkEnd w:id="21"/>
      <w:bookmarkEnd w:id="22"/>
    </w:p>
    <w:p>
      <w:pPr>
        <w:spacing w:line="460" w:lineRule="exact"/>
        <w:ind w:firstLine="480" w:firstLineChars="200"/>
        <w:rPr>
          <w:rFonts w:cs="宋体" w:asciiTheme="majorEastAsia" w:hAnsiTheme="majorEastAsia" w:eastAsiaTheme="majorEastAsia"/>
          <w:bCs/>
          <w:color w:val="000000" w:themeColor="text1"/>
          <w:sz w:val="24"/>
          <w:szCs w:val="24"/>
          <w:highlight w:val="none"/>
          <w:u w:val="singl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2021</w:t>
      </w:r>
      <w:r>
        <w:rPr>
          <w:rFonts w:hint="eastAsia" w:cs="宋体" w:asciiTheme="majorEastAsia" w:hAnsiTheme="majorEastAsia" w:eastAsiaTheme="majorEastAsia"/>
          <w:bCs/>
          <w:color w:val="000000" w:themeColor="text1"/>
          <w:sz w:val="24"/>
          <w:szCs w:val="24"/>
          <w:highlight w:val="none"/>
          <w:u w:val="single"/>
          <w14:textFill>
            <w14:solidFill>
              <w14:schemeClr w14:val="tx1"/>
            </w14:solidFill>
          </w14:textFill>
        </w:rPr>
        <w:t>年7月27日15点00分</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（北京时间）</w:t>
      </w:r>
    </w:p>
    <w:p>
      <w:pPr>
        <w:spacing w:line="46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地点：</w:t>
      </w:r>
      <w:bookmarkStart w:id="23" w:name="_Toc28359007"/>
      <w:bookmarkStart w:id="24" w:name="_Toc28359084"/>
      <w:bookmarkStart w:id="25" w:name="_Toc35393625"/>
      <w:bookmarkStart w:id="26" w:name="_Toc35393794"/>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江苏医药职业学院（盐城市解放南路</w:t>
      </w:r>
      <w:r>
        <w:rPr>
          <w:rFonts w:cs="宋体" w:asciiTheme="majorEastAsia" w:hAnsiTheme="majorEastAsia" w:eastAsiaTheme="majorEastAsia"/>
          <w:bCs/>
          <w:color w:val="000000" w:themeColor="text1"/>
          <w:sz w:val="24"/>
          <w:szCs w:val="24"/>
          <w:highlight w:val="none"/>
          <w14:textFill>
            <w14:solidFill>
              <w14:schemeClr w14:val="tx1"/>
            </w14:solidFill>
          </w14:textFill>
        </w:rPr>
        <w:t>283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号）行政楼</w:t>
      </w:r>
      <w:r>
        <w:rPr>
          <w:rFonts w:cs="宋体" w:asciiTheme="majorEastAsia" w:hAnsiTheme="majorEastAsia" w:eastAsiaTheme="majorEastAsia"/>
          <w:bCs/>
          <w:color w:val="000000" w:themeColor="text1"/>
          <w:sz w:val="24"/>
          <w:szCs w:val="24"/>
          <w:highlight w:val="none"/>
          <w14:textFill>
            <w14:solidFill>
              <w14:schemeClr w14:val="tx1"/>
            </w14:solidFill>
          </w14:textFill>
        </w:rPr>
        <w:t>210</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室。</w:t>
      </w:r>
    </w:p>
    <w:p>
      <w:pPr>
        <w:spacing w:line="460" w:lineRule="exact"/>
        <w:ind w:firstLine="482"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五、公告期限</w:t>
      </w:r>
      <w:bookmarkEnd w:id="23"/>
      <w:bookmarkEnd w:id="24"/>
      <w:bookmarkEnd w:id="25"/>
      <w:bookmarkEnd w:id="26"/>
    </w:p>
    <w:p>
      <w:pPr>
        <w:spacing w:line="460" w:lineRule="exact"/>
        <w:ind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自本公告发布之日起5个工作日。</w:t>
      </w:r>
      <w:bookmarkStart w:id="27" w:name="_Toc35393626"/>
      <w:bookmarkStart w:id="28" w:name="_Toc35393795"/>
    </w:p>
    <w:p>
      <w:pPr>
        <w:numPr>
          <w:ilvl w:val="0"/>
          <w:numId w:val="1"/>
        </w:numPr>
        <w:spacing w:line="46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其他补充事宜</w:t>
      </w:r>
      <w:bookmarkEnd w:id="27"/>
      <w:bookmarkEnd w:id="28"/>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29" w:name="_Toc35393796"/>
      <w:bookmarkStart w:id="30" w:name="_Toc35393627"/>
      <w:bookmarkStart w:id="31" w:name="_Toc28359085"/>
      <w:bookmarkStart w:id="32" w:name="_Toc28359008"/>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1.投标文件要求提供正本</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份，副本</w:t>
      </w:r>
      <w:r>
        <w:rPr>
          <w:rFonts w:cs="宋体" w:asciiTheme="majorEastAsia" w:hAnsiTheme="majorEastAsia" w:eastAsiaTheme="majorEastAsia"/>
          <w:bCs/>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份。</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疫情防控期间投标人注意事项</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本项目处于疫情防控期间，因需登记相关信息，耽误时间可能较长，投标人可提前半小时，从位于盐城市海阔路的江苏医药职业学院的南门进入。</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 投标人进入校园前须进行信息实名登记并接受体温测量（体温异常者拒绝进入校园），主动出示有效</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健康码</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（非绿色健康码拒绝进入校园），各投标人请慎重选择出席开标会议人员，如因显示其他颜色导致无法进入学校，责任自负。</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各投标人的委托代理人仅限</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人递交投标文件及参加开标；各投标人的委托代理人进入开标场所时须自行配戴口罩、做好手部消毒及投标文件等消毒防护工作。</w:t>
      </w:r>
    </w:p>
    <w:p>
      <w:pPr>
        <w:spacing w:line="46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.4</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投标人进入开标场所后应在指定地点参与投标活动，不到非相关场所活动；投标工作结束后应立即离开现场，不得逗留。</w:t>
      </w:r>
    </w:p>
    <w:p>
      <w:pPr>
        <w:pStyle w:val="44"/>
        <w:spacing w:line="460" w:lineRule="exact"/>
        <w:ind w:firstLine="468" w:firstLineChars="19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2.5 参加开标的人员，须在</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2021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年7月27日12:00前将姓名、苏康码截图、身份证号、手机号、车牌号（如驾车）发送至</w:t>
      </w:r>
      <w:r>
        <w:rPr>
          <w:rFonts w:cs="宋体" w:asciiTheme="majorEastAsia" w:hAnsiTheme="majorEastAsia" w:eastAsiaTheme="majorEastAsia"/>
          <w:bCs/>
          <w:color w:val="000000" w:themeColor="text1"/>
          <w:sz w:val="24"/>
          <w:szCs w:val="24"/>
          <w:highlight w:val="none"/>
          <w14:textFill>
            <w14:solidFill>
              <w14:schemeClr w14:val="tx1"/>
            </w14:solidFill>
          </w14:textFill>
        </w:rPr>
        <w:t>532223373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@qq.com，邮件名称为采购项目名称（江苏医药职业学院消防维保服务项目），如因延迟发送或发送信息有误，造成开评标当日不能入校的，后果自行承担。</w:t>
      </w:r>
    </w:p>
    <w:p>
      <w:pPr>
        <w:numPr>
          <w:ilvl w:val="0"/>
          <w:numId w:val="1"/>
        </w:numPr>
        <w:spacing w:line="46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对本次招标提出询问，请按以下方式联系。</w:t>
      </w:r>
      <w:bookmarkEnd w:id="29"/>
      <w:bookmarkEnd w:id="30"/>
      <w:bookmarkEnd w:id="31"/>
      <w:bookmarkEnd w:id="32"/>
      <w:bookmarkStart w:id="33" w:name="_Toc35393637"/>
      <w:bookmarkStart w:id="34" w:name="_Toc35393806"/>
      <w:bookmarkStart w:id="35" w:name="_Toc28359096"/>
      <w:bookmarkStart w:id="36" w:name="_Toc28359019"/>
    </w:p>
    <w:p>
      <w:pPr>
        <w:spacing w:line="460" w:lineRule="exact"/>
        <w:ind w:left="1080" w:leftChars="371" w:hanging="301" w:hangingChars="125"/>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1.采购人信息</w:t>
      </w:r>
      <w:bookmarkEnd w:id="33"/>
      <w:bookmarkEnd w:id="34"/>
      <w:bookmarkEnd w:id="35"/>
      <w:bookmarkEnd w:id="36"/>
    </w:p>
    <w:p>
      <w:pPr>
        <w:spacing w:line="46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名    称：江苏医药职业学院</w:t>
      </w:r>
    </w:p>
    <w:p>
      <w:pPr>
        <w:spacing w:line="46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    址：盐城市解放南路</w:t>
      </w:r>
      <w:r>
        <w:rPr>
          <w:rFonts w:cs="宋体" w:asciiTheme="majorEastAsia" w:hAnsiTheme="majorEastAsia" w:eastAsiaTheme="majorEastAsia"/>
          <w:bCs/>
          <w:color w:val="000000" w:themeColor="text1"/>
          <w:sz w:val="24"/>
          <w:szCs w:val="24"/>
          <w:highlight w:val="none"/>
          <w14:textFill>
            <w14:solidFill>
              <w14:schemeClr w14:val="tx1"/>
            </w14:solidFill>
          </w14:textFill>
        </w:rPr>
        <w:t>283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号</w:t>
      </w:r>
    </w:p>
    <w:p>
      <w:pPr>
        <w:spacing w:line="46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联 系 人：刘老师      </w:t>
      </w:r>
    </w:p>
    <w:p>
      <w:pPr>
        <w:spacing w:line="46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w:t>
      </w:r>
      <w:bookmarkStart w:id="37" w:name="_Toc28359020"/>
      <w:bookmarkStart w:id="38" w:name="_Toc28359097"/>
      <w:bookmarkStart w:id="39" w:name="_Toc35393638"/>
      <w:bookmarkStart w:id="40" w:name="_Toc35393807"/>
      <w:r>
        <w:rPr>
          <w:rFonts w:cs="宋体" w:asciiTheme="majorEastAsia" w:hAnsiTheme="majorEastAsia" w:eastAsiaTheme="majorEastAsia"/>
          <w:bCs/>
          <w:color w:val="000000" w:themeColor="text1"/>
          <w:sz w:val="24"/>
          <w:szCs w:val="24"/>
          <w:highlight w:val="none"/>
          <w14:textFill>
            <w14:solidFill>
              <w14:schemeClr w14:val="tx1"/>
            </w14:solidFill>
          </w14:textFill>
        </w:rPr>
        <w:t>0515-88550311</w:t>
      </w:r>
    </w:p>
    <w:p>
      <w:pPr>
        <w:spacing w:line="460" w:lineRule="exact"/>
        <w:ind w:left="1080" w:leftChars="371" w:hanging="301" w:hangingChars="125"/>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2.采购代理机构信息</w:t>
      </w:r>
      <w:bookmarkEnd w:id="37"/>
      <w:bookmarkEnd w:id="38"/>
      <w:bookmarkEnd w:id="39"/>
      <w:bookmarkEnd w:id="40"/>
    </w:p>
    <w:p>
      <w:pPr>
        <w:spacing w:line="460" w:lineRule="exact"/>
        <w:ind w:firstLine="720" w:firstLineChars="3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名    称：盐城市天平建设监理有限公司</w:t>
      </w:r>
    </w:p>
    <w:p>
      <w:pPr>
        <w:spacing w:line="460" w:lineRule="exact"/>
        <w:ind w:firstLine="720" w:firstLineChars="3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　　址：盐城市青年中路14号</w:t>
      </w:r>
    </w:p>
    <w:p>
      <w:pPr>
        <w:spacing w:line="46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41" w:name="_Toc35393808"/>
      <w:bookmarkStart w:id="42" w:name="_Toc28359021"/>
      <w:bookmarkStart w:id="43" w:name="_Toc35393639"/>
      <w:bookmarkStart w:id="44" w:name="_Toc28359098"/>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联 系 人：周雷明             </w:t>
      </w:r>
    </w:p>
    <w:p>
      <w:pPr>
        <w:spacing w:line="460" w:lineRule="exact"/>
        <w:ind w:left="1079" w:leftChars="338" w:hanging="369" w:hangingChars="154"/>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联系电话：0515-87064065</w:t>
      </w:r>
    </w:p>
    <w:p>
      <w:pPr>
        <w:spacing w:line="460" w:lineRule="exact"/>
        <w:ind w:left="1079" w:leftChars="338" w:hanging="369" w:hangingChars="153"/>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3.项目联系人</w:t>
      </w:r>
    </w:p>
    <w:bookmarkEnd w:id="41"/>
    <w:bookmarkEnd w:id="42"/>
    <w:bookmarkEnd w:id="43"/>
    <w:bookmarkEnd w:id="44"/>
    <w:p>
      <w:pPr>
        <w:spacing w:line="46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45" w:name="_Toc120614211"/>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联系人：吴常梅</w:t>
      </w:r>
    </w:p>
    <w:p>
      <w:pPr>
        <w:spacing w:line="460" w:lineRule="exact"/>
        <w:ind w:left="849" w:leftChars="337" w:hanging="141" w:hangingChars="59"/>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联系电话：0515-88588628</w:t>
      </w:r>
    </w:p>
    <w:p>
      <w:pPr>
        <w:pStyle w:val="24"/>
        <w:spacing w:line="460" w:lineRule="exac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bookmarkEnd w:id="1"/>
      <w:bookmarkEnd w:id="2"/>
      <w:bookmarkEnd w:id="3"/>
      <w:bookmarkEnd w:id="4"/>
      <w:bookmarkEnd w:id="5"/>
      <w:bookmarkEnd w:id="45"/>
      <w:bookmarkStart w:id="46" w:name="_Toc20823314"/>
      <w:bookmarkStart w:id="47" w:name="_Toc479757207"/>
      <w:bookmarkStart w:id="48" w:name="_Toc16938558"/>
      <w:bookmarkStart w:id="49" w:name="_Toc120614221"/>
      <w:bookmarkStart w:id="50" w:name="_Toc513029242"/>
    </w:p>
    <w:p>
      <w:pPr>
        <w:pStyle w:val="24"/>
        <w:rPr>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 xml:space="preserve">第二章  </w:t>
      </w:r>
      <w:bookmarkStart w:id="51" w:name="_Toc20823274"/>
      <w:bookmarkStart w:id="52" w:name="_Toc513029202"/>
      <w:bookmarkStart w:id="53" w:name="_Toc120614213"/>
      <w:bookmarkStart w:id="54" w:name="_Toc16938518"/>
      <w:r>
        <w:rPr>
          <w:rFonts w:hint="eastAsia" w:asciiTheme="majorEastAsia" w:hAnsiTheme="majorEastAsia" w:eastAsiaTheme="majorEastAsia"/>
          <w:b/>
          <w:color w:val="000000" w:themeColor="text1"/>
          <w:sz w:val="44"/>
          <w:szCs w:val="44"/>
          <w:highlight w:val="none"/>
          <w14:textFill>
            <w14:solidFill>
              <w14:schemeClr w14:val="tx1"/>
            </w14:solidFill>
          </w14:textFill>
        </w:rPr>
        <w:t>投标人须知</w:t>
      </w:r>
      <w:bookmarkEnd w:id="51"/>
      <w:bookmarkEnd w:id="52"/>
      <w:bookmarkEnd w:id="53"/>
      <w:bookmarkEnd w:id="54"/>
      <w:r>
        <w:rPr>
          <w:rFonts w:hint="eastAsia" w:asciiTheme="majorEastAsia" w:hAnsiTheme="majorEastAsia" w:eastAsiaTheme="majorEastAsia"/>
          <w:b/>
          <w:color w:val="000000" w:themeColor="text1"/>
          <w:sz w:val="44"/>
          <w:szCs w:val="44"/>
          <w:highlight w:val="none"/>
          <w14:textFill>
            <w14:solidFill>
              <w14:schemeClr w14:val="tx1"/>
            </w14:solidFill>
          </w14:textFill>
        </w:rPr>
        <w:t>前附表</w:t>
      </w:r>
    </w:p>
    <w:p>
      <w:pPr>
        <w:rPr>
          <w:color w:val="000000" w:themeColor="text1"/>
          <w:highlight w:val="none"/>
          <w14:textFill>
            <w14:solidFill>
              <w14:schemeClr w14:val="tx1"/>
            </w14:solidFill>
          </w14:textFill>
        </w:rPr>
      </w:pP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pPr>
              <w:pStyle w:val="24"/>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项号</w:t>
            </w:r>
          </w:p>
        </w:tc>
        <w:tc>
          <w:tcPr>
            <w:tcW w:w="8778" w:type="dxa"/>
            <w:vAlign w:val="center"/>
          </w:tcPr>
          <w:p>
            <w:pPr>
              <w:pStyle w:val="24"/>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w:t>
            </w:r>
          </w:p>
        </w:tc>
        <w:tc>
          <w:tcPr>
            <w:tcW w:w="8778" w:type="dxa"/>
            <w:vAlign w:val="center"/>
          </w:tcPr>
          <w:p>
            <w:pPr>
              <w:pStyle w:val="24"/>
              <w:spacing w:line="440" w:lineRule="exact"/>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招标文件编号：SY2021-046-FW-GK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w:t>
            </w:r>
          </w:p>
        </w:tc>
        <w:tc>
          <w:tcPr>
            <w:tcW w:w="8778" w:type="dxa"/>
            <w:vAlign w:val="center"/>
          </w:tcPr>
          <w:p>
            <w:pPr>
              <w:pStyle w:val="24"/>
              <w:spacing w:line="440" w:lineRule="exact"/>
              <w:rPr>
                <w:rFonts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项目名称：</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江苏医药职业学院</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消防维保服务项目</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服务地点：江苏医药职业学院</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项目预算：28万元</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投标有效期：30天（日历天）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投标保证金：</w:t>
            </w:r>
            <w:r>
              <w:rPr>
                <w:rFonts w:hint="eastAsia" w:asciiTheme="majorEastAsia" w:hAnsiTheme="majorEastAsia" w:eastAsiaTheme="majorEastAsia"/>
                <w:bCs/>
                <w:color w:val="000000" w:themeColor="text1"/>
                <w:sz w:val="24"/>
                <w:szCs w:val="24"/>
                <w:highlight w:val="none"/>
                <w14:textFill>
                  <w14:solidFill>
                    <w14:schemeClr w14:val="tx1"/>
                  </w14:solidFill>
                </w14:textFill>
              </w:rPr>
              <w:t>根据江苏省财政厅有关规定，本项目不收取投标保证金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发布招标文件时间：2021年7月6日</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发布网站：盐城市政府采购网或江苏医药职业学院网 </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招标相关文件资料费500元，递交投标文件时以现金形式补交，未中标者不退。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投标文件一式四份，正本一份，副本三份。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7</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投标时间：2021年7月27日15:00前</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地点：江苏医药职业学院（盐城市解放南路283号）行政楼210室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8</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开标时间：2021年7月27日15:00</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地点：江苏医药职业学院（盐城市解放南路283号）行政楼210室</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评标结果经法人代表确认后在江苏医药职业学院网站公示3天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9</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招标人：江苏医药职业学院          地址：盐城市解放南路283号</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邮编：224005  联系人：刘老师      电话：0515-88550311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10</w:t>
            </w:r>
          </w:p>
        </w:tc>
        <w:tc>
          <w:tcPr>
            <w:tcW w:w="8778" w:type="dxa"/>
            <w:vAlign w:val="center"/>
          </w:tcPr>
          <w:p>
            <w:pPr>
              <w:pStyle w:val="24"/>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招标相关文件资料费在递交投标文件截止时间前按招标文件约定形式缴纳，否则其投标文件做无效标书处理。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11</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技术标书由投标人按招标项目需求自行提供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12</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合同签字地点：江苏医药职业学院</w:t>
            </w:r>
          </w:p>
        </w:tc>
      </w:tr>
    </w:tbl>
    <w:p>
      <w:pPr>
        <w:pStyle w:val="24"/>
        <w:spacing w:line="360" w:lineRule="auto"/>
        <w:rPr>
          <w:rFonts w:asciiTheme="majorEastAsia" w:hAnsiTheme="majorEastAsia" w:eastAsiaTheme="majorEastAsia"/>
          <w:b/>
          <w:color w:val="000000" w:themeColor="text1"/>
          <w:sz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bookmarkStart w:id="55" w:name="_Toc513029203"/>
      <w:bookmarkStart w:id="56" w:name="_Toc20823275"/>
      <w:bookmarkStart w:id="57" w:name="_Toc120614214"/>
      <w:bookmarkStart w:id="58" w:name="_Toc16938519"/>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一、总则</w:t>
      </w:r>
      <w:bookmarkEnd w:id="55"/>
      <w:bookmarkEnd w:id="56"/>
      <w:bookmarkEnd w:id="57"/>
      <w:bookmarkEnd w:id="58"/>
    </w:p>
    <w:p>
      <w:pPr>
        <w:pStyle w:val="24"/>
        <w:spacing w:line="480" w:lineRule="exact"/>
        <w:ind w:firstLine="562" w:firstLineChars="200"/>
        <w:rPr>
          <w:rFonts w:asciiTheme="majorEastAsia" w:hAnsiTheme="majorEastAsia" w:eastAsiaTheme="majorEastAsia"/>
          <w:b/>
          <w:bCs/>
          <w:color w:val="000000" w:themeColor="text1"/>
          <w:sz w:val="28"/>
          <w:szCs w:val="28"/>
          <w:highlight w:val="none"/>
          <w14:textFill>
            <w14:solidFill>
              <w14:schemeClr w14:val="tx1"/>
            </w14:solidFill>
          </w14:textFill>
        </w:rPr>
      </w:pPr>
      <w:bookmarkStart w:id="59" w:name="_Hlt16619475"/>
      <w:bookmarkEnd w:id="59"/>
      <w:bookmarkStart w:id="60" w:name="_Toc458694821"/>
      <w:bookmarkStart w:id="61" w:name="_Toc513029204"/>
      <w:bookmarkStart w:id="62" w:name="_Toc16938520"/>
      <w:bookmarkStart w:id="63" w:name="_Toc20823276"/>
      <w:r>
        <w:rPr>
          <w:rFonts w:hint="eastAsia" w:asciiTheme="majorEastAsia" w:hAnsiTheme="majorEastAsia" w:eastAsiaTheme="majorEastAsia"/>
          <w:b/>
          <w:color w:val="000000" w:themeColor="text1"/>
          <w:sz w:val="28"/>
          <w:szCs w:val="28"/>
          <w:highlight w:val="none"/>
          <w14:textFill>
            <w14:solidFill>
              <w14:schemeClr w14:val="tx1"/>
            </w14:solidFill>
          </w14:textFill>
        </w:rPr>
        <w:t>1</w:t>
      </w:r>
      <w:bookmarkEnd w:id="60"/>
      <w:r>
        <w:rPr>
          <w:rFonts w:hint="eastAsia" w:asciiTheme="majorEastAsia" w:hAnsiTheme="majorEastAsia" w:eastAsiaTheme="majorEastAsia"/>
          <w:b/>
          <w:color w:val="000000" w:themeColor="text1"/>
          <w:sz w:val="28"/>
          <w:szCs w:val="28"/>
          <w:highlight w:val="none"/>
          <w14:textFill>
            <w14:solidFill>
              <w14:schemeClr w14:val="tx1"/>
            </w14:solidFill>
          </w14:textFill>
        </w:rPr>
        <w:t>、招标方式</w:t>
      </w:r>
      <w:bookmarkEnd w:id="61"/>
      <w:bookmarkEnd w:id="62"/>
      <w:bookmarkEnd w:id="63"/>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1.1 本次招标采取公开招标方式，本招标文件仅适用于招标公告中所述项目。</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64" w:name="_Toc513029205"/>
      <w:bookmarkStart w:id="65" w:name="_Toc20823277"/>
      <w:bookmarkStart w:id="66" w:name="_Toc16938521"/>
      <w:r>
        <w:rPr>
          <w:rFonts w:hint="eastAsia" w:asciiTheme="majorEastAsia" w:hAnsiTheme="majorEastAsia" w:eastAsiaTheme="majorEastAsia"/>
          <w:b/>
          <w:color w:val="000000" w:themeColor="text1"/>
          <w:sz w:val="28"/>
          <w:szCs w:val="28"/>
          <w:highlight w:val="none"/>
          <w14:textFill>
            <w14:solidFill>
              <w14:schemeClr w14:val="tx1"/>
            </w14:solidFill>
          </w14:textFill>
        </w:rPr>
        <w:t>2、合格的投标人</w:t>
      </w:r>
      <w:bookmarkEnd w:id="64"/>
      <w:bookmarkEnd w:id="65"/>
      <w:bookmarkEnd w:id="6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2.1满足招标公告中供应商的资格要求的规定。</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 满足本文件实质性条款的规定。</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67" w:name="_Toc20823278"/>
      <w:bookmarkStart w:id="68" w:name="_Toc16938522"/>
      <w:bookmarkStart w:id="69" w:name="_Toc513029206"/>
      <w:r>
        <w:rPr>
          <w:rFonts w:hint="eastAsia" w:asciiTheme="majorEastAsia" w:hAnsiTheme="majorEastAsia" w:eastAsiaTheme="majorEastAsia"/>
          <w:b/>
          <w:color w:val="000000" w:themeColor="text1"/>
          <w:sz w:val="28"/>
          <w:szCs w:val="28"/>
          <w:highlight w:val="none"/>
          <w14:textFill>
            <w14:solidFill>
              <w14:schemeClr w14:val="tx1"/>
            </w14:solidFill>
          </w14:textFill>
        </w:rPr>
        <w:t>3、适用法律</w:t>
      </w:r>
      <w:bookmarkEnd w:id="67"/>
      <w:bookmarkEnd w:id="68"/>
      <w:bookmarkEnd w:id="69"/>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3.1 本次招标及由此产生的合同受中华人民共和国有关的法律法规制约和保护</w:t>
      </w:r>
      <w:r>
        <w:rPr>
          <w:rFonts w:asciiTheme="majorEastAsia" w:hAnsiTheme="majorEastAsia" w:eastAsiaTheme="majorEastAsia"/>
          <w:color w:val="000000" w:themeColor="text1"/>
          <w:sz w:val="24"/>
          <w:highlight w:val="none"/>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70" w:name="_Toc16938523"/>
      <w:bookmarkStart w:id="71" w:name="_Toc513029207"/>
      <w:bookmarkStart w:id="72" w:name="_Toc20823279"/>
      <w:bookmarkStart w:id="73" w:name="_Toc462564067"/>
      <w:r>
        <w:rPr>
          <w:rFonts w:hint="eastAsia" w:asciiTheme="majorEastAsia" w:hAnsiTheme="majorEastAsia" w:eastAsiaTheme="majorEastAsia"/>
          <w:b/>
          <w:color w:val="000000" w:themeColor="text1"/>
          <w:sz w:val="28"/>
          <w:szCs w:val="28"/>
          <w:highlight w:val="none"/>
          <w14:textFill>
            <w14:solidFill>
              <w14:schemeClr w14:val="tx1"/>
            </w14:solidFill>
          </w14:textFill>
        </w:rPr>
        <w:t>4、投标费用</w:t>
      </w:r>
      <w:bookmarkEnd w:id="70"/>
      <w:bookmarkEnd w:id="71"/>
      <w:bookmarkEnd w:id="72"/>
      <w:bookmarkEnd w:id="73"/>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4.1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投标人应自行承担所有与参加投标有关的费用，无论投标过程中的做法和结果如何，</w:t>
      </w:r>
      <w:r>
        <w:rPr>
          <w:rFonts w:hint="eastAsia" w:asciiTheme="majorEastAsia" w:hAnsiTheme="majorEastAsia" w:eastAsiaTheme="majorEastAsia"/>
          <w:color w:val="000000" w:themeColor="text1"/>
          <w:sz w:val="24"/>
          <w:highlight w:val="none"/>
          <w14:textFill>
            <w14:solidFill>
              <w14:schemeClr w14:val="tx1"/>
            </w14:solidFill>
          </w14:textFill>
        </w:rPr>
        <w:t>招标人</w:t>
      </w:r>
      <w:r>
        <w:rPr>
          <w:rFonts w:hint="eastAsia" w:asciiTheme="majorEastAsia" w:hAnsiTheme="majorEastAsia" w:eastAsiaTheme="majorEastAsia"/>
          <w:color w:val="000000" w:themeColor="text1"/>
          <w:sz w:val="24"/>
          <w:highlight w:val="none"/>
          <w14:textFill>
            <w14:solidFill>
              <w14:schemeClr w14:val="tx1"/>
            </w14:solidFill>
          </w14:textFill>
        </w:rPr>
        <w:t>在任何情况下均无义务和责任承担这些费用。</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5、招标文件的约束力</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5.1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6、招标文件的解释</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6.1 本招标文件由</w:t>
      </w:r>
      <w:r>
        <w:rPr>
          <w:rFonts w:hint="eastAsia" w:asciiTheme="majorEastAsia" w:hAnsiTheme="majorEastAsia" w:eastAsiaTheme="majorEastAsia"/>
          <w:bCs/>
          <w:color w:val="000000" w:themeColor="text1"/>
          <w:sz w:val="24"/>
          <w:highlight w:val="none"/>
          <w14:textFill>
            <w14:solidFill>
              <w14:schemeClr w14:val="tx1"/>
            </w14:solidFill>
          </w14:textFill>
        </w:rPr>
        <w:t>招标人负</w:t>
      </w:r>
      <w:r>
        <w:rPr>
          <w:rFonts w:hint="eastAsia" w:asciiTheme="majorEastAsia" w:hAnsiTheme="majorEastAsia" w:eastAsiaTheme="majorEastAsia"/>
          <w:bCs/>
          <w:color w:val="000000" w:themeColor="text1"/>
          <w:sz w:val="24"/>
          <w:highlight w:val="none"/>
          <w14:textFill>
            <w14:solidFill>
              <w14:schemeClr w14:val="tx1"/>
            </w14:solidFill>
          </w14:textFill>
        </w:rPr>
        <w:t>责解释。</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74" w:name="_Toc16938525"/>
      <w:bookmarkStart w:id="75" w:name="_Toc120614215"/>
      <w:bookmarkStart w:id="76" w:name="_Toc20823281"/>
      <w:r>
        <w:rPr>
          <w:rFonts w:hint="eastAsia" w:asciiTheme="majorEastAsia" w:hAnsiTheme="majorEastAsia" w:eastAsiaTheme="majorEastAsia"/>
          <w:b/>
          <w:color w:val="000000" w:themeColor="text1"/>
          <w:sz w:val="32"/>
          <w:szCs w:val="32"/>
          <w:highlight w:val="none"/>
          <w14:textFill>
            <w14:solidFill>
              <w14:schemeClr w14:val="tx1"/>
            </w14:solidFill>
          </w14:textFill>
        </w:rPr>
        <w:t>二、招标文件</w:t>
      </w:r>
      <w:bookmarkEnd w:id="74"/>
      <w:bookmarkEnd w:id="75"/>
      <w:bookmarkEnd w:id="76"/>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77" w:name="_Toc513029210"/>
      <w:bookmarkStart w:id="78" w:name="_Toc20823282"/>
      <w:bookmarkStart w:id="79" w:name="_Toc16938526"/>
      <w:r>
        <w:rPr>
          <w:rFonts w:hint="eastAsia" w:asciiTheme="majorEastAsia" w:hAnsiTheme="majorEastAsia" w:eastAsiaTheme="majorEastAsia"/>
          <w:b/>
          <w:color w:val="000000" w:themeColor="text1"/>
          <w:sz w:val="28"/>
          <w:szCs w:val="28"/>
          <w:highlight w:val="none"/>
          <w14:textFill>
            <w14:solidFill>
              <w14:schemeClr w14:val="tx1"/>
            </w14:solidFill>
          </w14:textFill>
        </w:rPr>
        <w:t>7、招标文件构成</w:t>
      </w:r>
      <w:bookmarkEnd w:id="77"/>
      <w:bookmarkEnd w:id="78"/>
      <w:bookmarkEnd w:id="79"/>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招标文件由以下部分组成：</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（1）招标公告</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（2）投标人须知</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（3）合同条款及格式</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（4）项目需求</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（5）评标方法与评标标准</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（6）投标文件格式</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请仔细检查招标文件是否齐全，如有缺漏请立即与招标代理机构联系解决。</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7.2</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80" w:name="_Toc16938527"/>
      <w:bookmarkStart w:id="81" w:name="_Toc20823283"/>
      <w:bookmarkStart w:id="82" w:name="_Toc462564070"/>
      <w:bookmarkStart w:id="83" w:name="_Toc513029211"/>
      <w:r>
        <w:rPr>
          <w:rFonts w:hint="eastAsia" w:asciiTheme="majorEastAsia" w:hAnsiTheme="majorEastAsia" w:eastAsiaTheme="majorEastAsia"/>
          <w:b/>
          <w:color w:val="000000" w:themeColor="text1"/>
          <w:sz w:val="28"/>
          <w:szCs w:val="28"/>
          <w:highlight w:val="none"/>
          <w14:textFill>
            <w14:solidFill>
              <w14:schemeClr w14:val="tx1"/>
            </w14:solidFill>
          </w14:textFill>
        </w:rPr>
        <w:t>8、</w:t>
      </w:r>
      <w:bookmarkEnd w:id="80"/>
      <w:bookmarkEnd w:id="81"/>
      <w:bookmarkEnd w:id="82"/>
      <w:bookmarkEnd w:id="83"/>
      <w:r>
        <w:rPr>
          <w:rFonts w:hint="eastAsia" w:asciiTheme="majorEastAsia" w:hAnsiTheme="majorEastAsia" w:eastAsiaTheme="majorEastAsia"/>
          <w:b/>
          <w:color w:val="000000" w:themeColor="text1"/>
          <w:sz w:val="28"/>
          <w:szCs w:val="28"/>
          <w:highlight w:val="none"/>
          <w14:textFill>
            <w14:solidFill>
              <w14:schemeClr w14:val="tx1"/>
            </w14:solidFill>
          </w14:textFill>
        </w:rPr>
        <w:t>投标报名和获取招标文件方法</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8.1</w:t>
      </w:r>
      <w:bookmarkStart w:id="84" w:name="_Toc20823284"/>
      <w:bookmarkStart w:id="85" w:name="_Toc462564071"/>
      <w:bookmarkStart w:id="86" w:name="_Toc513029212"/>
      <w:bookmarkStart w:id="87" w:name="_Toc16938528"/>
      <w:r>
        <w:rPr>
          <w:rFonts w:hint="eastAsia" w:asciiTheme="majorEastAsia" w:hAnsiTheme="majorEastAsia" w:eastAsiaTheme="majorEastAsia"/>
          <w:bCs/>
          <w:color w:val="000000" w:themeColor="text1"/>
          <w:sz w:val="24"/>
          <w:highlight w:val="none"/>
          <w14:textFill>
            <w14:solidFill>
              <w14:schemeClr w14:val="tx1"/>
            </w14:solidFill>
          </w14:textFill>
        </w:rPr>
        <w:t>公告发布后，凡具备以上主要资格条件，并自愿参加本次投标报名的申请人，在开标截止时间前自行到“盐城市政府采购网或江苏医药职业学院网站”上自行下载招标文件,并按约定时间、地点（详见招标公告）递交投标文件准时参加开标，招标相关文件资料费和投标文件一起递交，招标相关文件资料费未递交的其投标文件作无效标书处理。</w:t>
      </w:r>
    </w:p>
    <w:p>
      <w:pPr>
        <w:spacing w:line="480" w:lineRule="exact"/>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特别提醒：</w:t>
      </w:r>
    </w:p>
    <w:p>
      <w:pPr>
        <w:spacing w:line="480" w:lineRule="exact"/>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招标人会根据招标需要，可能会不定期在“盐城市政府采购网和江苏医药职业学院网站”发布该项目补充答疑等澄清修改文件，请各投标人自行网上查寻，未能及时查阅响应而影响投标的，结果由投标人负责。</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9、招标文件的修改</w:t>
      </w:r>
      <w:bookmarkEnd w:id="84"/>
      <w:bookmarkEnd w:id="85"/>
      <w:bookmarkEnd w:id="86"/>
      <w:bookmarkEnd w:id="87"/>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9.1</w:t>
      </w:r>
      <w:r>
        <w:rPr>
          <w:rFonts w:hint="eastAsia" w:asciiTheme="majorEastAsia" w:hAnsiTheme="majorEastAsia" w:eastAsiaTheme="majorEastAsia"/>
          <w:color w:val="000000" w:themeColor="text1"/>
          <w:sz w:val="24"/>
          <w:highlight w:val="none"/>
          <w14:textFill>
            <w14:solidFill>
              <w14:schemeClr w14:val="tx1"/>
            </w14:solidFill>
          </w14:textFill>
        </w:rPr>
        <w:t xml:space="preserve"> 在投标截止时间前，招标人可以对招标文件进行修改。</w:t>
      </w:r>
    </w:p>
    <w:p>
      <w:pPr>
        <w:spacing w:line="480" w:lineRule="exact"/>
        <w:ind w:firstLine="480" w:firstLineChars="200"/>
        <w:rPr>
          <w:rFonts w:asciiTheme="majorEastAsia" w:hAnsiTheme="majorEastAsia" w:eastAsiaTheme="majorEastAsia"/>
          <w:color w:val="000000" w:themeColor="text1"/>
          <w:sz w:val="28"/>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9.2</w:t>
      </w:r>
      <w:r>
        <w:rPr>
          <w:rFonts w:hint="eastAsia" w:asciiTheme="majorEastAsia" w:hAnsiTheme="majorEastAsia" w:eastAsiaTheme="majorEastAsia"/>
          <w:color w:val="000000" w:themeColor="text1"/>
          <w:sz w:val="24"/>
          <w:highlight w:val="none"/>
          <w14:textFill>
            <w14:solidFill>
              <w14:schemeClr w14:val="tx1"/>
            </w14:solidFill>
          </w14:textFill>
        </w:rPr>
        <w:t>招标人有权依法推迟投标截止日期和开标日期。</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9.3</w:t>
      </w:r>
      <w:r>
        <w:rPr>
          <w:rFonts w:hint="eastAsia" w:asciiTheme="majorEastAsia" w:hAnsiTheme="majorEastAsia" w:eastAsiaTheme="majorEastAsia"/>
          <w:color w:val="000000" w:themeColor="text1"/>
          <w:sz w:val="24"/>
          <w:highlight w:val="none"/>
          <w14:textFill>
            <w14:solidFill>
              <w14:schemeClr w14:val="tx1"/>
            </w14:solidFill>
          </w14:textFill>
        </w:rPr>
        <w:t>招标文件的修改将在江苏医药职业学院网公布，补充文件将作为招标文件的组成部分，并对投标人具有约束力。</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88" w:name="_Toc16938529"/>
      <w:bookmarkStart w:id="89" w:name="_Toc20823285"/>
      <w:bookmarkStart w:id="90" w:name="_Toc120614216"/>
      <w:bookmarkStart w:id="91" w:name="_Toc513029213"/>
      <w:bookmarkStart w:id="92" w:name="_Toc462564072"/>
      <w:r>
        <w:rPr>
          <w:rFonts w:hint="eastAsia" w:asciiTheme="majorEastAsia" w:hAnsiTheme="majorEastAsia" w:eastAsiaTheme="majorEastAsia"/>
          <w:b/>
          <w:color w:val="000000" w:themeColor="text1"/>
          <w:sz w:val="32"/>
          <w:szCs w:val="32"/>
          <w:highlight w:val="none"/>
          <w14:textFill>
            <w14:solidFill>
              <w14:schemeClr w14:val="tx1"/>
            </w14:solidFill>
          </w14:textFill>
        </w:rPr>
        <w:t>三、投标文件的编制</w:t>
      </w:r>
      <w:bookmarkEnd w:id="88"/>
      <w:bookmarkEnd w:id="89"/>
      <w:bookmarkEnd w:id="90"/>
      <w:bookmarkEnd w:id="91"/>
      <w:bookmarkEnd w:id="92"/>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93" w:name="_Toc462564073"/>
      <w:bookmarkStart w:id="94" w:name="_Toc513029214"/>
      <w:bookmarkStart w:id="95" w:name="_Toc20823286"/>
      <w:bookmarkStart w:id="96" w:name="_Toc16938530"/>
      <w:r>
        <w:rPr>
          <w:rFonts w:hint="eastAsia" w:asciiTheme="majorEastAsia" w:hAnsiTheme="majorEastAsia" w:eastAsiaTheme="majorEastAsia"/>
          <w:b/>
          <w:color w:val="000000" w:themeColor="text1"/>
          <w:sz w:val="28"/>
          <w:szCs w:val="28"/>
          <w:highlight w:val="none"/>
          <w14:textFill>
            <w14:solidFill>
              <w14:schemeClr w14:val="tx1"/>
            </w14:solidFill>
          </w14:textFill>
        </w:rPr>
        <w:t>10、投标文件的语言及度量衡单位</w:t>
      </w:r>
      <w:bookmarkEnd w:id="93"/>
      <w:bookmarkEnd w:id="94"/>
      <w:bookmarkEnd w:id="95"/>
      <w:bookmarkEnd w:id="9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10.1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投标人提交的投标文件以及投标人与招标人就有关投标的所有来往通知、函件和文件均应使用</w:t>
      </w:r>
      <w:r>
        <w:rPr>
          <w:rFonts w:hint="eastAsia" w:asciiTheme="majorEastAsia" w:hAnsiTheme="majorEastAsia" w:eastAsiaTheme="majorEastAsia"/>
          <w:b/>
          <w:bCs/>
          <w:color w:val="000000" w:themeColor="text1"/>
          <w:sz w:val="24"/>
          <w:highlight w:val="none"/>
          <w14:textFill>
            <w14:solidFill>
              <w14:schemeClr w14:val="tx1"/>
            </w14:solidFill>
          </w14:textFill>
        </w:rPr>
        <w:t>简体中文</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10.2</w:t>
      </w:r>
      <w:r>
        <w:rPr>
          <w:rFonts w:hint="eastAsia" w:asciiTheme="majorEastAsia" w:hAnsiTheme="majorEastAsia" w:eastAsiaTheme="majorEastAsia"/>
          <w:color w:val="000000" w:themeColor="text1"/>
          <w:sz w:val="24"/>
          <w:highlight w:val="none"/>
          <w14:textFill>
            <w14:solidFill>
              <w14:schemeClr w14:val="tx1"/>
            </w14:solidFill>
          </w14:textFill>
        </w:rPr>
        <w:t xml:space="preserve"> 除技术性能另有规定外，投标文件所使用的度量衡单位，均须采用国家法定计量单位。</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97" w:name="_Toc513029215"/>
      <w:bookmarkStart w:id="98" w:name="_Toc462564074"/>
      <w:bookmarkStart w:id="99" w:name="_Toc20823287"/>
      <w:bookmarkStart w:id="100" w:name="_Toc16938531"/>
      <w:r>
        <w:rPr>
          <w:rFonts w:hint="eastAsia" w:asciiTheme="majorEastAsia" w:hAnsiTheme="majorEastAsia" w:eastAsiaTheme="majorEastAsia"/>
          <w:b/>
          <w:color w:val="000000" w:themeColor="text1"/>
          <w:sz w:val="28"/>
          <w:szCs w:val="28"/>
          <w:highlight w:val="none"/>
          <w14:textFill>
            <w14:solidFill>
              <w14:schemeClr w14:val="tx1"/>
            </w14:solidFill>
          </w14:textFill>
        </w:rPr>
        <w:t>11、投标文件构成</w:t>
      </w:r>
      <w:bookmarkEnd w:id="97"/>
      <w:bookmarkEnd w:id="98"/>
      <w:bookmarkEnd w:id="99"/>
      <w:bookmarkEnd w:id="100"/>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11.1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投标人编写的投标文件应包括资信证明文件、资格性审查响应对照表、投标承诺书、开标一览表、技术方案、服务承诺、培训承诺、本招标文件及评标办法中要求投标人提供的其它资料等部分组成；</w:t>
      </w:r>
    </w:p>
    <w:p>
      <w:pPr>
        <w:spacing w:line="480" w:lineRule="exact"/>
        <w:ind w:firstLine="480"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11.2投标人应将投标文件按顺序装订成册，</w:t>
      </w:r>
      <w:r>
        <w:rPr>
          <w:rFonts w:hint="eastAsia" w:asciiTheme="majorEastAsia" w:hAnsiTheme="majorEastAsia" w:eastAsiaTheme="majorEastAsia"/>
          <w:bCs/>
          <w:color w:val="000000" w:themeColor="text1"/>
          <w:sz w:val="24"/>
          <w:highlight w:val="none"/>
          <w14:textFill>
            <w14:solidFill>
              <w14:schemeClr w14:val="tx1"/>
            </w14:solidFill>
          </w14:textFill>
        </w:rPr>
        <w:t>正本份数：1份；副本份数：3份。</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并编制投标文件资料目录。</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01" w:name="_Hlt26668975"/>
      <w:bookmarkEnd w:id="101"/>
      <w:bookmarkStart w:id="102" w:name="_Hlt26670360"/>
      <w:bookmarkEnd w:id="102"/>
      <w:bookmarkStart w:id="103" w:name="_Hlt26954838"/>
      <w:bookmarkEnd w:id="103"/>
      <w:bookmarkStart w:id="104" w:name="_Toc513029219"/>
      <w:bookmarkStart w:id="105" w:name="_Toc49090509"/>
      <w:bookmarkStart w:id="106" w:name="_Toc14577357"/>
      <w:bookmarkStart w:id="107" w:name="_Toc49090507"/>
      <w:bookmarkStart w:id="108" w:name="_Toc513029216"/>
      <w:bookmarkStart w:id="109" w:name="_Toc14577354"/>
      <w:r>
        <w:rPr>
          <w:rFonts w:hint="eastAsia" w:asciiTheme="majorEastAsia" w:hAnsiTheme="majorEastAsia" w:eastAsiaTheme="majorEastAsia"/>
          <w:b/>
          <w:color w:val="000000" w:themeColor="text1"/>
          <w:sz w:val="28"/>
          <w:szCs w:val="28"/>
          <w:highlight w:val="none"/>
          <w14:textFill>
            <w14:solidFill>
              <w14:schemeClr w14:val="tx1"/>
            </w14:solidFill>
          </w14:textFill>
        </w:rPr>
        <w:t>12、证明投标人资格及符合招标文件规定的文件</w:t>
      </w:r>
      <w:bookmarkEnd w:id="104"/>
      <w:bookmarkEnd w:id="105"/>
      <w:bookmarkEnd w:id="10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12.1</w:t>
      </w:r>
      <w:bookmarkStart w:id="110" w:name="_Hlt26668999"/>
      <w:bookmarkEnd w:id="110"/>
      <w:r>
        <w:rPr>
          <w:rFonts w:hint="eastAsia" w:asciiTheme="majorEastAsia" w:hAnsiTheme="majorEastAsia" w:eastAsiaTheme="majorEastAsia"/>
          <w:color w:val="000000" w:themeColor="text1"/>
          <w:sz w:val="24"/>
          <w:highlight w:val="none"/>
          <w14:textFill>
            <w14:solidFill>
              <w14:schemeClr w14:val="tx1"/>
            </w14:solidFill>
          </w14:textFill>
        </w:rPr>
        <w:t>投标人应按要求提交资格证明文件及符合招标文件规定的文件。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12.2投标人应提交证明其有资格参加投标和中标后有能力独立履行合同的文件。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12.3投标人除必须具有履行合同所需提供的货物以及服务的能力外，还必须具备相应的财务、技术方面的能力。</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12.4投标人应提交根据合同要求提供的证明产品质量合格以及符合招标文件规定的证明文件。</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12.5证明投标人所提供货物与招标文件的要求相一致的文件可以是手册、图纸、文字资料和数据</w:t>
      </w:r>
      <w:r>
        <w:rPr>
          <w:rFonts w:hint="eastAsia" w:asciiTheme="majorEastAsia" w:hAnsiTheme="majorEastAsia" w:eastAsiaTheme="majorEastAsia"/>
          <w:bCs/>
          <w:color w:val="000000" w:themeColor="text1"/>
          <w:sz w:val="24"/>
          <w:highlight w:val="none"/>
          <w14:textFill>
            <w14:solidFill>
              <w14:schemeClr w14:val="tx1"/>
            </w14:solidFill>
          </w14:textFill>
        </w:rPr>
        <w:t>。</w:t>
      </w:r>
    </w:p>
    <w:bookmarkEnd w:id="107"/>
    <w:bookmarkEnd w:id="108"/>
    <w:bookmarkEnd w:id="109"/>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11" w:name="_Toc14577355"/>
      <w:bookmarkStart w:id="112" w:name="_Toc49090508"/>
      <w:r>
        <w:rPr>
          <w:rFonts w:hint="eastAsia" w:asciiTheme="majorEastAsia" w:hAnsiTheme="majorEastAsia" w:eastAsiaTheme="majorEastAsia"/>
          <w:b/>
          <w:color w:val="000000" w:themeColor="text1"/>
          <w:sz w:val="28"/>
          <w:szCs w:val="28"/>
          <w:highlight w:val="none"/>
          <w14:textFill>
            <w14:solidFill>
              <w14:schemeClr w14:val="tx1"/>
            </w14:solidFill>
          </w14:textFill>
        </w:rPr>
        <w:t>13、供货一览表和投标配置与分项报价</w:t>
      </w:r>
      <w:bookmarkEnd w:id="111"/>
      <w:bookmarkStart w:id="113" w:name="_Hlt26670373"/>
      <w:bookmarkEnd w:id="113"/>
      <w:r>
        <w:rPr>
          <w:rFonts w:hint="eastAsia" w:asciiTheme="majorEastAsia" w:hAnsiTheme="majorEastAsia" w:eastAsiaTheme="majorEastAsia"/>
          <w:b/>
          <w:color w:val="000000" w:themeColor="text1"/>
          <w:sz w:val="28"/>
          <w:szCs w:val="28"/>
          <w:highlight w:val="none"/>
          <w14:textFill>
            <w14:solidFill>
              <w14:schemeClr w14:val="tx1"/>
            </w14:solidFill>
          </w14:textFill>
        </w:rPr>
        <w:t>表</w:t>
      </w:r>
      <w:bookmarkEnd w:id="112"/>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w:t>
      </w:r>
      <w:bookmarkStart w:id="114" w:name="_Hlt26954840"/>
      <w:bookmarkEnd w:id="114"/>
      <w:r>
        <w:rPr>
          <w:rFonts w:hint="eastAsia" w:asciiTheme="majorEastAsia" w:hAnsiTheme="majorEastAsia" w:eastAsiaTheme="majorEastAsia"/>
          <w:color w:val="000000" w:themeColor="text1"/>
          <w:sz w:val="24"/>
          <w:highlight w:val="none"/>
          <w14:textFill>
            <w14:solidFill>
              <w14:schemeClr w14:val="tx1"/>
            </w14:solidFill>
          </w14:textFill>
        </w:rPr>
        <w:t>标人应按照招标文件规定格式填报供货一览表、投标配置与分项报价表</w:t>
      </w:r>
      <w:bookmarkStart w:id="115" w:name="_Hlt26670399"/>
      <w:bookmarkEnd w:id="115"/>
      <w:r>
        <w:rPr>
          <w:rFonts w:hint="eastAsia" w:asciiTheme="majorEastAsia" w:hAnsiTheme="majorEastAsia" w:eastAsiaTheme="majorEastAsia"/>
          <w:color w:val="000000" w:themeColor="text1"/>
          <w:sz w:val="24"/>
          <w:highlight w:val="none"/>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13.2</w:t>
      </w:r>
      <w:r>
        <w:rPr>
          <w:rFonts w:hint="eastAsia" w:asciiTheme="majorEastAsia" w:hAnsiTheme="majorEastAsia" w:eastAsiaTheme="majorEastAsia"/>
          <w:color w:val="000000" w:themeColor="text1"/>
          <w:sz w:val="24"/>
          <w:highlight w:val="none"/>
          <w14:textFill>
            <w14:solidFill>
              <w14:schemeClr w14:val="tx1"/>
            </w14:solidFill>
          </w14:textFill>
        </w:rPr>
        <w:t xml:space="preserve"> 标的物</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采购人需求的货物供应、安装，调试及有关技术服务等。</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13.3</w:t>
      </w:r>
      <w:r>
        <w:rPr>
          <w:rFonts w:hint="eastAsia" w:asciiTheme="majorEastAsia" w:hAnsiTheme="majorEastAsia" w:eastAsiaTheme="majorEastAsia"/>
          <w:bCs/>
          <w:color w:val="000000" w:themeColor="text1"/>
          <w:sz w:val="24"/>
          <w:highlight w:val="none"/>
          <w14:textFill>
            <w14:solidFill>
              <w14:schemeClr w14:val="tx1"/>
            </w14:solidFill>
          </w14:textFill>
        </w:rPr>
        <w:t>有关费用处理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13.4</w:t>
      </w:r>
      <w:r>
        <w:rPr>
          <w:rFonts w:hint="eastAsia" w:asciiTheme="majorEastAsia" w:hAnsiTheme="majorEastAsia" w:eastAsiaTheme="majorEastAsia"/>
          <w:bCs/>
          <w:color w:val="000000" w:themeColor="text1"/>
          <w:sz w:val="24"/>
          <w:highlight w:val="none"/>
          <w14:textFill>
            <w14:solidFill>
              <w14:schemeClr w14:val="tx1"/>
            </w14:solidFill>
          </w14:textFill>
        </w:rPr>
        <w:t>其它费用处理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招标文件未列明，而投标人认为必需的费用也需列入报价。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13.5</w:t>
      </w:r>
      <w:r>
        <w:rPr>
          <w:rFonts w:hint="eastAsia" w:asciiTheme="majorEastAsia" w:hAnsiTheme="majorEastAsia" w:eastAsiaTheme="majorEastAsia"/>
          <w:bCs/>
          <w:color w:val="000000" w:themeColor="text1"/>
          <w:sz w:val="24"/>
          <w:highlight w:val="none"/>
          <w14:textFill>
            <w14:solidFill>
              <w14:schemeClr w14:val="tx1"/>
            </w14:solidFill>
          </w14:textFill>
        </w:rPr>
        <w:t>投标货币</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投标文件中的货物单价和总价无特殊规定的采用人民币报价，以元为单位标注。</w:t>
      </w:r>
      <w:r>
        <w:rPr>
          <w:rFonts w:hint="eastAsia" w:asciiTheme="majorEastAsia" w:hAnsiTheme="majorEastAsia" w:eastAsiaTheme="majorEastAsia"/>
          <w:color w:val="000000" w:themeColor="text1"/>
          <w:sz w:val="24"/>
          <w:highlight w:val="none"/>
          <w14:textFill>
            <w14:solidFill>
              <w14:schemeClr w14:val="tx1"/>
            </w14:solidFill>
          </w14:textFill>
        </w:rPr>
        <w:t>招标文件中另有规定的按规定执行。</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13.6</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投标配置与分项报价表上的价格应按下列方式分开填写</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bookmarkStart w:id="116" w:name="_Hlt26954842"/>
      <w:bookmarkEnd w:id="116"/>
      <w:bookmarkStart w:id="117" w:name="_Hlt26668983"/>
      <w:bookmarkEnd w:id="117"/>
      <w:bookmarkStart w:id="118" w:name="_Hlt26670403"/>
      <w:bookmarkEnd w:id="118"/>
      <w:bookmarkStart w:id="119" w:name="_Hlt26954844"/>
      <w:bookmarkEnd w:id="119"/>
      <w:bookmarkStart w:id="120" w:name="_Hlt26670425"/>
      <w:bookmarkEnd w:id="120"/>
      <w:r>
        <w:rPr>
          <w:rFonts w:hint="eastAsia" w:asciiTheme="majorEastAsia" w:hAnsiTheme="majorEastAsia" w:eastAsiaTheme="majorEastAsia"/>
          <w:bCs/>
          <w:color w:val="000000" w:themeColor="text1"/>
          <w:sz w:val="24"/>
          <w:highlight w:val="none"/>
          <w14:textFill>
            <w14:solidFill>
              <w14:schemeClr w14:val="tx1"/>
            </w14:solidFill>
          </w14:textFill>
        </w:rPr>
        <w:t xml:space="preserve">13.6.1 </w:t>
      </w:r>
      <w:r>
        <w:rPr>
          <w:rFonts w:hint="eastAsia" w:asciiTheme="majorEastAsia" w:hAnsiTheme="majorEastAsia" w:eastAsiaTheme="majorEastAsia"/>
          <w:color w:val="000000" w:themeColor="text1"/>
          <w:sz w:val="24"/>
          <w:highlight w:val="none"/>
          <w14:textFill>
            <w14:solidFill>
              <w14:schemeClr w14:val="tx1"/>
            </w14:solidFill>
          </w14:textFill>
        </w:rPr>
        <w:t>项目总价：</w:t>
      </w:r>
      <w:r>
        <w:rPr>
          <w:rFonts w:hint="eastAsia" w:asciiTheme="majorEastAsia" w:hAnsiTheme="majorEastAsia" w:eastAsiaTheme="majorEastAsia"/>
          <w:bCs/>
          <w:color w:val="000000" w:themeColor="text1"/>
          <w:sz w:val="24"/>
          <w:highlight w:val="none"/>
          <w14:textFill>
            <w14:solidFill>
              <w14:schemeClr w14:val="tx1"/>
            </w14:solidFill>
          </w14:textFill>
        </w:rPr>
        <w:t>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13.6.2</w:t>
      </w:r>
      <w:r>
        <w:rPr>
          <w:rFonts w:hint="eastAsia" w:asciiTheme="majorEastAsia" w:hAnsiTheme="majorEastAsia" w:eastAsiaTheme="majorEastAsia"/>
          <w:bCs/>
          <w:color w:val="000000" w:themeColor="text1"/>
          <w:sz w:val="24"/>
          <w:highlight w:val="none"/>
          <w14:textFill>
            <w14:solidFill>
              <w14:schemeClr w14:val="tx1"/>
            </w14:solidFill>
          </w14:textFill>
        </w:rPr>
        <w:t>项目单价按投标配置及分项报价表中要求填报。</w:t>
      </w:r>
      <w:bookmarkStart w:id="121" w:name="_Hlt26670486"/>
      <w:bookmarkEnd w:id="121"/>
      <w:bookmarkStart w:id="122" w:name="_Hlt26954846"/>
      <w:bookmarkEnd w:id="122"/>
      <w:bookmarkStart w:id="123" w:name="_Hlt26670482"/>
      <w:bookmarkEnd w:id="123"/>
      <w:bookmarkStart w:id="124" w:name="_Hlt26954848"/>
      <w:bookmarkEnd w:id="124"/>
      <w:bookmarkStart w:id="125" w:name="_Hlt26954731"/>
      <w:bookmarkEnd w:id="125"/>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14、技术参数响应及偏离表、商务条款响应及偏离表及投标货物说明</w:t>
      </w:r>
    </w:p>
    <w:p>
      <w:pPr>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cs="宋体" w:asciiTheme="majorEastAsia" w:hAnsiTheme="majorEastAsia" w:eastAsiaTheme="majorEastAsia"/>
          <w:bCs/>
          <w:color w:val="000000" w:themeColor="text1"/>
          <w:sz w:val="24"/>
          <w:highlight w:val="none"/>
          <w:lang w:val="zh-CN"/>
          <w14:textFill>
            <w14:solidFill>
              <w14:schemeClr w14:val="tx1"/>
            </w14:solidFill>
          </w14:textFill>
        </w:rPr>
        <w:t>1</w:t>
      </w:r>
      <w:r>
        <w:rPr>
          <w:rFonts w:hint="eastAsia" w:cs="宋体" w:asciiTheme="majorEastAsia" w:hAnsiTheme="majorEastAsia" w:eastAsiaTheme="majorEastAsia"/>
          <w:bCs/>
          <w:color w:val="000000" w:themeColor="text1"/>
          <w:sz w:val="24"/>
          <w:highlight w:val="none"/>
          <w:lang w:val="zh-CN"/>
          <w14:textFill>
            <w14:solidFill>
              <w14:schemeClr w14:val="tx1"/>
            </w14:solidFill>
          </w14:textFill>
        </w:rPr>
        <w:t>4</w:t>
      </w:r>
      <w:r>
        <w:rPr>
          <w:rFonts w:cs="宋体" w:asciiTheme="majorEastAsia" w:hAnsiTheme="majorEastAsia" w:eastAsiaTheme="majorEastAsia"/>
          <w:bCs/>
          <w:color w:val="000000" w:themeColor="text1"/>
          <w:sz w:val="24"/>
          <w:highlight w:val="none"/>
          <w:lang w:val="zh-CN"/>
          <w14:textFill>
            <w14:solidFill>
              <w14:schemeClr w14:val="tx1"/>
            </w14:solidFill>
          </w14:textFill>
        </w:rPr>
        <w:t>.1</w:t>
      </w: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14.2 提供参加本项目类似案例简介；</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14.3 培训计划；</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14.5 投标人认为需要的其他技术文件或说明。</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15、服务承诺及售后服务机构、人员的情况介绍</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15.1 </w:t>
      </w:r>
      <w:r>
        <w:rPr>
          <w:rFonts w:hint="eastAsia" w:asciiTheme="majorEastAsia" w:hAnsiTheme="majorEastAsia" w:eastAsiaTheme="majorEastAsia"/>
          <w:color w:val="000000" w:themeColor="text1"/>
          <w:sz w:val="24"/>
          <w:highlight w:val="none"/>
          <w14:textFill>
            <w14:solidFill>
              <w14:schemeClr w14:val="tx1"/>
            </w14:solidFill>
          </w14:textFill>
        </w:rPr>
        <w:t>投标人的服务承诺应按不低于招标文件中商务要求的标准。</w:t>
      </w:r>
    </w:p>
    <w:p>
      <w:pPr>
        <w:spacing w:line="480" w:lineRule="exact"/>
        <w:ind w:firstLine="48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15.2 </w:t>
      </w:r>
      <w:r>
        <w:rPr>
          <w:rFonts w:hint="eastAsia" w:asciiTheme="majorEastAsia" w:hAnsiTheme="majorEastAsia" w:eastAsiaTheme="majorEastAsia"/>
          <w:color w:val="000000" w:themeColor="text1"/>
          <w:sz w:val="24"/>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26" w:name="_Toc49090510"/>
      <w:bookmarkStart w:id="127" w:name="_Toc14577359"/>
      <w:r>
        <w:rPr>
          <w:rFonts w:hint="eastAsia" w:asciiTheme="majorEastAsia" w:hAnsiTheme="majorEastAsia" w:eastAsiaTheme="majorEastAsia"/>
          <w:b/>
          <w:color w:val="000000" w:themeColor="text1"/>
          <w:sz w:val="28"/>
          <w:szCs w:val="28"/>
          <w:highlight w:val="none"/>
          <w14:textFill>
            <w14:solidFill>
              <w14:schemeClr w14:val="tx1"/>
            </w14:solidFill>
          </w14:textFill>
        </w:rPr>
        <w:t>16、投标承诺函和开标一览表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16.1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投标人应按照招标文件中提供的格式完整、正确填写投标承诺函、开标一览表。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16.2开标一览表中的价格应与投标文件中投标配置与分项报价表中的价格一致，如不一致，</w:t>
      </w:r>
      <w:r>
        <w:rPr>
          <w:rFonts w:hint="eastAsia" w:asciiTheme="majorEastAsia" w:hAnsiTheme="majorEastAsia" w:eastAsiaTheme="majorEastAsia"/>
          <w:color w:val="000000" w:themeColor="text1"/>
          <w:sz w:val="24"/>
          <w:highlight w:val="none"/>
          <w14:textFill>
            <w14:solidFill>
              <w14:schemeClr w14:val="tx1"/>
            </w14:solidFill>
          </w14:textFill>
        </w:rPr>
        <w:t>不作为无效投标处理</w:t>
      </w:r>
      <w:r>
        <w:rPr>
          <w:rFonts w:hint="eastAsia" w:asciiTheme="majorEastAsia" w:hAnsiTheme="majorEastAsia" w:eastAsiaTheme="majorEastAsia"/>
          <w:bCs/>
          <w:color w:val="000000" w:themeColor="text1"/>
          <w:sz w:val="24"/>
          <w:highlight w:val="none"/>
          <w14:textFill>
            <w14:solidFill>
              <w14:schemeClr w14:val="tx1"/>
            </w14:solidFill>
          </w14:textFill>
        </w:rPr>
        <w:t>，但评标时按开标一览表中价格为准</w:t>
      </w:r>
      <w:r>
        <w:rPr>
          <w:rFonts w:hint="eastAsia" w:asciiTheme="majorEastAsia" w:hAnsiTheme="majorEastAsia" w:eastAsiaTheme="majorEastAsia"/>
          <w:b/>
          <w:bCs/>
          <w:color w:val="000000" w:themeColor="text1"/>
          <w:sz w:val="24"/>
          <w:highlight w:val="none"/>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17、</w:t>
      </w:r>
      <w:bookmarkEnd w:id="126"/>
      <w:bookmarkEnd w:id="127"/>
      <w:bookmarkStart w:id="128" w:name="_Toc14577360"/>
      <w:bookmarkStart w:id="129" w:name="_Toc49090511"/>
      <w:r>
        <w:rPr>
          <w:rFonts w:hint="eastAsia" w:asciiTheme="majorEastAsia" w:hAnsiTheme="majorEastAsia" w:eastAsiaTheme="majorEastAsia"/>
          <w:b/>
          <w:color w:val="000000" w:themeColor="text1"/>
          <w:sz w:val="28"/>
          <w:szCs w:val="28"/>
          <w:highlight w:val="none"/>
          <w14:textFill>
            <w14:solidFill>
              <w14:schemeClr w14:val="tx1"/>
            </w14:solidFill>
          </w14:textFill>
        </w:rPr>
        <w:t>投标有效期</w:t>
      </w:r>
      <w:bookmarkEnd w:id="128"/>
      <w:bookmarkEnd w:id="129"/>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17.1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投标有效期为招标文件规定的开标之日后</w:t>
      </w:r>
      <w:r>
        <w:rPr>
          <w:rFonts w:hint="eastAsia" w:asciiTheme="majorEastAsia" w:hAnsiTheme="majorEastAsia" w:eastAsiaTheme="majorEastAsia"/>
          <w:b/>
          <w:color w:val="000000" w:themeColor="text1"/>
          <w:sz w:val="24"/>
          <w:highlight w:val="none"/>
          <w:u w:val="single"/>
          <w14:textFill>
            <w14:solidFill>
              <w14:schemeClr w14:val="tx1"/>
            </w14:solidFill>
          </w14:textFill>
        </w:rPr>
        <w:t>30天</w:t>
      </w:r>
      <w:r>
        <w:rPr>
          <w:rFonts w:hint="eastAsia" w:asciiTheme="majorEastAsia" w:hAnsiTheme="majorEastAsia" w:eastAsiaTheme="majorEastAsia"/>
          <w:bCs/>
          <w:color w:val="000000" w:themeColor="text1"/>
          <w:sz w:val="24"/>
          <w:highlight w:val="none"/>
          <w14:textFill>
            <w14:solidFill>
              <w14:schemeClr w14:val="tx1"/>
            </w14:solidFill>
          </w14:textFill>
        </w:rPr>
        <w:t>。投标有效期比规定短的将被视为非响应性投标而予以拒绝。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17.2</w:t>
      </w:r>
      <w:r>
        <w:rPr>
          <w:rFonts w:hint="eastAsia" w:asciiTheme="majorEastAsia" w:hAnsiTheme="majorEastAsia" w:eastAsiaTheme="majorEastAsia"/>
          <w:bCs/>
          <w:color w:val="000000" w:themeColor="text1"/>
          <w:sz w:val="24"/>
          <w:highlight w:val="none"/>
          <w14:textFill>
            <w14:solidFill>
              <w14:schemeClr w14:val="tx1"/>
            </w14:solidFill>
          </w14:textFill>
        </w:rPr>
        <w:t>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同意延长投标有效期的投标人既不能要求也不允许修改其投标文件。</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30" w:name="_Hlt26954739"/>
      <w:bookmarkEnd w:id="130"/>
      <w:bookmarkStart w:id="131" w:name="_Hlt26954852"/>
      <w:bookmarkEnd w:id="131"/>
      <w:bookmarkStart w:id="132" w:name="_Toc14577361"/>
      <w:bookmarkStart w:id="133" w:name="_Toc49090512"/>
      <w:r>
        <w:rPr>
          <w:rFonts w:hint="eastAsia" w:asciiTheme="majorEastAsia" w:hAnsiTheme="majorEastAsia" w:eastAsiaTheme="majorEastAsia"/>
          <w:b/>
          <w:color w:val="000000" w:themeColor="text1"/>
          <w:sz w:val="28"/>
          <w:szCs w:val="28"/>
          <w:highlight w:val="none"/>
          <w14:textFill>
            <w14:solidFill>
              <w14:schemeClr w14:val="tx1"/>
            </w14:solidFill>
          </w14:textFill>
        </w:rPr>
        <w:t>18、投标文件份数和签署</w:t>
      </w:r>
      <w:bookmarkEnd w:id="132"/>
      <w:bookmarkEnd w:id="133"/>
    </w:p>
    <w:p>
      <w:pPr>
        <w:spacing w:line="480" w:lineRule="exact"/>
        <w:ind w:firstLine="480"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18.1</w:t>
      </w:r>
      <w:r>
        <w:rPr>
          <w:rFonts w:hint="eastAsia" w:asciiTheme="majorEastAsia" w:hAnsiTheme="majorEastAsia" w:eastAsiaTheme="majorEastAsia"/>
          <w:bCs/>
          <w:color w:val="000000" w:themeColor="text1"/>
          <w:sz w:val="24"/>
          <w:highlight w:val="none"/>
          <w14:textFill>
            <w14:solidFill>
              <w14:schemeClr w14:val="tx1"/>
            </w14:solidFill>
          </w14:textFill>
        </w:rPr>
        <w:t>投标人应严格按照招标公告和招标文件要求的份数准备投标文件，每份投标文件须清楚地标明“正本”或“副本”字样。</w:t>
      </w:r>
      <w:r>
        <w:rPr>
          <w:rFonts w:hint="eastAsia" w:asciiTheme="majorEastAsia" w:hAnsiTheme="majorEastAsia" w:eastAsiaTheme="majorEastAsia"/>
          <w:b/>
          <w:bCs/>
          <w:color w:val="000000" w:themeColor="text1"/>
          <w:sz w:val="24"/>
          <w:highlight w:val="none"/>
          <w14:textFill>
            <w14:solidFill>
              <w14:schemeClr w14:val="tx1"/>
            </w14:solidFill>
          </w14:textFill>
        </w:rPr>
        <w:t>一旦正本和副本不符，以正本为准。正本份数：1份；副本份数：3份。</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18.2投标文件正本中，</w:t>
      </w:r>
      <w:r>
        <w:rPr>
          <w:rFonts w:hint="eastAsia" w:asciiTheme="majorEastAsia" w:hAnsiTheme="majorEastAsia" w:eastAsiaTheme="majorEastAsia"/>
          <w:bCs/>
          <w:color w:val="000000" w:themeColor="text1"/>
          <w:sz w:val="24"/>
          <w:highlight w:val="none"/>
          <w14:textFill>
            <w14:solidFill>
              <w14:schemeClr w14:val="tx1"/>
            </w14:solidFill>
          </w14:textFill>
        </w:rPr>
        <w:t>招标文件要求必须提供原件的按照要求提供，文</w:t>
      </w:r>
      <w:r>
        <w:rPr>
          <w:rFonts w:hint="eastAsia" w:asciiTheme="majorEastAsia" w:hAnsiTheme="majorEastAsia" w:eastAsiaTheme="majorEastAsia"/>
          <w:color w:val="000000" w:themeColor="text1"/>
          <w:sz w:val="24"/>
          <w:highlight w:val="none"/>
          <w14:textFill>
            <w14:solidFill>
              <w14:schemeClr w14:val="tx1"/>
            </w14:solidFill>
          </w14:textFill>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spacing w:before="145" w:beforeLines="50" w:after="145" w:afterLines="50"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18.3</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bookmarkStart w:id="134" w:name="_Toc120614217"/>
      <w:bookmarkStart w:id="135" w:name="_Toc513029224"/>
      <w:bookmarkStart w:id="136" w:name="_Toc20823296"/>
      <w:bookmarkStart w:id="137" w:name="_Toc16938540"/>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四、投标文件的递交</w:t>
      </w:r>
      <w:bookmarkEnd w:id="134"/>
      <w:bookmarkEnd w:id="135"/>
      <w:bookmarkEnd w:id="136"/>
      <w:bookmarkEnd w:id="137"/>
    </w:p>
    <w:p>
      <w:pPr>
        <w:pStyle w:val="2"/>
        <w:spacing w:line="480" w:lineRule="exact"/>
        <w:ind w:firstLine="562"/>
        <w:rPr>
          <w:rFonts w:cs="Courier New" w:asciiTheme="majorEastAsia" w:hAnsiTheme="majorEastAsia" w:eastAsiaTheme="majorEastAsia"/>
          <w:b/>
          <w:color w:val="000000" w:themeColor="text1"/>
          <w:sz w:val="28"/>
          <w:szCs w:val="28"/>
          <w:highlight w:val="none"/>
          <w14:textFill>
            <w14:solidFill>
              <w14:schemeClr w14:val="tx1"/>
            </w14:solidFill>
          </w14:textFill>
        </w:rPr>
      </w:pPr>
      <w:bookmarkStart w:id="138" w:name="_Toc513029226"/>
      <w:bookmarkStart w:id="139" w:name="_Toc20823298"/>
      <w:bookmarkStart w:id="140" w:name="_Toc16938542"/>
      <w:r>
        <w:rPr>
          <w:rFonts w:hint="eastAsia" w:cs="Courier New" w:asciiTheme="majorEastAsia" w:hAnsiTheme="majorEastAsia" w:eastAsiaTheme="majorEastAsia"/>
          <w:b/>
          <w:color w:val="000000" w:themeColor="text1"/>
          <w:sz w:val="28"/>
          <w:szCs w:val="28"/>
          <w:highlight w:val="none"/>
          <w14:textFill>
            <w14:solidFill>
              <w14:schemeClr w14:val="tx1"/>
            </w14:solidFill>
          </w14:textFill>
        </w:rPr>
        <w:t>19、投标文件的密封和标记</w:t>
      </w:r>
    </w:p>
    <w:p>
      <w:pPr>
        <w:pStyle w:val="2"/>
        <w:spacing w:line="480" w:lineRule="exact"/>
        <w:ind w:firstLine="140" w:firstLineChars="67"/>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　　</w:t>
      </w:r>
      <w:r>
        <w:rPr>
          <w:rFonts w:hint="eastAsia" w:asciiTheme="majorEastAsia" w:hAnsiTheme="majorEastAsia" w:eastAsiaTheme="majorEastAsia"/>
          <w:bCs/>
          <w:color w:val="000000" w:themeColor="text1"/>
          <w:sz w:val="24"/>
          <w:szCs w:val="21"/>
          <w:highlight w:val="none"/>
          <w14:textFill>
            <w14:solidFill>
              <w14:schemeClr w14:val="tx1"/>
            </w14:solidFill>
          </w14:textFill>
        </w:rPr>
        <w:t>19.1投标人应将投标文件正本和所有副本密封，不论投标人中标与否，投标文件均不退回。</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 密封的投标文件应：</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19.2.1 注明投标人名称，如因标注不清而产生的后果由投标人自负。按招标公告中注明的地址送达；</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19.2.2 注明投标项目名称、标书编号。</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19.2.3 未按要求密封和加写标记，招标人对误投或过早启封概不负责。对由此造成提前开封的投标文件，招标人将予以拒绝。</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20、投标截止日期</w:t>
      </w:r>
      <w:bookmarkEnd w:id="138"/>
      <w:bookmarkEnd w:id="139"/>
      <w:bookmarkEnd w:id="140"/>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招标人收到投标文件的时间不得迟于招标公告中规定的截止时间。</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招标人有权通过修改招标文件酌情延长投标截止日期，在此情况下，投标人的所有权利和义务以及投标人受制的截止日期均应以延长后新的截止日期为准。</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41" w:name="_Toc16938543"/>
      <w:bookmarkStart w:id="142" w:name="_Toc513029227"/>
      <w:bookmarkStart w:id="143" w:name="_Toc20823299"/>
      <w:r>
        <w:rPr>
          <w:rFonts w:hint="eastAsia" w:asciiTheme="majorEastAsia" w:hAnsiTheme="majorEastAsia" w:eastAsiaTheme="majorEastAsia"/>
          <w:b/>
          <w:color w:val="000000" w:themeColor="text1"/>
          <w:sz w:val="28"/>
          <w:szCs w:val="28"/>
          <w:highlight w:val="none"/>
          <w14:textFill>
            <w14:solidFill>
              <w14:schemeClr w14:val="tx1"/>
            </w14:solidFill>
          </w14:textFill>
        </w:rPr>
        <w:t>21、迟交的投标文件</w:t>
      </w:r>
      <w:bookmarkEnd w:id="141"/>
      <w:bookmarkEnd w:id="142"/>
      <w:bookmarkEnd w:id="143"/>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21.1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招标人拒绝接收在其规定的投标截止时间后递交的任何投标文件。</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44" w:name="_Toc513029228"/>
      <w:bookmarkStart w:id="145" w:name="_Toc20823300"/>
      <w:bookmarkStart w:id="146" w:name="_Toc16938544"/>
      <w:r>
        <w:rPr>
          <w:rFonts w:hint="eastAsia" w:asciiTheme="majorEastAsia" w:hAnsiTheme="majorEastAsia" w:eastAsiaTheme="majorEastAsia"/>
          <w:b/>
          <w:color w:val="000000" w:themeColor="text1"/>
          <w:sz w:val="28"/>
          <w:szCs w:val="28"/>
          <w:highlight w:val="none"/>
          <w14:textFill>
            <w14:solidFill>
              <w14:schemeClr w14:val="tx1"/>
            </w14:solidFill>
          </w14:textFill>
        </w:rPr>
        <w:t>22、投标文件的修改和撤回</w:t>
      </w:r>
      <w:bookmarkEnd w:id="144"/>
      <w:bookmarkEnd w:id="145"/>
      <w:bookmarkEnd w:id="146"/>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Theme="majorEastAsia" w:hAnsiTheme="majorEastAsia" w:eastAsiaTheme="majorEastAsia"/>
          <w:color w:val="000000" w:themeColor="text1"/>
          <w:sz w:val="24"/>
          <w:highlight w:val="none"/>
          <w14:textFill>
            <w14:solidFill>
              <w14:schemeClr w14:val="tx1"/>
            </w14:solidFill>
          </w14:textFill>
        </w:rPr>
        <w:t>通知招标人，修改或撤回其投标文件。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投标人的修改或撤回文件应按规定进行编制、密封，并应在封套上加注“修改</w:t>
      </w:r>
      <w:r>
        <w:rPr>
          <w:rFonts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或“撤回</w:t>
      </w:r>
      <w:r>
        <w:rPr>
          <w:rFonts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字样。</w:t>
      </w:r>
      <w:r>
        <w:rPr>
          <w:rFonts w:hint="eastAsia" w:asciiTheme="majorEastAsia" w:hAnsiTheme="majorEastAsia" w:eastAsiaTheme="majorEastAsia"/>
          <w:color w:val="000000" w:themeColor="text1"/>
          <w:sz w:val="24"/>
          <w:highlight w:val="none"/>
          <w14:textFill>
            <w14:solidFill>
              <w14:schemeClr w14:val="tx1"/>
            </w14:solidFill>
          </w14:textFill>
        </w:rPr>
        <w:t>上述补充或修改若涉及投标报价，必须注明“最后唯一报价”字样，否则将视为有选择的报价。修改文件必须在投标截止时间前送达。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22.3</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在投标截止时间之后，投标人不得对其投标文件作任何修改。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22.4</w:t>
      </w:r>
      <w:r>
        <w:rPr>
          <w:rFonts w:hint="eastAsia" w:asciiTheme="majorEastAsia" w:hAnsiTheme="majorEastAsia" w:eastAsiaTheme="majorEastAsia"/>
          <w:bCs/>
          <w:color w:val="000000" w:themeColor="text1"/>
          <w:sz w:val="24"/>
          <w:highlight w:val="none"/>
          <w14:textFill>
            <w14:solidFill>
              <w14:schemeClr w14:val="tx1"/>
            </w14:solidFill>
          </w14:textFill>
        </w:rPr>
        <w:t>在投标截止时间至招标文件中规定的投标有效期满之间的这段时间内，投标人不得撤回其投标</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147" w:name="_Toc513029229"/>
      <w:bookmarkStart w:id="148" w:name="_Toc120614218"/>
      <w:bookmarkStart w:id="149" w:name="_Toc20823301"/>
      <w:bookmarkStart w:id="150" w:name="_Toc16938545"/>
      <w:r>
        <w:rPr>
          <w:rFonts w:hint="eastAsia" w:asciiTheme="majorEastAsia" w:hAnsiTheme="majorEastAsia" w:eastAsiaTheme="majorEastAsia"/>
          <w:b/>
          <w:color w:val="000000" w:themeColor="text1"/>
          <w:sz w:val="32"/>
          <w:szCs w:val="32"/>
          <w:highlight w:val="none"/>
          <w14:textFill>
            <w14:solidFill>
              <w14:schemeClr w14:val="tx1"/>
            </w14:solidFill>
          </w14:textFill>
        </w:rPr>
        <w:t>五、开标与评标</w:t>
      </w:r>
      <w:bookmarkEnd w:id="147"/>
      <w:bookmarkEnd w:id="148"/>
      <w:bookmarkEnd w:id="149"/>
      <w:bookmarkEnd w:id="150"/>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1" w:name="_Toc513029230"/>
      <w:bookmarkStart w:id="152" w:name="_Toc20823302"/>
      <w:bookmarkStart w:id="153" w:name="_Toc16938546"/>
      <w:r>
        <w:rPr>
          <w:rFonts w:hint="eastAsia" w:asciiTheme="majorEastAsia" w:hAnsiTheme="majorEastAsia" w:eastAsiaTheme="majorEastAsia"/>
          <w:b/>
          <w:color w:val="000000" w:themeColor="text1"/>
          <w:sz w:val="28"/>
          <w:szCs w:val="28"/>
          <w:highlight w:val="none"/>
          <w14:textFill>
            <w14:solidFill>
              <w14:schemeClr w14:val="tx1"/>
            </w14:solidFill>
          </w14:textFill>
        </w:rPr>
        <w:t>23、开标</w:t>
      </w:r>
      <w:bookmarkEnd w:id="151"/>
      <w:bookmarkEnd w:id="152"/>
      <w:bookmarkEnd w:id="153"/>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23.1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招标人将在招标公告中规定的时间和地点组织公开开标</w:t>
      </w:r>
      <w:r>
        <w:rPr>
          <w:rFonts w:hint="eastAsia" w:asciiTheme="majorEastAsia" w:hAnsiTheme="majorEastAsia" w:eastAsiaTheme="majorEastAsia"/>
          <w:color w:val="000000" w:themeColor="text1"/>
          <w:sz w:val="24"/>
          <w:highlight w:val="none"/>
          <w14:textFill>
            <w14:solidFill>
              <w14:schemeClr w14:val="tx1"/>
            </w14:solidFill>
          </w14:textFill>
        </w:rPr>
        <w:t>。必须参加开标会议的人员为：</w:t>
      </w:r>
      <w:r>
        <w:rPr>
          <w:rFonts w:hint="eastAsia" w:asciiTheme="majorEastAsia" w:hAnsiTheme="majorEastAsia" w:eastAsiaTheme="majorEastAsia"/>
          <w:b/>
          <w:color w:val="000000" w:themeColor="text1"/>
          <w:sz w:val="24"/>
          <w:highlight w:val="none"/>
          <w14:textFill>
            <w14:solidFill>
              <w14:schemeClr w14:val="tx1"/>
            </w14:solidFill>
          </w14:textFill>
        </w:rPr>
        <w:t>投标人的法定代表人（或者授权委托人）。</w:t>
      </w:r>
      <w:r>
        <w:rPr>
          <w:rFonts w:hint="eastAsia" w:asciiTheme="majorEastAsia" w:hAnsiTheme="majorEastAsia" w:eastAsiaTheme="majorEastAsia"/>
          <w:color w:val="000000" w:themeColor="text1"/>
          <w:sz w:val="24"/>
          <w:highlight w:val="none"/>
          <w14:textFill>
            <w14:solidFill>
              <w14:schemeClr w14:val="tx1"/>
            </w14:solidFill>
          </w14:textFill>
        </w:rPr>
        <w:t>出席开标会议的人员须携带有效身份证原件以便核查身份，否则其投标文件作无效标书处理。</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23.2</w:t>
      </w:r>
      <w:r>
        <w:rPr>
          <w:rFonts w:hint="eastAsia" w:asciiTheme="majorEastAsia" w:hAnsiTheme="majorEastAsia" w:eastAsiaTheme="majorEastAsia"/>
          <w:color w:val="000000" w:themeColor="text1"/>
          <w:sz w:val="24"/>
          <w:highlight w:val="none"/>
          <w14:textFill>
            <w14:solidFill>
              <w14:schemeClr w14:val="tx1"/>
            </w14:solidFill>
          </w14:textFill>
        </w:rPr>
        <w:t>开标由招标人或委托招标代理机构主持，邀请所有投标人参加。</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23.3</w:t>
      </w:r>
      <w:r>
        <w:rPr>
          <w:rFonts w:hint="eastAsia" w:asciiTheme="majorEastAsia" w:hAnsiTheme="majorEastAsia" w:eastAsiaTheme="majorEastAsia"/>
          <w:bCs/>
          <w:color w:val="000000" w:themeColor="text1"/>
          <w:sz w:val="24"/>
          <w:highlight w:val="none"/>
          <w14:textFill>
            <w14:solidFill>
              <w14:schemeClr w14:val="tx1"/>
            </w14:solidFill>
          </w14:textFill>
        </w:rPr>
        <w:t>按照规定同意撤回的投标将不予开封。</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4开标时，由投标人或者其推选的代表检查投标文件的密封情况，确认无误后，由工作人员当众拆封投标文件封袋，宣读投标人名称、投标价格和投标文件的其它主要内容。开标时未宣读的投标报价信息，不得在评标时采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5 招标人将指定专人负责开标记录并存档备查，各投标人需仔细核对开标记录相关内容并签字确认。</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6 投标人在报价时不允许采用选择性报价，否则将被视为无效投标。</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4" w:name="_Toc16938547"/>
      <w:bookmarkStart w:id="155" w:name="_Toc513029231"/>
      <w:bookmarkStart w:id="156" w:name="_Toc20823303"/>
      <w:r>
        <w:rPr>
          <w:rFonts w:hint="eastAsia" w:asciiTheme="majorEastAsia" w:hAnsiTheme="majorEastAsia" w:eastAsiaTheme="majorEastAsia"/>
          <w:b/>
          <w:color w:val="000000" w:themeColor="text1"/>
          <w:sz w:val="28"/>
          <w:szCs w:val="28"/>
          <w:highlight w:val="none"/>
          <w14:textFill>
            <w14:solidFill>
              <w14:schemeClr w14:val="tx1"/>
            </w14:solidFill>
          </w14:textFill>
        </w:rPr>
        <w:t>24、资格审查</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24.1依据法律法规和招标文件的约定，开标结束后，由采购人对投标文件中的资格证明文件进行审查。资格审查的结论，采购人以书面形式向评委会进行反馈。未通过资格审查的投标人，由招标人告知未通过资格审查的原因。</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合格投标人不足3家的，不得评标。</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25、评标委员会</w:t>
      </w:r>
    </w:p>
    <w:p>
      <w:pPr>
        <w:spacing w:line="480" w:lineRule="exact"/>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25.1资格审查通过后，招标人将组织评标委员会（以下简称评委会）进行评标。</w:t>
      </w:r>
    </w:p>
    <w:p>
      <w:pPr>
        <w:spacing w:line="480" w:lineRule="exact"/>
        <w:ind w:firstLine="240" w:firstLineChars="1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25.2 评委会由招标人代表和有关技术、经济等方面的专家组成，且人员构成符合政府采购有关规定。</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25.3评委会独立工作，负责评审所有投标文件并确定中标侯选人。</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26、评标过程的保密与公正</w:t>
      </w:r>
    </w:p>
    <w:bookmarkEnd w:id="154"/>
    <w:bookmarkEnd w:id="155"/>
    <w:bookmarkEnd w:id="156"/>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26.1</w:t>
      </w:r>
      <w:r>
        <w:rPr>
          <w:rFonts w:hint="eastAsia" w:asciiTheme="majorEastAsia" w:hAnsiTheme="majorEastAsia" w:eastAsiaTheme="majorEastAsia"/>
          <w:bCs/>
          <w:color w:val="000000" w:themeColor="text1"/>
          <w:sz w:val="24"/>
          <w:highlight w:val="none"/>
          <w14:textFill>
            <w14:solidFill>
              <w14:schemeClr w14:val="tx1"/>
            </w14:solidFill>
          </w14:textFill>
        </w:rPr>
        <w:t>公开开标后，直至签订合同之日止，凡是与审查、澄清、评价和比较投标的有关资料以及授标建议等，招标人、评委、招标代理机构均不得向投标人或与评标无关的其他人员透露。</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26.2在评标过程中，投标人不得以任何行为影响评标过程，否则其投标文件将被作为无效投标文件。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26.3 招标人和评标委员会不向落标的投标人解释未中标原因，也不公布评标过程中的相关细节。</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26.4 采用综合评分法的项目，未中标的投标人如需了解自己的评审得分及排序情况，可向招标人提出申请。</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7" w:name="_Toc20823304"/>
      <w:bookmarkStart w:id="158" w:name="_Toc513029232"/>
      <w:bookmarkStart w:id="159" w:name="_Toc16938548"/>
      <w:r>
        <w:rPr>
          <w:rFonts w:hint="eastAsia" w:asciiTheme="majorEastAsia" w:hAnsiTheme="majorEastAsia" w:eastAsiaTheme="majorEastAsia"/>
          <w:b/>
          <w:color w:val="000000" w:themeColor="text1"/>
          <w:sz w:val="28"/>
          <w:szCs w:val="28"/>
          <w:highlight w:val="none"/>
          <w14:textFill>
            <w14:solidFill>
              <w14:schemeClr w14:val="tx1"/>
            </w14:solidFill>
          </w14:textFill>
        </w:rPr>
        <w:t>27、投标的澄清</w:t>
      </w:r>
      <w:bookmarkEnd w:id="157"/>
      <w:bookmarkEnd w:id="158"/>
      <w:bookmarkEnd w:id="159"/>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7.</w:t>
      </w:r>
      <w:r>
        <w:rPr>
          <w:rFonts w:asciiTheme="majorEastAsia" w:hAnsiTheme="majorEastAsia" w:eastAsia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olor w:val="000000" w:themeColor="text1"/>
          <w:sz w:val="24"/>
          <w:highlight w:val="none"/>
          <w14:textFill>
            <w14:solidFill>
              <w14:schemeClr w14:val="tx1"/>
            </w14:solidFill>
          </w14:textFill>
        </w:rPr>
        <w:t>评标期间，为有助于对投标文件的审查、评价和比较，评委会有权以书面形式要求投标人对其投标文件进行澄清，但并非对每个投标人都作澄清要求。</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27.3 接到评委会澄清要求的投标人如未按规定做出澄清，其风险由投标人自行承担。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60" w:name="_Toc513029233"/>
      <w:bookmarkStart w:id="161" w:name="_Toc20823305"/>
      <w:bookmarkStart w:id="162" w:name="_Toc16938549"/>
      <w:r>
        <w:rPr>
          <w:rFonts w:hint="eastAsia" w:asciiTheme="majorEastAsia" w:hAnsiTheme="majorEastAsia" w:eastAsiaTheme="majorEastAsia"/>
          <w:b/>
          <w:color w:val="000000" w:themeColor="text1"/>
          <w:sz w:val="28"/>
          <w:szCs w:val="28"/>
          <w:highlight w:val="none"/>
          <w14:textFill>
            <w14:solidFill>
              <w14:schemeClr w14:val="tx1"/>
            </w14:solidFill>
          </w14:textFill>
        </w:rPr>
        <w:t>28、对投标文件的评审</w:t>
      </w:r>
      <w:bookmarkEnd w:id="160"/>
      <w:bookmarkEnd w:id="161"/>
      <w:bookmarkEnd w:id="162"/>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28.1</w:t>
      </w:r>
      <w:r>
        <w:rPr>
          <w:rFonts w:hint="eastAsia" w:asciiTheme="majorEastAsia" w:hAnsiTheme="majorEastAsia" w:eastAsiaTheme="majorEastAsia"/>
          <w:bCs/>
          <w:color w:val="000000" w:themeColor="text1"/>
          <w:sz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color w:val="000000" w:themeColor="text1"/>
          <w:sz w:val="24"/>
          <w:highlight w:val="none"/>
          <w14:textFill>
            <w14:solidFill>
              <w14:schemeClr w14:val="tx1"/>
            </w14:solidFill>
          </w14:textFill>
        </w:rPr>
        <w:t>评委决定投标文件的响应性只根据投标文件本身的内容，而不寻求外部的证据。</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28.3</w:t>
      </w:r>
      <w:r>
        <w:rPr>
          <w:rFonts w:hint="eastAsia" w:asciiTheme="majorEastAsia" w:hAnsiTheme="majorEastAsia" w:eastAsiaTheme="majorEastAsia"/>
          <w:bCs/>
          <w:color w:val="000000" w:themeColor="text1"/>
          <w:sz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28.4</w:t>
      </w:r>
      <w:r>
        <w:rPr>
          <w:rFonts w:hint="eastAsia" w:asciiTheme="majorEastAsia" w:hAnsiTheme="majorEastAsia" w:eastAsiaTheme="majorEastAsia"/>
          <w:bCs/>
          <w:color w:val="000000" w:themeColor="text1"/>
          <w:sz w:val="24"/>
          <w:highlight w:val="none"/>
          <w14:textFill>
            <w14:solidFill>
              <w14:schemeClr w14:val="tx1"/>
            </w14:solidFill>
          </w14:textFill>
        </w:rPr>
        <w:t>评委会将对确定为实质性响应的投标进行进一步审核，看其是否有计算上或累加上的算术错误，修正错误的原则如下：</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（1）如果投标文件中引用技术参数与其所附制造商正式印刷产品样本中标明的参数不一致时，以制造商正式印刷产品样本中标明的技术参数为准。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（2）如果大写（文字）金额与小写（数字）金额不一致时，以大写金额为准。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（3）如果单价与数量的乘积与总价不一致时，以单价为准修改总价，但单价金额的小数点有明显错误的，应以标出的总价为准，并修改单价；或按照有利于招标人的方法调整。</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同时出现两种以上错误的，按照前款规定的顺序修正。</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28.5</w:t>
      </w:r>
      <w:r>
        <w:rPr>
          <w:rFonts w:hint="eastAsia" w:asciiTheme="majorEastAsia" w:hAnsiTheme="majorEastAsia" w:eastAsiaTheme="majorEastAsia"/>
          <w:bCs/>
          <w:color w:val="000000" w:themeColor="text1"/>
          <w:sz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28.6</w:t>
      </w:r>
      <w:r>
        <w:rPr>
          <w:rFonts w:hint="eastAsia" w:asciiTheme="majorEastAsia" w:hAnsiTheme="majorEastAsia" w:eastAsiaTheme="majorEastAsia"/>
          <w:bCs/>
          <w:color w:val="000000" w:themeColor="text1"/>
          <w:sz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28.7</w:t>
      </w:r>
      <w:r>
        <w:rPr>
          <w:rFonts w:asciiTheme="majorEastAsia" w:hAnsiTheme="majorEastAsia" w:eastAsiaTheme="majorEastAsia"/>
          <w:b/>
          <w:color w:val="000000" w:themeColor="text1"/>
          <w:sz w:val="24"/>
          <w:highlight w:val="none"/>
          <w14:textFill>
            <w14:solidFill>
              <w14:schemeClr w14:val="tx1"/>
            </w14:solidFill>
          </w14:textFill>
        </w:rPr>
        <w:t>采用最低评标价法的采购项目，</w:t>
      </w:r>
      <w:r>
        <w:rPr>
          <w:rFonts w:asciiTheme="majorEastAsia" w:hAnsiTheme="majorEastAsia" w:eastAsiaTheme="majorEastAsia"/>
          <w:color w:val="000000" w:themeColor="text1"/>
          <w:sz w:val="24"/>
          <w:highlight w:val="none"/>
          <w14:textFill>
            <w14:solidFill>
              <w14:schemeClr w14:val="tx1"/>
            </w14:solidFill>
          </w14:textFill>
        </w:rPr>
        <w:t>提供相同品牌产品的不同投标人参加同一合同项下投标的，以其中通过资格审查、符合性审查且报价最低的参加评标；报价相同的，由</w:t>
      </w:r>
      <w:r>
        <w:rPr>
          <w:rFonts w:hint="eastAsia" w:asciiTheme="majorEastAsia" w:hAnsiTheme="majorEastAsia" w:eastAsiaTheme="majorEastAsia"/>
          <w:color w:val="000000" w:themeColor="text1"/>
          <w:sz w:val="24"/>
          <w:highlight w:val="none"/>
          <w14:textFill>
            <w14:solidFill>
              <w14:schemeClr w14:val="tx1"/>
            </w14:solidFill>
          </w14:textFill>
        </w:rPr>
        <w:t>招标</w:t>
      </w:r>
      <w:r>
        <w:rPr>
          <w:rFonts w:asciiTheme="majorEastAsia" w:hAnsiTheme="majorEastAsia" w:eastAsiaTheme="majorEastAsia"/>
          <w:color w:val="000000" w:themeColor="text1"/>
          <w:sz w:val="24"/>
          <w:highlight w:val="none"/>
          <w14:textFill>
            <w14:solidFill>
              <w14:schemeClr w14:val="tx1"/>
            </w14:solidFill>
          </w14:textFill>
        </w:rPr>
        <w:t>人或者</w:t>
      </w:r>
      <w:r>
        <w:rPr>
          <w:rFonts w:hint="eastAsia" w:asciiTheme="majorEastAsia" w:hAnsiTheme="majorEastAsia" w:eastAsiaTheme="majorEastAsia"/>
          <w:color w:val="000000" w:themeColor="text1"/>
          <w:sz w:val="24"/>
          <w:highlight w:val="none"/>
          <w14:textFill>
            <w14:solidFill>
              <w14:schemeClr w14:val="tx1"/>
            </w14:solidFill>
          </w14:textFill>
        </w:rPr>
        <w:t>招标</w:t>
      </w:r>
      <w:r>
        <w:rPr>
          <w:rFonts w:asciiTheme="majorEastAsia" w:hAnsiTheme="majorEastAsia" w:eastAsiaTheme="majorEastAsia"/>
          <w:color w:val="000000" w:themeColor="text1"/>
          <w:sz w:val="24"/>
          <w:highlight w:val="none"/>
          <w14:textFill>
            <w14:solidFill>
              <w14:schemeClr w14:val="tx1"/>
            </w14:solidFill>
          </w14:textFill>
        </w:rPr>
        <w:t>人委托评标委员会按照招标文件规定的方式确定一个参加评标的投标人，招标文件未规定的采取随机抽取方式确定，其他投标无效。</w:t>
      </w:r>
    </w:p>
    <w:p>
      <w:pPr>
        <w:spacing w:line="480" w:lineRule="exact"/>
        <w:ind w:firstLine="482"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使用综合评分法的采购项目，</w:t>
      </w:r>
      <w:r>
        <w:rPr>
          <w:rFonts w:asciiTheme="majorEastAsia" w:hAnsiTheme="majorEastAsia" w:eastAsiaTheme="majorEastAsia"/>
          <w:color w:val="000000" w:themeColor="text1"/>
          <w:sz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80" w:lineRule="exact"/>
        <w:ind w:firstLine="120" w:firstLineChars="5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w:t>
      </w:r>
      <w:r>
        <w:rPr>
          <w:rFonts w:asciiTheme="majorEastAsia" w:hAnsiTheme="majorEastAsia" w:eastAsiaTheme="majorEastAsia"/>
          <w:b/>
          <w:color w:val="000000" w:themeColor="text1"/>
          <w:sz w:val="24"/>
          <w:highlight w:val="none"/>
          <w14:textFill>
            <w14:solidFill>
              <w14:schemeClr w14:val="tx1"/>
            </w14:solidFill>
          </w14:textFill>
        </w:rPr>
        <w:t>非单一产品采购项目，</w:t>
      </w:r>
      <w:r>
        <w:rPr>
          <w:rFonts w:hint="eastAsia" w:asciiTheme="majorEastAsia" w:hAnsiTheme="majorEastAsia" w:eastAsiaTheme="majorEastAsia"/>
          <w:color w:val="000000" w:themeColor="text1"/>
          <w:sz w:val="24"/>
          <w:highlight w:val="none"/>
          <w14:textFill>
            <w14:solidFill>
              <w14:schemeClr w14:val="tx1"/>
            </w14:solidFill>
          </w14:textFill>
        </w:rPr>
        <w:t>招标</w:t>
      </w:r>
      <w:r>
        <w:rPr>
          <w:rFonts w:asciiTheme="majorEastAsia" w:hAnsiTheme="majorEastAsia" w:eastAsiaTheme="majorEastAsia"/>
          <w:color w:val="000000" w:themeColor="text1"/>
          <w:sz w:val="24"/>
          <w:highlight w:val="none"/>
          <w14:textFill>
            <w14:solidFill>
              <w14:schemeClr w14:val="tx1"/>
            </w14:solidFill>
          </w14:textFill>
        </w:rPr>
        <w:t>人应当根据采购项目技术构成、产品价格比重等合理确定核心产品，并在招标文件中载明。多家投标人提供的核心产品品牌相同的，按前两款规定处理。</w:t>
      </w:r>
      <w:r>
        <w:rPr>
          <w:rFonts w:hint="eastAsia" w:asciiTheme="majorEastAsia" w:hAnsiTheme="majorEastAsia" w:eastAsiaTheme="majorEastAsia"/>
          <w:color w:val="000000" w:themeColor="text1"/>
          <w:sz w:val="24"/>
          <w:highlight w:val="none"/>
          <w14:textFill>
            <w14:solidFill>
              <w14:schemeClr w14:val="tx1"/>
            </w14:solidFill>
          </w14:textFill>
        </w:rPr>
        <w:t>(87号令第31条)</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63" w:name="_Toc16938550"/>
      <w:bookmarkStart w:id="164" w:name="_Toc20823306"/>
      <w:bookmarkStart w:id="165" w:name="_Toc513029234"/>
      <w:r>
        <w:rPr>
          <w:rFonts w:hint="eastAsia" w:asciiTheme="majorEastAsia" w:hAnsiTheme="majorEastAsia" w:eastAsiaTheme="majorEastAsia"/>
          <w:b/>
          <w:color w:val="000000" w:themeColor="text1"/>
          <w:sz w:val="28"/>
          <w:szCs w:val="28"/>
          <w:highlight w:val="none"/>
          <w14:textFill>
            <w14:solidFill>
              <w14:schemeClr w14:val="tx1"/>
            </w14:solidFill>
          </w14:textFill>
        </w:rPr>
        <w:t>29、</w:t>
      </w:r>
      <w:bookmarkEnd w:id="163"/>
      <w:bookmarkEnd w:id="164"/>
      <w:bookmarkEnd w:id="165"/>
      <w:r>
        <w:rPr>
          <w:rFonts w:hint="eastAsia" w:asciiTheme="majorEastAsia" w:hAnsiTheme="majorEastAsia" w:eastAsiaTheme="majorEastAsia"/>
          <w:b/>
          <w:color w:val="000000" w:themeColor="text1"/>
          <w:sz w:val="28"/>
          <w:szCs w:val="28"/>
          <w:highlight w:val="none"/>
          <w14:textFill>
            <w14:solidFill>
              <w14:schemeClr w14:val="tx1"/>
            </w14:solidFill>
          </w14:textFill>
        </w:rPr>
        <w:t>无效投标条款和废标条款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bookmarkStart w:id="166" w:name="_Toc16938551"/>
      <w:bookmarkStart w:id="167" w:name="_Toc513029235"/>
      <w:bookmarkStart w:id="168" w:name="_Toc20823307"/>
      <w:r>
        <w:rPr>
          <w:rFonts w:hint="eastAsia" w:asciiTheme="majorEastAsia" w:hAnsiTheme="majorEastAsia" w:eastAsiaTheme="majorEastAsia"/>
          <w:bCs/>
          <w:color w:val="000000" w:themeColor="text1"/>
          <w:sz w:val="24"/>
          <w:highlight w:val="none"/>
          <w14:textFill>
            <w14:solidFill>
              <w14:schemeClr w14:val="tx1"/>
            </w14:solidFill>
          </w14:textFill>
        </w:rPr>
        <w:t>29.1无效投标条款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29.1.1未按照招标文件规定要求密封、签署、盖章的；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29.1.2投标人在报价时采用选择性报价；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29.1.3投标人不具备招标文件中规定资格要求的；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29.1.4投标人的报价超过了采购预算或最高限价的；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29.1.5未通过符合性检查的；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29.1.6不符合招标文件中规定的其他实质性要求和条件的；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29.1.7投标人串通投标；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29.1.8  投标文件含有招标人不能接受的附加条件的。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29.1.10其他法律、法规及本招标文件规定的属无效投标的情形。</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29.2废标条款：                                                                                                                                                                                                                                                                                                                                                                                                                                                                                                                                                                                                                                                                                                                                                                                                                                                                                                                                                                                                                                                                                                                                                                                                                                                                                                                                                                                                                                                                         </w:t>
      </w:r>
    </w:p>
    <w:p>
      <w:pPr>
        <w:spacing w:line="480" w:lineRule="exact"/>
        <w:ind w:left="479" w:leftChars="228"/>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29.2.1符合专业条件的供应商或者对招标文件作实质响应的供应商不足三家的；29.2.2出现影响采购公正的违法、违规行为的；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29.2.3因重大变故，采购任务取消的；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29.2.4评标委员会认定招标文件存在歧义、 重大缺陷导致评审工作无法进行。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29.3 投标截止时间结束后参加投标的投标人不足三家的处理：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29.3.1如出现投标截止时间结束后参加投标的投标人或者在评标期间对招标文件做出实质响应的投标人商不足三家情况，按财政部第八十七号令第四十三条的规定执行。</w:t>
      </w:r>
      <w:bookmarkStart w:id="169" w:name="_Toc120614219"/>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六、</w:t>
      </w:r>
      <w:bookmarkEnd w:id="166"/>
      <w:bookmarkEnd w:id="167"/>
      <w:bookmarkEnd w:id="168"/>
      <w:r>
        <w:rPr>
          <w:rFonts w:hint="eastAsia" w:asciiTheme="majorEastAsia" w:hAnsiTheme="majorEastAsia" w:eastAsiaTheme="majorEastAsia"/>
          <w:b/>
          <w:color w:val="000000" w:themeColor="text1"/>
          <w:sz w:val="32"/>
          <w:szCs w:val="32"/>
          <w:highlight w:val="none"/>
          <w14:textFill>
            <w14:solidFill>
              <w14:schemeClr w14:val="tx1"/>
            </w14:solidFill>
          </w14:textFill>
        </w:rPr>
        <w:t>定标</w:t>
      </w:r>
      <w:bookmarkEnd w:id="169"/>
      <w:bookmarkStart w:id="170" w:name="_Toc513029238"/>
      <w:bookmarkStart w:id="171" w:name="_Toc16938554"/>
      <w:bookmarkStart w:id="172" w:name="_Toc20823310"/>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30、</w:t>
      </w:r>
      <w:bookmarkEnd w:id="170"/>
      <w:r>
        <w:rPr>
          <w:rFonts w:hint="eastAsia" w:asciiTheme="majorEastAsia" w:hAnsiTheme="majorEastAsia" w:eastAsiaTheme="majorEastAsia"/>
          <w:b/>
          <w:color w:val="000000" w:themeColor="text1"/>
          <w:sz w:val="28"/>
          <w:szCs w:val="28"/>
          <w:highlight w:val="none"/>
          <w14:textFill>
            <w14:solidFill>
              <w14:schemeClr w14:val="tx1"/>
            </w14:solidFill>
          </w14:textFill>
        </w:rPr>
        <w:t>确定</w:t>
      </w:r>
      <w:bookmarkEnd w:id="171"/>
      <w:bookmarkEnd w:id="172"/>
      <w:r>
        <w:rPr>
          <w:rFonts w:hint="eastAsia" w:asciiTheme="majorEastAsia" w:hAnsiTheme="majorEastAsia" w:eastAsiaTheme="majorEastAsia"/>
          <w:b/>
          <w:color w:val="000000" w:themeColor="text1"/>
          <w:sz w:val="28"/>
          <w:szCs w:val="28"/>
          <w:highlight w:val="none"/>
          <w14:textFill>
            <w14:solidFill>
              <w14:schemeClr w14:val="tx1"/>
            </w14:solidFill>
          </w14:textFill>
        </w:rPr>
        <w:t>中标单位</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30.1评委会根据本招标文件规定评标方法与评标标准向招标人推荐出中标候选人。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30.2 招标人应根据评委会推荐的中标候选人确定中标人。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30.3招标人将在江苏医药职业学院网发布中标公告，公告期限为1个工作日。</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30.4若有充分证据证明，中标人出现下列情况之一的，一经查实，将被取消中标资格：</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30.4.1提供虚假材料谋取中标的；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30.4.2向招标人、招标代理机构行贿或者提供其他不正当利益的；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30.4.3恶意竞争，投标总报价明显低于其自身合理成本且又无法提供证明的；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30.4.4属于本文件规定的无效条件，但在评标过程中又未被评委会发现的；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30.4.5与招标人人或者其他投标人恶意串通的；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30.4.6采取不正当手段诋毁、排挤其他投标人的；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30.4.7不符合法律、法规的规定的。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30.5.有下列情形之一的，视为投标人串通投标，投标无效：</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30.5.1不同投标人的投标文件由同一单位或者个人编制。</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30.5.2不同投标人委托同一单位或者个人办理投标事宜。</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30.5.3 不同投标人的投标文件载明的项目管理成员或者联系人员为同一人。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30.5.4不同投标人的投标文件异常一致或者投标报价呈规律性差异。</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30.5.5不同投标人的投标文件相互混装。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31、质疑处理</w:t>
      </w:r>
      <w:r>
        <w:rPr>
          <w:rFonts w:asciiTheme="majorEastAsia" w:hAnsiTheme="majorEastAsia" w:eastAsiaTheme="majorEastAsia"/>
          <w:b/>
          <w:color w:val="000000" w:themeColor="text1"/>
          <w:sz w:val="28"/>
          <w:szCs w:val="28"/>
          <w:highlight w:val="none"/>
          <w14:textFill>
            <w14:solidFill>
              <w14:schemeClr w14:val="tx1"/>
            </w14:solidFill>
          </w14:textFill>
        </w:rPr>
        <w:tab/>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31.1参加投标的投标人认为招标文件、采购过程和中标结果使自己的权益受到损害的，可以在知道或应知其权益受到损害之日起七个工作日内，以书面形式向招标人提出质疑。上述应知其权益受到损害之日，是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31.1.1对可以质疑的招标文件提出质疑的，为收到招标文件之日或者招标文件公告期限届满之日；</w:t>
      </w:r>
      <w:r>
        <w:rPr>
          <w:rFonts w:hint="eastAsia" w:asciiTheme="majorEastAsia" w:hAnsiTheme="majorEastAsia" w:eastAsiaTheme="majorEastAsia"/>
          <w:bCs/>
          <w:color w:val="000000" w:themeColor="text1"/>
          <w:sz w:val="24"/>
          <w:highlight w:val="none"/>
          <w14:textFill>
            <w14:solidFill>
              <w14:schemeClr w14:val="tx1"/>
            </w14:solidFill>
          </w14:textFill>
        </w:rPr>
        <w:br w:type="textWrapping"/>
      </w:r>
      <w:r>
        <w:rPr>
          <w:rFonts w:hint="eastAsia" w:asciiTheme="majorEastAsia" w:hAnsiTheme="majorEastAsia" w:eastAsiaTheme="majorEastAsia"/>
          <w:bCs/>
          <w:color w:val="000000" w:themeColor="text1"/>
          <w:sz w:val="24"/>
          <w:highlight w:val="none"/>
          <w14:textFill>
            <w14:solidFill>
              <w14:schemeClr w14:val="tx1"/>
            </w14:solidFill>
          </w14:textFill>
        </w:rPr>
        <w:t>　　31.1.2对采购过程提出质疑的，为各采购程序环节结束之日；</w:t>
      </w:r>
      <w:r>
        <w:rPr>
          <w:rFonts w:hint="eastAsia" w:asciiTheme="majorEastAsia" w:hAnsiTheme="majorEastAsia" w:eastAsiaTheme="majorEastAsia"/>
          <w:bCs/>
          <w:color w:val="000000" w:themeColor="text1"/>
          <w:sz w:val="24"/>
          <w:highlight w:val="none"/>
          <w14:textFill>
            <w14:solidFill>
              <w14:schemeClr w14:val="tx1"/>
            </w14:solidFill>
          </w14:textFill>
        </w:rPr>
        <w:br w:type="textWrapping"/>
      </w:r>
      <w:r>
        <w:rPr>
          <w:rFonts w:hint="eastAsia" w:asciiTheme="majorEastAsia" w:hAnsiTheme="majorEastAsia" w:eastAsiaTheme="majorEastAsia"/>
          <w:bCs/>
          <w:color w:val="000000" w:themeColor="text1"/>
          <w:sz w:val="24"/>
          <w:highlight w:val="none"/>
          <w14:textFill>
            <w14:solidFill>
              <w14:schemeClr w14:val="tx1"/>
            </w14:solidFill>
          </w14:textFill>
        </w:rPr>
        <w:t>　　31.1.3对中标结果提出质疑的，为中标结果公告期限届满之日。</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31.2质疑必须按《政府采购法》、《政府采购法实施条例》及《江苏省政府采购供应商监督管理暂行办法》的相关规定提交，未按上述要求提交的质疑函（含传真、电子邮件等）招标人有权不予受理。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31.3未参加投标活动的供应商或在投标活动中自身权益未受到损害的供应商所提出的质疑不予受理。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31.4质疑函应当包括下列内容：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31.4.1质疑投标人的名称、地址、邮编、联系人、联系电话；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31.4.2具体的质疑事项及明确的请求；</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31.4.3认为自己合法权益受到损害或可能受到损害的相关证据材料；</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31.4.4提起质疑的日期；</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31.5招标人收到质疑函后，将对质疑的形式和内容进行审查，如质疑函内容、格式不符合规定，招标人将告知质疑人进行补正。</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31.6质疑人应当在法定质疑期限内进行补正并重新提交质疑函，拒不补正或者在法定期限内未重新提交质疑函的，为无效质疑，招标人将不予受理。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31.7对于内容、格式符合规定的质疑函，招标人应当在收到投标供应商的书面质疑后七个工作日内作出答复，并以书面形式通知质疑供应商和其他有关供应商，但答复的内容不得涉及商业秘密。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31.8投标人提出书面质疑必须有理、有据，不得恶意质疑或提交虚假质疑。否则，一经查实，招标人有权依据政府采购的有关规定，报请政府采购监管部门对该投标人进行相应的行政处罚，并扣减其诚信记录分。</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32、中标通知书</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32.l中标结果确定后，招标人将向中标供应商发出中标通知书。</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32.2中标通知书将是合同的一个组成部分。对招标人和中标供应商均具有法律效力。中标通知书发出后，招标人改变中标结果的，或者中标供应商放弃中标项目的，应当依法承担法律责任。</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七、合同签订相关事项</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33. 签订合同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33.l中标供应商应按中标通知书规定的时间、地点,按照招标文件确定的事项与招标人签订采购合同，且不得迟于中标通知书发出之日起十五日内，由此给招标人造成损失的，中标供应商还应承担赔偿责任。</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33.2招标文件、中标供应商的投标文件及招标过程中有关澄清、承诺文件均应作为合同附件。</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34、货物和服务的追加、减少和添购。</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34.1政府采购合同履行中，招标人需追加与合同标的相同的货物和服务的，在不改变合同其他条款的前提下，可以与中标供应商协商签订补充合同，但所有补充合同的采购金额不超过原合同金额10%。</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34.2采购结束后，招标人若由于各种客观原因，必须对采购项目所牵涉的货物和服务进行适当的减少时，在双方协商一致的前提下，可以按照招标采购时的价格水平做相应的调减，并据此签订补充合同。</w:t>
      </w:r>
    </w:p>
    <w:p>
      <w:pPr>
        <w:pStyle w:val="24"/>
        <w:spacing w:line="46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asciiTheme="majorEastAsia" w:hAnsiTheme="majorEastAsia" w:eastAsiaTheme="majorEastAsia"/>
          <w:b/>
          <w:color w:val="000000" w:themeColor="text1"/>
          <w:sz w:val="28"/>
          <w:szCs w:val="28"/>
          <w:highlight w:val="none"/>
          <w14:textFill>
            <w14:solidFill>
              <w14:schemeClr w14:val="tx1"/>
            </w14:solidFill>
          </w14:textFill>
        </w:rPr>
        <w:t>35</w:t>
      </w:r>
      <w:r>
        <w:rPr>
          <w:rFonts w:hint="eastAsia" w:asciiTheme="majorEastAsia" w:hAnsiTheme="majorEastAsia" w:eastAsiaTheme="majorEastAsia"/>
          <w:b/>
          <w:color w:val="000000" w:themeColor="text1"/>
          <w:sz w:val="28"/>
          <w:szCs w:val="28"/>
          <w:highlight w:val="none"/>
          <w14:textFill>
            <w14:solidFill>
              <w14:schemeClr w14:val="tx1"/>
            </w14:solidFill>
          </w14:textFill>
        </w:rPr>
        <w:t>、履约保证金</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 xml:space="preserve">35.1 </w:t>
      </w:r>
      <w:r>
        <w:rPr>
          <w:rFonts w:hint="eastAsia" w:asciiTheme="majorEastAsia" w:hAnsiTheme="majorEastAsia" w:eastAsiaTheme="majorEastAsia"/>
          <w:bCs/>
          <w:color w:val="000000" w:themeColor="text1"/>
          <w:sz w:val="24"/>
          <w:highlight w:val="none"/>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无质量问题</w:t>
      </w:r>
      <w:r>
        <w:rPr>
          <w:rFonts w:cs="宋体" w:asciiTheme="majorEastAsia" w:hAnsiTheme="majorEastAsia" w:eastAsiaTheme="majorEastAsia"/>
          <w:color w:val="000000" w:themeColor="text1"/>
          <w:sz w:val="24"/>
          <w:szCs w:val="24"/>
          <w:highlight w:val="none"/>
          <w14:textFill>
            <w14:solidFill>
              <w14:schemeClr w14:val="tx1"/>
            </w14:solidFill>
          </w14:textFill>
        </w:rPr>
        <w:t>一次性无息退还</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35.2</w:t>
      </w:r>
      <w:r>
        <w:rPr>
          <w:rFonts w:hint="eastAsia" w:asciiTheme="majorEastAsia" w:hAnsiTheme="majorEastAsia" w:eastAsiaTheme="majorEastAsia"/>
          <w:bCs/>
          <w:color w:val="000000" w:themeColor="text1"/>
          <w:sz w:val="24"/>
          <w:highlight w:val="none"/>
          <w14:textFill>
            <w14:solidFill>
              <w14:schemeClr w14:val="tx1"/>
            </w14:solidFill>
          </w14:textFill>
        </w:rPr>
        <w:t>履约保证金专户帐户信息。</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单位名称：江苏医药职业学院</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开户行名称：建行盐城市城南支行</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银行帐号：</w:t>
      </w:r>
      <w:r>
        <w:rPr>
          <w:rFonts w:asciiTheme="majorEastAsia" w:hAnsiTheme="majorEastAsia" w:eastAsiaTheme="majorEastAsia"/>
          <w:bCs/>
          <w:color w:val="000000" w:themeColor="text1"/>
          <w:sz w:val="24"/>
          <w:highlight w:val="none"/>
          <w14:textFill>
            <w14:solidFill>
              <w14:schemeClr w14:val="tx1"/>
            </w14:solidFill>
          </w14:textFill>
        </w:rPr>
        <w:t>32001735038052500575</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地址：江苏省盐城市解放南路</w:t>
      </w:r>
      <w:r>
        <w:rPr>
          <w:rFonts w:asciiTheme="majorEastAsia" w:hAnsiTheme="majorEastAsia" w:eastAsiaTheme="majorEastAsia"/>
          <w:bCs/>
          <w:color w:val="000000" w:themeColor="text1"/>
          <w:sz w:val="24"/>
          <w:highlight w:val="none"/>
          <w14:textFill>
            <w14:solidFill>
              <w14:schemeClr w14:val="tx1"/>
            </w14:solidFill>
          </w14:textFill>
        </w:rPr>
        <w:t>283</w:t>
      </w:r>
      <w:r>
        <w:rPr>
          <w:rFonts w:hint="eastAsia" w:asciiTheme="majorEastAsia" w:hAnsiTheme="majorEastAsia" w:eastAsiaTheme="majorEastAsia"/>
          <w:bCs/>
          <w:color w:val="000000" w:themeColor="text1"/>
          <w:sz w:val="24"/>
          <w:highlight w:val="none"/>
          <w14:textFill>
            <w14:solidFill>
              <w14:schemeClr w14:val="tx1"/>
            </w14:solidFill>
          </w14:textFill>
        </w:rPr>
        <w:t>号</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电话：</w:t>
      </w:r>
      <w:r>
        <w:rPr>
          <w:rFonts w:asciiTheme="majorEastAsia" w:hAnsiTheme="majorEastAsia" w:eastAsiaTheme="majorEastAsia"/>
          <w:bCs/>
          <w:color w:val="000000" w:themeColor="text1"/>
          <w:sz w:val="24"/>
          <w:highlight w:val="none"/>
          <w14:textFill>
            <w14:solidFill>
              <w14:schemeClr w14:val="tx1"/>
            </w14:solidFill>
          </w14:textFill>
        </w:rPr>
        <w:t>0515-88550311</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w:t>
      </w:r>
      <w:r>
        <w:rPr>
          <w:rFonts w:hint="eastAsia" w:asciiTheme="majorEastAsia" w:hAnsiTheme="majorEastAsia" w:eastAsiaTheme="majorEastAsia"/>
          <w:bCs/>
          <w:color w:val="000000" w:themeColor="text1"/>
          <w:sz w:val="24"/>
          <w:highlight w:val="none"/>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w:t>
      </w:r>
      <w:r>
        <w:rPr>
          <w:rFonts w:hint="eastAsia" w:asciiTheme="majorEastAsia" w:hAnsiTheme="majorEastAsia" w:eastAsiaTheme="majorEastAsia"/>
          <w:bCs/>
          <w:color w:val="000000" w:themeColor="text1"/>
          <w:sz w:val="24"/>
          <w:highlight w:val="none"/>
          <w14:textFill>
            <w14:solidFill>
              <w14:schemeClr w14:val="tx1"/>
            </w14:solidFill>
          </w14:textFill>
        </w:rPr>
        <w:t>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履约保证金退还：中标人缴纳的履约保证金</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待项目验收结束后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无质量问题</w:t>
      </w:r>
      <w:r>
        <w:rPr>
          <w:rFonts w:cs="宋体" w:asciiTheme="majorEastAsia" w:hAnsiTheme="majorEastAsia" w:eastAsiaTheme="majorEastAsia"/>
          <w:color w:val="000000" w:themeColor="text1"/>
          <w:sz w:val="24"/>
          <w:szCs w:val="24"/>
          <w:highlight w:val="none"/>
          <w14:textFill>
            <w14:solidFill>
              <w14:schemeClr w14:val="tx1"/>
            </w14:solidFill>
          </w14:textFill>
        </w:rPr>
        <w:t>一次性无息退还</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，（凭“保证金请退函”到学校国资处办理退款手续）。如果中标人不履行合同约定的义务，未能完全履行合同规定的义务或其履行不符合合同的约定，招标人有权扣除履约保证金取得补偿。</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八、招标代理服务费</w:t>
      </w:r>
    </w:p>
    <w:p>
      <w:pPr>
        <w:spacing w:line="480" w:lineRule="exact"/>
        <w:ind w:firstLine="480" w:firstLineChars="200"/>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招标代理服务组织费：中标人须按发改价格[2011]534号文件中“服务类”招标收费标准50%的金额向盐城市天平建设监理有限公司支付招标代理服务费，不足3000元按3000元</w:t>
      </w:r>
    </w:p>
    <w:p>
      <w:pPr>
        <w:spacing w:line="48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收取，并一次性付清，此项费用含在投标报价中不得单列，招标人不再另行支付。</w:t>
      </w:r>
    </w:p>
    <w:p>
      <w:pPr>
        <w:spacing w:line="48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80" w:lineRule="exact"/>
        <w:rPr>
          <w:rStyle w:val="68"/>
          <w:rFonts w:asciiTheme="majorEastAsia" w:hAnsiTheme="majorEastAsia" w:eastAsiaTheme="majorEastAsia"/>
          <w:color w:val="000000" w:themeColor="text1"/>
          <w:highlight w:val="none"/>
          <w14:textFill>
            <w14:solidFill>
              <w14:schemeClr w14:val="tx1"/>
            </w14:solidFill>
          </w14:textFill>
        </w:rPr>
      </w:pPr>
      <w:r>
        <w:rPr>
          <w:rStyle w:val="68"/>
          <w:rFonts w:asciiTheme="majorEastAsia" w:hAnsiTheme="majorEastAsia" w:eastAsiaTheme="majorEastAsia"/>
          <w:color w:val="000000" w:themeColor="text1"/>
          <w:highlight w:val="none"/>
          <w14:textFill>
            <w14:solidFill>
              <w14:schemeClr w14:val="tx1"/>
            </w14:solidFill>
          </w14:textFill>
        </w:rPr>
        <w:br w:type="page"/>
      </w:r>
    </w:p>
    <w:p>
      <w:pPr>
        <w:spacing w:line="360" w:lineRule="auto"/>
        <w:ind w:firstLine="420" w:firstLineChars="200"/>
        <w:jc w:val="center"/>
        <w:rPr>
          <w:rStyle w:val="68"/>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第三章  合同条款及</w:t>
      </w:r>
      <w:bookmarkEnd w:id="46"/>
      <w:bookmarkEnd w:id="47"/>
      <w:bookmarkEnd w:id="48"/>
      <w:bookmarkEnd w:id="49"/>
      <w:bookmarkEnd w:id="50"/>
      <w:r>
        <w:rPr>
          <w:rFonts w:hint="eastAsia" w:asciiTheme="majorEastAsia" w:hAnsiTheme="majorEastAsia" w:eastAsiaTheme="majorEastAsia"/>
          <w:b/>
          <w:color w:val="000000" w:themeColor="text1"/>
          <w:sz w:val="44"/>
          <w:szCs w:val="44"/>
          <w:highlight w:val="none"/>
          <w14:textFill>
            <w14:solidFill>
              <w14:schemeClr w14:val="tx1"/>
            </w14:solidFill>
          </w14:textFill>
        </w:rPr>
        <w:t>格式</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80" w:lineRule="exact"/>
        <w:ind w:firstLine="480" w:firstLineChars="200"/>
        <w:rPr>
          <w:rFonts w:asciiTheme="majorEastAsia" w:hAnsiTheme="majorEastAsia" w:eastAsiaTheme="majorEastAsia"/>
          <w:color w:val="000000" w:themeColor="text1"/>
          <w:kern w:val="0"/>
          <w:sz w:val="24"/>
          <w:highlight w:val="none"/>
          <w14:textFill>
            <w14:solidFill>
              <w14:schemeClr w14:val="tx1"/>
            </w14:solidFill>
          </w14:textFill>
        </w:rPr>
      </w:pPr>
      <w:bookmarkStart w:id="173" w:name="_Toc120614244"/>
      <w:bookmarkStart w:id="174" w:name="_Toc20823346"/>
      <w:bookmarkStart w:id="175" w:name="_Toc16938590"/>
      <w:bookmarkStart w:id="176" w:name="_Hlt16619350"/>
      <w:bookmarkStart w:id="177" w:name="_Toc462564139"/>
      <w:bookmarkStart w:id="178" w:name="_Toc479757211"/>
      <w:r>
        <w:rPr>
          <w:rFonts w:hint="eastAsia" w:asciiTheme="majorEastAsia" w:hAnsiTheme="majorEastAsia" w:eastAsiaTheme="majorEastAsia"/>
          <w:color w:val="000000" w:themeColor="text1"/>
          <w:kern w:val="0"/>
          <w:sz w:val="24"/>
          <w:highlight w:val="none"/>
          <w14:textFill>
            <w14:solidFill>
              <w14:schemeClr w14:val="tx1"/>
            </w14:solidFill>
          </w14:textFill>
        </w:rPr>
        <w:t>以下为成交后签定本项目合同的通用条款，中标人不得提出实质性的修改，关于专用条款将由招标人与中标人结合本项目具体情况协商后签订。</w:t>
      </w:r>
    </w:p>
    <w:p>
      <w:pPr>
        <w:pStyle w:val="24"/>
        <w:spacing w:line="480" w:lineRule="exact"/>
        <w:rPr>
          <w:rFonts w:asciiTheme="majorEastAsia" w:hAnsiTheme="majorEastAsia" w:eastAsiaTheme="majorEastAsia"/>
          <w:color w:val="000000" w:themeColor="text1"/>
          <w:highlight w:val="none"/>
          <w14:textFill>
            <w14:solidFill>
              <w14:schemeClr w14:val="tx1"/>
            </w14:solidFill>
          </w14:textFill>
        </w:rPr>
      </w:pPr>
    </w:p>
    <w:p>
      <w:pPr>
        <w:pStyle w:val="24"/>
        <w:spacing w:line="480" w:lineRule="exact"/>
        <w:jc w:val="center"/>
        <w:rPr>
          <w:rFonts w:asciiTheme="majorEastAsia" w:hAnsiTheme="majorEastAsia" w:eastAsiaTheme="majorEastAsia"/>
          <w:color w:val="000000" w:themeColor="text1"/>
          <w:sz w:val="44"/>
          <w:szCs w:val="32"/>
          <w:highlight w:val="none"/>
          <w14:textFill>
            <w14:solidFill>
              <w14:schemeClr w14:val="tx1"/>
            </w14:solidFill>
          </w14:textFill>
        </w:rPr>
      </w:pPr>
      <w:r>
        <w:rPr>
          <w:rFonts w:hint="eastAsia" w:asciiTheme="majorEastAsia" w:hAnsiTheme="majorEastAsia" w:eastAsiaTheme="majorEastAsia"/>
          <w:color w:val="000000" w:themeColor="text1"/>
          <w:sz w:val="44"/>
          <w:szCs w:val="32"/>
          <w:highlight w:val="none"/>
          <w14:textFill>
            <w14:solidFill>
              <w14:schemeClr w14:val="tx1"/>
            </w14:solidFill>
          </w14:textFill>
        </w:rPr>
        <w:t>政府采购合同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一、采购标的</w:t>
      </w:r>
    </w:p>
    <w:p>
      <w:pPr>
        <w:snapToGrid w:val="0"/>
        <w:spacing w:before="120" w:after="120" w:line="480" w:lineRule="exact"/>
        <w:ind w:firstLine="482" w:firstLineChars="200"/>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cs="宋体" w:asciiTheme="majorEastAsia" w:hAnsiTheme="majorEastAsia" w:eastAsiaTheme="majorEastAsia"/>
          <w:b/>
          <w:color w:val="000000" w:themeColor="text1"/>
          <w:sz w:val="24"/>
          <w:szCs w:val="24"/>
          <w:highlight w:val="none"/>
          <w14:textFill>
            <w14:solidFill>
              <w14:schemeClr w14:val="tx1"/>
            </w14:solidFill>
          </w14:textFill>
        </w:rPr>
        <w:t xml:space="preserve">1.1 </w:t>
      </w: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服务内容：</w:t>
      </w:r>
    </w:p>
    <w:p>
      <w:pPr>
        <w:snapToGrid w:val="0"/>
        <w:spacing w:before="120" w:after="120"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（一）设施检测维修内容</w:t>
      </w:r>
    </w:p>
    <w:p>
      <w:pPr>
        <w:autoSpaceDE w:val="0"/>
        <w:autoSpaceDN w:val="0"/>
        <w:adjustRightInd w:val="0"/>
        <w:spacing w:line="480" w:lineRule="exact"/>
        <w:ind w:firstLine="360" w:firstLineChars="15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1.检测维修范围:校区所有消防自动设施（室内外）及消防联动管网。</w:t>
      </w:r>
    </w:p>
    <w:p>
      <w:pPr>
        <w:autoSpaceDE w:val="0"/>
        <w:autoSpaceDN w:val="0"/>
        <w:adjustRightInd w:val="0"/>
        <w:spacing w:line="480" w:lineRule="exact"/>
        <w:ind w:firstLine="360" w:firstLineChars="15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2.检测维修内容：检查校内消防自动设施运行情况； 检查校内消防管道及增压稳压设施情况；检查校内其它所有消防设施情况。</w:t>
      </w:r>
    </w:p>
    <w:p>
      <w:pPr>
        <w:autoSpaceDE w:val="0"/>
        <w:autoSpaceDN w:val="0"/>
        <w:adjustRightInd w:val="0"/>
        <w:spacing w:line="480" w:lineRule="exact"/>
        <w:ind w:firstLine="360" w:firstLineChars="15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3.检测维修要求：定期提供消防设施检测结果详细报告、相关升级、维修费用预算清单。</w:t>
      </w:r>
    </w:p>
    <w:p>
      <w:pPr>
        <w:autoSpaceDE w:val="0"/>
        <w:autoSpaceDN w:val="0"/>
        <w:adjustRightInd w:val="0"/>
        <w:spacing w:line="480" w:lineRule="exact"/>
        <w:ind w:firstLine="240" w:firstLineChars="10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（二）消防日常维保内容</w:t>
      </w:r>
    </w:p>
    <w:p>
      <w:pPr>
        <w:autoSpaceDE w:val="0"/>
        <w:autoSpaceDN w:val="0"/>
        <w:adjustRightInd w:val="0"/>
        <w:spacing w:line="480" w:lineRule="exact"/>
        <w:ind w:firstLine="360" w:firstLineChars="15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1.消防维保范围：校区所有消防设施（室内外）及校内消防联动管网。</w:t>
      </w:r>
    </w:p>
    <w:p>
      <w:pPr>
        <w:autoSpaceDE w:val="0"/>
        <w:autoSpaceDN w:val="0"/>
        <w:adjustRightInd w:val="0"/>
        <w:spacing w:line="480" w:lineRule="exact"/>
        <w:ind w:firstLine="360" w:firstLineChars="15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2.消防维保内容：1.火灾自动报警系统；2.自动喷淋给水系统；3.气体灭火装置；4.楼内消火栓给水系统；5.楼外消火栓给水系统；6.消防泵房系统；7.通风、机械排烟系统；8.防火分隔系统；9.应急照明及疏散指示系统；10.广播通信系统；11.消防监控系统；12.消防泵房设备。 </w:t>
      </w:r>
    </w:p>
    <w:p>
      <w:pPr>
        <w:autoSpaceDE w:val="0"/>
        <w:autoSpaceDN w:val="0"/>
        <w:adjustRightInd w:val="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　</w:t>
      </w:r>
      <w:r>
        <w:rPr>
          <w:rFonts w:cs="宋体" w:asciiTheme="majorEastAsia" w:hAnsiTheme="majorEastAsia" w:eastAsiaTheme="majorEastAsia"/>
          <w:b/>
          <w:color w:val="000000" w:themeColor="text1"/>
          <w:sz w:val="24"/>
          <w:szCs w:val="24"/>
          <w:highlight w:val="none"/>
          <w14:textFill>
            <w14:solidFill>
              <w14:schemeClr w14:val="tx1"/>
            </w14:solidFill>
          </w14:textFill>
        </w:rPr>
        <w:t xml:space="preserve">1.2 </w:t>
      </w: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服务期：</w:t>
      </w:r>
      <w:r>
        <w:rPr>
          <w:rFonts w:cs="宋体" w:asciiTheme="majorEastAsia" w:hAnsiTheme="majorEastAsia" w:eastAsiaTheme="majorEastAsia"/>
          <w:bCs/>
          <w:color w:val="000000" w:themeColor="text1"/>
          <w:sz w:val="24"/>
          <w:szCs w:val="24"/>
          <w:highlight w:val="none"/>
          <w14:textFill>
            <w14:solidFill>
              <w14:schemeClr w14:val="tx1"/>
            </w14:solidFill>
          </w14:textFill>
        </w:rPr>
        <w:t>计划三年，合同一年一签，按上年服务的考核结果，由学校主张是否续签</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w:t>
      </w:r>
    </w:p>
    <w:p>
      <w:pPr>
        <w:autoSpaceDE w:val="0"/>
        <w:autoSpaceDN w:val="0"/>
        <w:adjustRightInd w:val="0"/>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b/>
          <w:color w:val="000000" w:themeColor="text1"/>
          <w:sz w:val="24"/>
          <w:szCs w:val="24"/>
          <w:highlight w:val="none"/>
          <w14:textFill>
            <w14:solidFill>
              <w14:schemeClr w14:val="tx1"/>
            </w14:solidFill>
          </w14:textFill>
        </w:rPr>
        <w:t xml:space="preserve">1.3 </w:t>
      </w: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质量：</w:t>
      </w:r>
      <w:r>
        <w:rPr>
          <w:rFonts w:cs="宋体" w:asciiTheme="majorEastAsia" w:hAnsiTheme="majorEastAsia" w:eastAsiaTheme="majorEastAsia"/>
          <w:color w:val="000000" w:themeColor="text1"/>
          <w:sz w:val="24"/>
          <w:szCs w:val="24"/>
          <w:highlight w:val="none"/>
          <w14:textFill>
            <w14:solidFill>
              <w14:schemeClr w14:val="tx1"/>
            </w14:solidFill>
          </w14:textFill>
        </w:rPr>
        <w:t>国家“合格”标准，确保消防设备能随时投入使用，并出具消防维保报告，接洽消防部门备案工作，确保消防设备安全可靠和正常运行</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w:t>
      </w:r>
    </w:p>
    <w:p>
      <w:pPr>
        <w:autoSpaceDE w:val="0"/>
        <w:autoSpaceDN w:val="0"/>
        <w:adjustRightInd w:val="0"/>
        <w:ind w:firstLine="480"/>
        <w:jc w:val="left"/>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二、合同金额及履约担保</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2.1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本合同金额为（大写）：</w:t>
      </w:r>
      <w:r>
        <w:rPr>
          <w:rFonts w:cs="宋体" w:asciiTheme="majorEastAsia" w:hAnsiTheme="majorEastAsia" w:eastAsiaTheme="majorEastAsia"/>
          <w:color w:val="000000" w:themeColor="text1"/>
          <w:sz w:val="24"/>
          <w:szCs w:val="24"/>
          <w:highlight w:val="none"/>
          <w14:textFill>
            <w14:solidFill>
              <w14:schemeClr w14:val="tx1"/>
            </w14:solidFill>
          </w14:textFill>
        </w:rPr>
        <w:t>_______</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元（</w:t>
      </w:r>
      <w:r>
        <w:rPr>
          <w:rFonts w:cs="宋体" w:asciiTheme="majorEastAsia" w:hAnsiTheme="majorEastAsia" w:eastAsiaTheme="majorEastAsia"/>
          <w:color w:val="000000" w:themeColor="text1"/>
          <w:sz w:val="24"/>
          <w:szCs w:val="24"/>
          <w:highlight w:val="none"/>
          <w14:textFill>
            <w14:solidFill>
              <w14:schemeClr w14:val="tx1"/>
            </w14:solidFill>
          </w14:textFill>
        </w:rPr>
        <w:t>________</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元）人民币。本合同价款包含所有乙方提供合同约定产品和服务的报酬及乙方提供合同中产品和服务所支出的必要费用，甲方在上述合同价款之外不再向乙方支付其他任何费用。</w:t>
      </w:r>
    </w:p>
    <w:p>
      <w:pPr>
        <w:autoSpaceDE w:val="0"/>
        <w:autoSpaceDN w:val="0"/>
        <w:adjustRightInd w:val="0"/>
        <w:spacing w:line="50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2.2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在签订合同前，中标人需向招标人交纳人民币_______元作为本合同的履约保证金（具体金额为中标价的5%）。履约保证金以转帐或电汇或网汇形式汇转至招标人指定帐户并存于招标人处，待项目验收结束后无质量问题一次性无息退还。</w:t>
      </w:r>
    </w:p>
    <w:p>
      <w:pPr>
        <w:autoSpaceDE w:val="0"/>
        <w:autoSpaceDN w:val="0"/>
        <w:adjustRightInd w:val="0"/>
        <w:spacing w:line="500" w:lineRule="exact"/>
        <w:ind w:firstLine="480"/>
        <w:jc w:val="left"/>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三、付款：本项目按形象进度付款，具体付款</w:t>
      </w:r>
      <w:r>
        <w:rPr>
          <w:rFonts w:hint="eastAsia" w:asciiTheme="majorEastAsia" w:hAnsiTheme="majorEastAsia" w:eastAsiaTheme="majorEastAsia"/>
          <w:b/>
          <w:color w:val="000000" w:themeColor="text1"/>
          <w:kern w:val="0"/>
          <w:sz w:val="24"/>
          <w:highlight w:val="none"/>
          <w14:textFill>
            <w14:solidFill>
              <w14:schemeClr w14:val="tx1"/>
            </w14:solidFill>
          </w14:textFill>
        </w:rPr>
        <w:t>进</w:t>
      </w: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度如下：</w:t>
      </w:r>
    </w:p>
    <w:p>
      <w:pPr>
        <w:pStyle w:val="2"/>
        <w:spacing w:line="500" w:lineRule="exact"/>
        <w:ind w:firstLine="480"/>
        <w:rPr>
          <w:rFonts w:hint="eastAsia"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合同签订生效后，先做后付，采购单位每三个月向成交单位结算一次费用。采购单位依据维保考核表对成交单位按月进行考核，并根据考核结果向成交单位支付维保服务费（详见项目需求）。</w:t>
      </w:r>
    </w:p>
    <w:p>
      <w:pPr>
        <w:spacing w:line="48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rPr>
        <w:t>以上付款均以人民币通过银行支付，付款前需提供我校财务处认可的增值税发票（仪器设备须开具增值税专用发票）。</w:t>
      </w:r>
    </w:p>
    <w:p>
      <w:pPr>
        <w:pStyle w:val="2"/>
        <w:spacing w:line="500" w:lineRule="exact"/>
        <w:ind w:firstLine="482"/>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四、 考核标准及履约办法</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甲方根据《考核办法》对乙方进行考核，乙方如在服务过程中管理指标未达到承诺标准，甲方有权单方面解除本合同。合同期满后，如未因故扣除履约保证金又不再续约，在双方交接后甲方无息退还履约保证金。</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五、 违约责任</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5.1在合同期内，乙方的项目负责人要保持相对稳定，不得随意调整或更换，确需调整或更换时，必须经过甲方同意后方可进行；甲方发现有擅自调整或更换的，扣履约保证金10%。</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5.2甲乙双方任何一方均不得无正当理由提前变更或解除合同。 如乙方无正当理由退场，扣除全部履约保证金，并赔偿给甲方造成的实际损失，如因甲方原因，甲方提出提前解约，除全额退还乙方所缴纳的履约保证金外，还要赔偿乙方一倍的履约保证金。</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5.3、合同履行期间，如遇不可抗力的因素造成经济损失的，双方应相互体谅，协调处理善后事宜。</w:t>
      </w:r>
    </w:p>
    <w:p>
      <w:pPr>
        <w:pStyle w:val="2"/>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5.4合同生效后，甲方或乙方如有违约，应按《中华人民共和国民法典》承担其违约责任，赔偿因其违约给对方造成的损失。具体由双方在合同中约定赔偿损失的计算方法或者约定支付违约金的数额或计算方法。</w:t>
      </w:r>
    </w:p>
    <w:p>
      <w:pPr>
        <w:pStyle w:val="2"/>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六、 其它事项</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6.1双方可对本合同的条款进行修订更改或补充，以书面签订补充协议，补充协议与本合同具有同等效力。</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6.2合同规定的管理期满，本合同自然终止，双方如续订合同，应在该合同期满3个月前向对方提出书面意见。在下一轮招标中，如乙方继续中标，则日常管理服务工作自然顺延，不得中断，其他相关事项按新的招标文件与合同履行；如乙方未中标，则乙方在合同期满或接到甲方通知时间期满10日内必须撤离甲方，并将相关全部资料交还甲方，做好与新的企业的交接工作。如乙方未在新一轮招标中中标，又未按本合同约定按时撤离的，造成的一切责任与损失由乙方全责承担。</w:t>
      </w:r>
    </w:p>
    <w:p>
      <w:pPr>
        <w:spacing w:line="50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七、转包或分包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7.1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本合同范围内产品和服务，应由乙方直接供应，不得转包他人供应。</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7.2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除非得到甲方的书面同意，乙方不得部分分包给他人供应。</w:t>
      </w:r>
    </w:p>
    <w:p>
      <w:pPr>
        <w:autoSpaceDE w:val="0"/>
        <w:autoSpaceDN w:val="0"/>
        <w:adjustRightInd w:val="0"/>
        <w:spacing w:line="480" w:lineRule="exact"/>
        <w:ind w:firstLine="480"/>
        <w:jc w:val="left"/>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八、税费</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本合同执行中相关的一切税费均由乙方负担。</w:t>
      </w:r>
    </w:p>
    <w:p>
      <w:pPr>
        <w:autoSpaceDE w:val="0"/>
        <w:autoSpaceDN w:val="0"/>
        <w:adjustRightInd w:val="0"/>
        <w:spacing w:line="480" w:lineRule="exact"/>
        <w:ind w:firstLine="480"/>
        <w:jc w:val="left"/>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九、不可抗力事件处理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9</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在合同有效期内，任何一方因不可抗力事件导致不能履行合同，则合同履行期延长，其延长期与不可抗力影响期相同。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9</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不可抗力事件发生后，应立即通知对方，并寄送有关权威机构出具的证明。</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9</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不可抗力事件延续</w:t>
      </w:r>
      <w:r>
        <w:rPr>
          <w:rFonts w:cs="宋体" w:asciiTheme="majorEastAsia" w:hAnsiTheme="majorEastAsia" w:eastAsiaTheme="majorEastAsia"/>
          <w:color w:val="000000" w:themeColor="text1"/>
          <w:sz w:val="24"/>
          <w:szCs w:val="24"/>
          <w:highlight w:val="none"/>
          <w14:textFill>
            <w14:solidFill>
              <w14:schemeClr w14:val="tx1"/>
            </w14:solidFill>
          </w14:textFill>
        </w:rPr>
        <w:t>120</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天以上，双方应通过友好协商，确定是否继续履行合同。</w:t>
      </w:r>
    </w:p>
    <w:p>
      <w:pPr>
        <w:autoSpaceDE w:val="0"/>
        <w:autoSpaceDN w:val="0"/>
        <w:adjustRightInd w:val="0"/>
        <w:spacing w:line="480" w:lineRule="exact"/>
        <w:ind w:firstLine="480"/>
        <w:jc w:val="left"/>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十、争议解决方式</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因本合同发生的一切争议，双方友好协商。如协商不成，可向甲方住所地法院起诉。</w:t>
      </w:r>
    </w:p>
    <w:p>
      <w:pPr>
        <w:autoSpaceDE w:val="0"/>
        <w:autoSpaceDN w:val="0"/>
        <w:adjustRightInd w:val="0"/>
        <w:spacing w:line="480" w:lineRule="exact"/>
        <w:ind w:firstLine="480"/>
        <w:jc w:val="left"/>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十一、合同生效及其它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合同经双方法定代表人或授权委托代表人签字并加盖单位公章之日起生效。</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本合同未尽事宜，遵照《中华人民共和国民法典》有关条文执行。</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w:t>
      </w:r>
      <w:r>
        <w:rPr>
          <w:rFonts w:cs="宋体" w:asciiTheme="majorEastAsia" w:hAnsiTheme="majorEastAsia" w:eastAsiaTheme="majorEastAsia"/>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本合同正本一式四份，具有同等法律效力，甲方、乙方各执两份。副本按双方需求执行。</w:t>
      </w:r>
    </w:p>
    <w:p>
      <w:pPr>
        <w:pStyle w:val="2"/>
        <w:ind w:firstLine="478" w:firstLineChars="228"/>
        <w:rPr>
          <w:rFonts w:asciiTheme="majorEastAsia" w:hAnsiTheme="majorEastAsia" w:eastAsiaTheme="majorEastAsia"/>
          <w:color w:val="000000" w:themeColor="text1"/>
          <w:highlight w:val="none"/>
          <w14:textFill>
            <w14:solidFill>
              <w14:schemeClr w14:val="tx1"/>
            </w14:solidFill>
          </w14:textFill>
        </w:rPr>
      </w:pPr>
    </w:p>
    <w:p>
      <w:pPr>
        <w:pStyle w:val="24"/>
        <w:snapToGrid w:val="0"/>
        <w:spacing w:before="120" w:after="120" w:line="480" w:lineRule="exact"/>
        <w:ind w:left="479" w:leftChars="228"/>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甲方：</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 xml:space="preserve">乙方： </w:t>
      </w:r>
    </w:p>
    <w:p>
      <w:pPr>
        <w:pStyle w:val="24"/>
        <w:snapToGrid w:val="0"/>
        <w:spacing w:before="120" w:after="120"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地址：</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地址：</w:t>
      </w:r>
    </w:p>
    <w:p>
      <w:pPr>
        <w:pStyle w:val="24"/>
        <w:snapToGrid w:val="0"/>
        <w:spacing w:before="120" w:after="120"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 xml:space="preserve"> </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 xml:space="preserve"> 法定代表人或授权代表：</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法定代表人或授权代表：</w:t>
      </w:r>
    </w:p>
    <w:p>
      <w:pPr>
        <w:pStyle w:val="24"/>
        <w:snapToGrid w:val="0"/>
        <w:spacing w:before="120" w:after="120"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 xml:space="preserve">  </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联系电话：</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联系电话：</w:t>
      </w:r>
    </w:p>
    <w:p>
      <w:pPr>
        <w:pStyle w:val="24"/>
        <w:snapToGrid w:val="0"/>
        <w:spacing w:before="120" w:after="120" w:line="480" w:lineRule="exact"/>
        <w:ind w:right="480"/>
        <w:rPr>
          <w:rFonts w:asciiTheme="majorEastAsia" w:hAnsiTheme="majorEastAsia" w:eastAsiaTheme="majorEastAsia"/>
          <w:color w:val="000000" w:themeColor="text1"/>
          <w:sz w:val="24"/>
          <w:szCs w:val="22"/>
          <w:highlight w:val="none"/>
          <w14:textFill>
            <w14:solidFill>
              <w14:schemeClr w14:val="tx1"/>
            </w14:solidFill>
          </w14:textFill>
        </w:rPr>
      </w:pPr>
    </w:p>
    <w:p>
      <w:pPr>
        <w:pStyle w:val="24"/>
        <w:snapToGrid w:val="0"/>
        <w:spacing w:before="120" w:after="120" w:line="480" w:lineRule="exact"/>
        <w:ind w:right="720"/>
        <w:jc w:val="right"/>
        <w:rPr>
          <w:rFonts w:asciiTheme="majorEastAsia" w:hAnsiTheme="majorEastAsia" w:eastAsiaTheme="majorEastAsia"/>
          <w:color w:val="000000" w:themeColor="text1"/>
          <w:sz w:val="24"/>
          <w:highlight w:val="none"/>
          <w14:textFill>
            <w14:solidFill>
              <w14:schemeClr w14:val="tx1"/>
            </w14:solidFill>
          </w14:textFill>
        </w:rPr>
        <w:sectPr>
          <w:footerReference r:id="rId8" w:type="first"/>
          <w:footerReference r:id="rId7" w:type="default"/>
          <w:pgSz w:w="11906" w:h="16838"/>
          <w:pgMar w:top="1134" w:right="1134" w:bottom="1134" w:left="1134" w:header="851" w:footer="680" w:gutter="0"/>
          <w:pgNumType w:fmt="numberInDash"/>
          <w:cols w:space="720" w:num="1"/>
          <w:docGrid w:type="lines" w:linePitch="290" w:charSpace="0"/>
        </w:sectPr>
      </w:pPr>
      <w:r>
        <w:rPr>
          <w:rFonts w:asciiTheme="majorEastAsia" w:hAnsiTheme="majorEastAsia" w:eastAsiaTheme="majorEastAsia"/>
          <w:color w:val="000000" w:themeColor="text1"/>
          <w:sz w:val="24"/>
          <w:szCs w:val="22"/>
          <w:highlight w:val="none"/>
          <w14:textFill>
            <w14:solidFill>
              <w14:schemeClr w14:val="tx1"/>
            </w14:solidFill>
          </w14:textFill>
        </w:rPr>
        <w:t>签订日期：      年  月</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日</w:t>
      </w:r>
      <w:bookmarkEnd w:id="173"/>
      <w:bookmarkEnd w:id="174"/>
      <w:bookmarkEnd w:id="175"/>
      <w:bookmarkEnd w:id="176"/>
      <w:bookmarkStart w:id="179" w:name="_Toc120614281"/>
      <w:bookmarkStart w:id="180" w:name="_Toc26554093"/>
      <w:bookmarkStart w:id="181" w:name="_Toc49090575"/>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第四章  项目需求</w:t>
      </w:r>
    </w:p>
    <w:p>
      <w:pPr>
        <w:pStyle w:val="2"/>
        <w:ind w:firstLine="0" w:firstLineChars="0"/>
        <w:rPr>
          <w:rFonts w:asciiTheme="majorEastAsia" w:hAnsiTheme="majorEastAsia" w:eastAsiaTheme="majorEastAsia"/>
          <w:bCs/>
          <w:color w:val="000000" w:themeColor="text1"/>
          <w:highlight w:val="none"/>
          <w14:textFill>
            <w14:solidFill>
              <w14:schemeClr w14:val="tx1"/>
            </w14:solidFill>
          </w14:textFill>
        </w:rPr>
      </w:pPr>
    </w:p>
    <w:p>
      <w:pPr>
        <w:tabs>
          <w:tab w:val="left" w:pos="900"/>
        </w:tabs>
        <w:spacing w:after="156" w:afterLines="50" w:line="500" w:lineRule="exact"/>
        <w:jc w:val="center"/>
        <w:rPr>
          <w:rFonts w:cs="宋体"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cs="宋体" w:asciiTheme="majorEastAsia" w:hAnsiTheme="majorEastAsia" w:eastAsiaTheme="majorEastAsia"/>
          <w:b/>
          <w:bCs/>
          <w:color w:val="000000" w:themeColor="text1"/>
          <w:sz w:val="32"/>
          <w:szCs w:val="32"/>
          <w:highlight w:val="none"/>
          <w14:textFill>
            <w14:solidFill>
              <w14:schemeClr w14:val="tx1"/>
            </w14:solidFill>
          </w14:textFill>
        </w:rPr>
        <w:t>消防维保服务方案</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hint="eastAsia" w:ascii="黑体" w:hAnsi="黑体" w:eastAsia="黑体" w:cs="方正小标宋_GBK"/>
          <w:b/>
          <w:color w:val="000000" w:themeColor="text1"/>
          <w:sz w:val="24"/>
          <w:highlight w:val="none"/>
          <w14:textFill>
            <w14:solidFill>
              <w14:schemeClr w14:val="tx1"/>
            </w14:solidFill>
          </w14:textFill>
        </w:rPr>
        <w:t>一、服务范围</w:t>
      </w:r>
    </w:p>
    <w:p>
      <w:pPr>
        <w:tabs>
          <w:tab w:val="left" w:pos="900"/>
        </w:tabs>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江苏医药职业学院校内消防维保服务。</w:t>
      </w:r>
    </w:p>
    <w:p>
      <w:pPr>
        <w:spacing w:line="500" w:lineRule="exact"/>
        <w:ind w:firstLine="480" w:firstLineChars="200"/>
        <w:outlineLvl w:val="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校区坐落于盐城市职教园区（盐城市解放南路283号），分为东、西两个校园（东园：江苏医药职业学院原解放校区，西园：现盐城机电高等职业技术学校）。现有5个消防控制室，东园分别为:图文信息中心消控室、青年教室周转公寓消控室、体育馆消防控制室、实训中心消防控制室；西园消防暂由盐城机电高等职业技术学校负责，维保服务根据我校校区的置换的进程逐步调整增项。目前，消控室工作情况各异，现已合并至一处，与安防监控中心合为一体，称“应急指挥中心”。</w:t>
      </w:r>
    </w:p>
    <w:p>
      <w:pPr>
        <w:spacing w:line="500" w:lineRule="exact"/>
        <w:ind w:firstLine="480" w:firstLineChars="200"/>
        <w:outlineLvl w:val="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此次纳入消防维保的楼宇，东园：行政楼、体育馆、图书馆、实训中心、青年教师周转公寓、超市楼、食堂一、二、三楼以及教学A、B、C、D楼和宿舍2、3、4、5楼。西园：实训楼、知行楼、康复实训中心、宿舍2、8、10号楼。如在服务期内增加消防维保量，则按增加维保面积核算服务价,(中标方需按中标价格计算平方单价)。以上楼宇按照相关消防规定安装了各种消防系统，如：消火栓水带、灭火器、应急灯、安全疏散灯、门禁系统、防火窗、防火卷帘门、消防监控系统、消防泵房设备等。</w:t>
      </w:r>
    </w:p>
    <w:p>
      <w:pPr>
        <w:spacing w:line="500" w:lineRule="exact"/>
        <w:ind w:firstLine="482" w:firstLineChars="200"/>
        <w:outlineLvl w:val="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二、服务内容</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（一）设施检测维修内容</w:t>
      </w:r>
    </w:p>
    <w:p>
      <w:pPr>
        <w:tabs>
          <w:tab w:val="left" w:pos="900"/>
        </w:tabs>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1.检测维修范围:校区所有消防自动设施（室内外）及消防联动管网。</w:t>
      </w:r>
    </w:p>
    <w:p>
      <w:pPr>
        <w:tabs>
          <w:tab w:val="left" w:pos="900"/>
        </w:tabs>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2.检测维修内容：检查校内消防自动设施运行情况； 检查校内消防管道及增压稳压设施情况；检查校内其它所有消防设施情况。</w:t>
      </w:r>
    </w:p>
    <w:p>
      <w:pPr>
        <w:tabs>
          <w:tab w:val="left" w:pos="900"/>
        </w:tabs>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3.检测维修要求：定期提供消防设施检测结果详细报告、相关升级、维修费用预算清单。</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（二）消防日常维保内容</w:t>
      </w:r>
    </w:p>
    <w:p>
      <w:pPr>
        <w:tabs>
          <w:tab w:val="left" w:pos="900"/>
        </w:tabs>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1.消防维保范围：校区所有消防设施（室内外）及校内消防联动管网。</w:t>
      </w:r>
    </w:p>
    <w:p>
      <w:pPr>
        <w:tabs>
          <w:tab w:val="left" w:pos="900"/>
        </w:tabs>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2.消防维保内容：1.火灾自动报警系统；2.自动喷淋给水系统；3.气体灭火装置；4.楼内消火栓给水系统；5.楼外消火栓给水系统；6.消防泵房系统；7.通风、机械排烟系统；8.防火分隔系统；9.应急照明及疏散指示系统；10.广播通信系统；11.消防监控系统；12.消防泵房设备。 </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三、服务期</w:t>
      </w:r>
    </w:p>
    <w:p>
      <w:pPr>
        <w:tabs>
          <w:tab w:val="left" w:pos="900"/>
        </w:tabs>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计划三年，合同一年一签，按上年服务的考核结果，由学校主张是否续签。</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 xml:space="preserve">四、质量要求 </w:t>
      </w:r>
    </w:p>
    <w:p>
      <w:pPr>
        <w:pStyle w:val="20"/>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国家“合格”标准，确保消防设备能随时投入使用，并出具消防维保报告，接洽消防部门备案工作，确保消防设备安全可靠和正常运行。</w:t>
      </w:r>
    </w:p>
    <w:p>
      <w:pPr>
        <w:pStyle w:val="20"/>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五、相关要求</w:t>
      </w:r>
    </w:p>
    <w:p>
      <w:pPr>
        <w:pStyle w:val="20"/>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w:t>
      </w:r>
      <w:r>
        <w:rPr>
          <w:rFonts w:asciiTheme="majorEastAsia" w:hAnsiTheme="majorEastAsia" w:eastAsiaTheme="majorEastAsia"/>
          <w:color w:val="000000" w:themeColor="text1"/>
          <w:sz w:val="24"/>
          <w:szCs w:val="24"/>
          <w:highlight w:val="none"/>
          <w14:textFill>
            <w14:solidFill>
              <w14:schemeClr w14:val="tx1"/>
            </w14:solidFill>
          </w14:textFill>
        </w:rPr>
        <w:t>.现场勘察</w:t>
      </w:r>
    </w:p>
    <w:p>
      <w:pPr>
        <w:tabs>
          <w:tab w:val="left" w:pos="632"/>
          <w:tab w:val="left" w:pos="790"/>
          <w:tab w:val="left" w:pos="1422"/>
        </w:tabs>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投标人均应自行到服务现场进行踏勘，（现场联系人：徐登亭15950233018），充分了解服务项目的位置、情况、服务条件、基层状况及任何其它足以影响投标价的情况，核实实际服务的工作量，并根据现场的实际情况将本项目可预见的相关费用考虑到投标报价中，投标人中标后可预见的相关费用包干使用。招标人向投标人提供的有关现场的数据和资料，是招标人现有的能够被投标人利用的资料，招标人对投标人做出的任何推论、理解和结论均不负责任。</w:t>
      </w:r>
    </w:p>
    <w:p>
      <w:pPr>
        <w:pStyle w:val="2"/>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因疫情影响，为避免人群密集接触、采购人不组织集中勘察，供应商可于 2021 年7月14日前自行联系采购人勘察现场（因疫情防控，须至少提前一天报备方可进校，</w:t>
      </w:r>
      <w:r>
        <w:rPr>
          <w:rFonts w:asciiTheme="majorEastAsia" w:hAnsiTheme="majorEastAsia" w:eastAsiaTheme="majorEastAsia"/>
          <w:color w:val="000000" w:themeColor="text1"/>
          <w:sz w:val="24"/>
          <w:szCs w:val="24"/>
          <w:highlight w:val="none"/>
          <w14:textFill>
            <w14:solidFill>
              <w14:schemeClr w14:val="tx1"/>
            </w14:solidFill>
          </w14:textFill>
        </w:rPr>
        <w:t>现场联系人：徐登亭15950233018</w:t>
      </w:r>
      <w:r>
        <w:rPr>
          <w:rFonts w:hint="eastAsia" w:asciiTheme="majorEastAsia" w:hAnsiTheme="majorEastAsia" w:eastAsiaTheme="majorEastAsia"/>
          <w:color w:val="000000" w:themeColor="text1"/>
          <w:sz w:val="24"/>
          <w:szCs w:val="24"/>
          <w:highlight w:val="none"/>
          <w14:textFill>
            <w14:solidFill>
              <w14:schemeClr w14:val="tx1"/>
            </w14:solidFill>
          </w14:textFill>
        </w:rPr>
        <w:t>），因未勘察现场或勘察现场不详细的供应商中标后，不得以不完全了解现场情况为由向采购人提出任何索赔或其他要求，对此采购人不承担任何责任并将不作任何答复。</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六、服务响应承诺</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中标人应该为招标人建立消防系统设施运行使用档案，需派一名项目经理负责维保工作，服从保卫处领导，每周与保卫处至少会商一次工作；为应急指挥中心配给消防设备安装、调试、维护、运行的专业技术人员，负责24小时单岗值班（</w:t>
      </w:r>
      <w:r>
        <w:rPr>
          <w:rFonts w:asciiTheme="majorEastAsia" w:hAnsiTheme="majorEastAsia" w:eastAsiaTheme="majorEastAsia"/>
          <w:b/>
          <w:color w:val="000000" w:themeColor="text1"/>
          <w:sz w:val="24"/>
          <w:highlight w:val="none"/>
          <w14:textFill>
            <w14:solidFill>
              <w14:schemeClr w14:val="tx1"/>
            </w14:solidFill>
          </w14:textFill>
        </w:rPr>
        <w:t>3人轮岗，</w:t>
      </w:r>
      <w:r>
        <w:rPr>
          <w:rFonts w:hint="eastAsia" w:asciiTheme="majorEastAsia" w:hAnsiTheme="majorEastAsia" w:eastAsiaTheme="majorEastAsia"/>
          <w:b/>
          <w:color w:val="000000" w:themeColor="text1"/>
          <w:sz w:val="24"/>
          <w:highlight w:val="none"/>
          <w14:textFill>
            <w14:solidFill>
              <w14:schemeClr w14:val="tx1"/>
            </w14:solidFill>
          </w14:textFill>
        </w:rPr>
        <w:t>均需持有公安部消防局颁发的建（构）筑物消防员证书或消防设施操作员证书方可上岗作业</w:t>
      </w:r>
      <w:r>
        <w:rPr>
          <w:rFonts w:asciiTheme="majorEastAsia" w:hAnsiTheme="majorEastAsia" w:eastAsiaTheme="majorEastAsia"/>
          <w:color w:val="000000" w:themeColor="text1"/>
          <w:sz w:val="24"/>
          <w:highlight w:val="none"/>
          <w14:textFill>
            <w14:solidFill>
              <w14:schemeClr w14:val="tx1"/>
            </w14:solidFill>
          </w14:textFill>
        </w:rPr>
        <w:t>），并着符合招标人要求的统一服装；与应急指挥中心现有的24小时单岗配合，做好每班两人的排班、值守，进行每天消防设施巡查、设备维护保养，保证设施完好，设备正常运行。未经甲方允许不得更换项目经理。</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中标人应提供每天24小时不间断的电话支持服务，若系统有任何异常情况，在招标人通知中标人后，中标人应在15分钟内做出响应，在1小时内赶到现场处理解决问题。设施检测需提前3天告知招标方，以便学校合理安排教学和工作秩序。</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3.中标人应该配合招标人做好消防部门的检查验收，保证每次验收合格。中标人应认真执行国家有关规定，服从盐城市消防管理部门的技术指导和业务管理，达到要求，并承担相应的责任。</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4.每学期中标人与招标人共同进行至少一次系统的全面检查，任何缺陷由中标人负责修理（不含免费维修项目），在修理后，中标人将缺陷原因、修理内容、完成时间及恢复正常的时间及日期等报告给招标人，报告一式两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5.中标人需提供消防检查月度报告、学期报告和年度检测报告。</w:t>
      </w:r>
    </w:p>
    <w:p>
      <w:pPr>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6.每年配合招标人组织消防演练四次（提供技术支持）</w:t>
      </w:r>
    </w:p>
    <w:p>
      <w:pPr>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7.</w:t>
      </w:r>
      <w:r>
        <w:rPr>
          <w:rFonts w:asciiTheme="majorEastAsia" w:hAnsiTheme="majorEastAsia" w:eastAsiaTheme="majorEastAsia"/>
          <w:color w:val="000000" w:themeColor="text1"/>
          <w:sz w:val="24"/>
          <w:highlight w:val="none"/>
          <w14:textFill>
            <w14:solidFill>
              <w14:schemeClr w14:val="tx1"/>
            </w14:solidFill>
          </w14:textFill>
        </w:rPr>
        <w:t>在维护保养过程中，对可预测需更换部件器材应提前15-30天向招标人申请购买，提高维修及时率。</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七、维保服务要求</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1.火灾自动报警及联动系统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A.每月检查火灾报警控制器自检功能、消音复位功能、故障报警功能、火灾记忆功能和主备电源自动转换功能。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B.每月检查消防控制室或消防值班室工作环境以及火灾报警控制器、联动控制器、层显（或区域控制器）、探测器、手动报警按钮等是否处于正常完好状态。</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C.每月检查探测点的显示，联动程序。</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D.每月检查备用电源的充放电功能。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E.每月检查探测器肮脏度、灵敏度、自动环境补偿、预报警、响应域值、通讯故障及其他必要的功能试验。</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F.每月检查模块通讯故障、自动诊断、历史记录。</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G.每月检查手动报警按钮外观有无损坏，报警及指示灯是否正常。</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H.每月检查本系统的值班记录，同物业管理部门消防值班人员共同做好维护保养的记录。</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I.每月检查声光报警器（警铃）音响度、灵敏度，部位的正确。</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J.每年检查下列功能：</w:t>
      </w:r>
    </w:p>
    <w:p>
      <w:pPr>
        <w:widowControl/>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①</w:t>
      </w:r>
      <w:r>
        <w:rPr>
          <w:rFonts w:asciiTheme="majorEastAsia" w:hAnsiTheme="majorEastAsia" w:eastAsiaTheme="majorEastAsia"/>
          <w:color w:val="000000" w:themeColor="text1"/>
          <w:sz w:val="24"/>
          <w:highlight w:val="none"/>
          <w14:textFill>
            <w14:solidFill>
              <w14:schemeClr w14:val="tx1"/>
            </w14:solidFill>
          </w14:textFill>
        </w:rPr>
        <w:t xml:space="preserve"> 采用检测设备分期分批试验探测器的工作情况，检测数量不少于总数的30%。</w:t>
      </w:r>
    </w:p>
    <w:p>
      <w:pPr>
        <w:widowControl/>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②</w:t>
      </w:r>
      <w:r>
        <w:rPr>
          <w:rFonts w:asciiTheme="majorEastAsia" w:hAnsiTheme="majorEastAsia" w:eastAsiaTheme="majorEastAsia"/>
          <w:color w:val="000000" w:themeColor="text1"/>
          <w:sz w:val="24"/>
          <w:highlight w:val="none"/>
          <w14:textFill>
            <w14:solidFill>
              <w14:schemeClr w14:val="tx1"/>
            </w14:solidFill>
          </w14:textFill>
        </w:rPr>
        <w:t xml:space="preserve"> 试验手动报警按钮报警功能，抽检数量不少于总数的30%。</w:t>
      </w:r>
    </w:p>
    <w:p>
      <w:pPr>
        <w:widowControl/>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③</w:t>
      </w:r>
      <w:r>
        <w:rPr>
          <w:rFonts w:asciiTheme="majorEastAsia" w:hAnsiTheme="majorEastAsia" w:eastAsiaTheme="majorEastAsia"/>
          <w:color w:val="000000" w:themeColor="text1"/>
          <w:sz w:val="24"/>
          <w:highlight w:val="none"/>
          <w14:textFill>
            <w14:solidFill>
              <w14:schemeClr w14:val="tx1"/>
            </w14:solidFill>
          </w14:textFill>
        </w:rPr>
        <w:t xml:space="preserve"> 自动或手动试验相关联动控制设备的控制和显示功能。</w:t>
      </w:r>
    </w:p>
    <w:p>
      <w:pPr>
        <w:widowControl/>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④</w:t>
      </w:r>
      <w:r>
        <w:rPr>
          <w:rFonts w:asciiTheme="majorEastAsia" w:hAnsiTheme="majorEastAsia" w:eastAsiaTheme="majorEastAsia"/>
          <w:color w:val="000000" w:themeColor="text1"/>
          <w:sz w:val="24"/>
          <w:highlight w:val="none"/>
          <w14:textFill>
            <w14:solidFill>
              <w14:schemeClr w14:val="tx1"/>
            </w14:solidFill>
          </w14:textFill>
        </w:rPr>
        <w:t xml:space="preserve"> 对系统回路电压、回路地阻、回路对地电阻进行检查、测试。</w:t>
      </w:r>
    </w:p>
    <w:p>
      <w:pPr>
        <w:widowControl/>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⑤</w:t>
      </w:r>
      <w:r>
        <w:rPr>
          <w:rFonts w:asciiTheme="majorEastAsia" w:hAnsiTheme="majorEastAsia" w:eastAsiaTheme="majorEastAsia"/>
          <w:color w:val="000000" w:themeColor="text1"/>
          <w:sz w:val="24"/>
          <w:highlight w:val="none"/>
          <w14:textFill>
            <w14:solidFill>
              <w14:schemeClr w14:val="tx1"/>
            </w14:solidFill>
          </w14:textFill>
        </w:rPr>
        <w:t xml:space="preserve"> 对消防电话插孔和对讲电话，按实际安装数量的30%进行通话试验。</w:t>
      </w:r>
    </w:p>
    <w:p>
      <w:pPr>
        <w:widowControl/>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⑥</w:t>
      </w:r>
      <w:r>
        <w:rPr>
          <w:rFonts w:asciiTheme="majorEastAsia" w:hAnsiTheme="majorEastAsia" w:eastAsiaTheme="majorEastAsia"/>
          <w:color w:val="000000" w:themeColor="text1"/>
          <w:sz w:val="24"/>
          <w:highlight w:val="none"/>
          <w14:textFill>
            <w14:solidFill>
              <w14:schemeClr w14:val="tx1"/>
            </w14:solidFill>
          </w14:textFill>
        </w:rPr>
        <w:t xml:space="preserve"> 综合上述各分项试验，测试消防主控屏的报警、故障显示、消音、复位、火灾记忆功能，并进行消防主电源和备用电源的自动切换模拟试验和充放电实验，对非消防电源切换、空调、疏散指示标志等设备的联动进行模拟试验。</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2.自动喷淋灭火、消火栓灭火系统、消防泵房系统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A.每月检查消防泵房工作环境及喷淋泵、消防泵、稳压设备、电源控制柜、蝶阀、闸阀、止回阀、湿式报警阀、水泵接合器、储水设备等是否处于正常状态。</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B.每季度检查功能：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①</w:t>
      </w:r>
      <w:r>
        <w:rPr>
          <w:rFonts w:asciiTheme="majorEastAsia" w:hAnsiTheme="majorEastAsia" w:eastAsiaTheme="majorEastAsia"/>
          <w:color w:val="000000" w:themeColor="text1"/>
          <w:sz w:val="24"/>
          <w:highlight w:val="none"/>
          <w14:textFill>
            <w14:solidFill>
              <w14:schemeClr w14:val="tx1"/>
            </w14:solidFill>
          </w14:textFill>
        </w:rPr>
        <w:t xml:space="preserve"> 启动消防泵，当消防水泵为自动控制启动时，应模拟自动控制的条件进行启动，测试管网阀门的严密性能，对系统的供水能力和联动启动泵功能，同时试验主、备泵的供水情况。</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②</w:t>
      </w:r>
      <w:r>
        <w:rPr>
          <w:rFonts w:asciiTheme="majorEastAsia" w:hAnsiTheme="majorEastAsia" w:eastAsiaTheme="majorEastAsia"/>
          <w:color w:val="000000" w:themeColor="text1"/>
          <w:sz w:val="24"/>
          <w:highlight w:val="none"/>
          <w14:textFill>
            <w14:solidFill>
              <w14:schemeClr w14:val="tx1"/>
            </w14:solidFill>
          </w14:textFill>
        </w:rPr>
        <w:t xml:space="preserve"> 试验远距离启动泵按钮启动消防泵，抽检数量不少于总数的20%。</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③</w:t>
      </w:r>
      <w:r>
        <w:rPr>
          <w:rFonts w:asciiTheme="majorEastAsia" w:hAnsiTheme="majorEastAsia" w:eastAsiaTheme="majorEastAsia"/>
          <w:color w:val="000000" w:themeColor="text1"/>
          <w:sz w:val="24"/>
          <w:highlight w:val="none"/>
          <w14:textFill>
            <w14:solidFill>
              <w14:schemeClr w14:val="tx1"/>
            </w14:solidFill>
          </w14:textFill>
        </w:rPr>
        <w:t xml:space="preserve"> 末端试水、屋顶消火栓出水，检查管网压力和水质。</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3.气体灭火系统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A.电源是否正常。</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B.标志是否设置完好。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C.储存容器的工作压力是否不小于15MPA。</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D.二氧化碳的充装量是否达到90％。</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E.防护区有无改变，火灾声光报警器是否正常。</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F.防护区内有无满足30秒内该区人员疏散完毕的通道和出口。</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G.火灾事故照明和疏散指示标志是否状态良好。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H.防火门是否向疏散方向开启；并能自动关闭，任何情况下均能打开。</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I.手动操作装置是否设在防护区外便于操作的地方。</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J.自动控制、移动控制和机械应急操作是否适当。</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K.值班管理员是否熟知应急操作按钮的操作方法。</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L.配备专用的空气呼吸器或氧气呼吸器是否完好。</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4.通风、排烟系统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A.每月检查送风、排烟机房工作环境以及送风机、排烟机、电源控制柜，送风口、排烟口、防火阀等是否处于正常完好状态。</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B.每年检查下列功能：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①</w:t>
      </w:r>
      <w:r>
        <w:rPr>
          <w:rFonts w:asciiTheme="majorEastAsia" w:hAnsiTheme="majorEastAsia" w:eastAsiaTheme="majorEastAsia"/>
          <w:color w:val="000000" w:themeColor="text1"/>
          <w:sz w:val="24"/>
          <w:highlight w:val="none"/>
          <w14:textFill>
            <w14:solidFill>
              <w14:schemeClr w14:val="tx1"/>
            </w14:solidFill>
          </w14:textFill>
        </w:rPr>
        <w:t xml:space="preserve"> 试验自动方式打开排烟口、启动送风机、排烟机。抽查楼层数量不少于总数的50%。</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②</w:t>
      </w:r>
      <w:r>
        <w:rPr>
          <w:rFonts w:asciiTheme="majorEastAsia" w:hAnsiTheme="majorEastAsia" w:eastAsiaTheme="majorEastAsia"/>
          <w:color w:val="000000" w:themeColor="text1"/>
          <w:sz w:val="24"/>
          <w:highlight w:val="none"/>
          <w14:textFill>
            <w14:solidFill>
              <w14:schemeClr w14:val="tx1"/>
            </w14:solidFill>
          </w14:textFill>
        </w:rPr>
        <w:t xml:space="preserve"> 试验自动方式关闭空调系统、电动防火阀。</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③</w:t>
      </w:r>
      <w:r>
        <w:rPr>
          <w:rFonts w:asciiTheme="majorEastAsia" w:hAnsiTheme="majorEastAsia" w:eastAsiaTheme="majorEastAsia"/>
          <w:color w:val="000000" w:themeColor="text1"/>
          <w:sz w:val="24"/>
          <w:highlight w:val="none"/>
          <w14:textFill>
            <w14:solidFill>
              <w14:schemeClr w14:val="tx1"/>
            </w14:solidFill>
          </w14:textFill>
        </w:rPr>
        <w:t xml:space="preserve"> 试验手动方式关闭防火阀，抽检数量不少于总数的20%。</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5.防火分隔系统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A.每月检查防火门、防火卷帘门周围有无影响门正常启闭障碍物，门能否处于正常启、闭状态，门的附件是否齐全完好。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B.每年度检查下列功能：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①</w:t>
      </w:r>
      <w:r>
        <w:rPr>
          <w:rFonts w:asciiTheme="majorEastAsia" w:hAnsiTheme="majorEastAsia" w:eastAsiaTheme="majorEastAsia"/>
          <w:color w:val="000000" w:themeColor="text1"/>
          <w:sz w:val="24"/>
          <w:highlight w:val="none"/>
          <w14:textFill>
            <w14:solidFill>
              <w14:schemeClr w14:val="tx1"/>
            </w14:solidFill>
          </w14:textFill>
        </w:rPr>
        <w:t xml:space="preserve"> 试验自动方式启动防火门、防火卷帘门。抽检数量不少于总数的30%。</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②</w:t>
      </w:r>
      <w:r>
        <w:rPr>
          <w:rFonts w:asciiTheme="majorEastAsia" w:hAnsiTheme="majorEastAsia" w:eastAsiaTheme="majorEastAsia"/>
          <w:color w:val="000000" w:themeColor="text1"/>
          <w:sz w:val="24"/>
          <w:highlight w:val="none"/>
          <w14:textFill>
            <w14:solidFill>
              <w14:schemeClr w14:val="tx1"/>
            </w14:solidFill>
          </w14:textFill>
        </w:rPr>
        <w:t xml:space="preserve"> 用手动按钮启动防火卷帘门，抽检数量不少于总数的30%。</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6.应急照明、疏散指示系统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A.每月抽检安全出口疏散通道、重要场所的应急照明或疏散指示标志是否处于正常完好状态，方位是否正确。发现和告知指示灯及标志损坏情况，应及时修复。</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B.每季试验应急照明和疏散指示灯的工作照度和疏散照度，抽检数量不少于总数的20%。</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7.消防通讯、事故广播系统</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A.每月检查电话插孔、重要场所的对讲电话、播音设备、扬声器等是否处于正常完好状态。</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B.每年度检查下列功能：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①</w:t>
      </w:r>
      <w:r>
        <w:rPr>
          <w:rFonts w:asciiTheme="majorEastAsia" w:hAnsiTheme="majorEastAsia" w:eastAsiaTheme="majorEastAsia"/>
          <w:color w:val="000000" w:themeColor="text1"/>
          <w:sz w:val="24"/>
          <w:highlight w:val="none"/>
          <w14:textFill>
            <w14:solidFill>
              <w14:schemeClr w14:val="tx1"/>
            </w14:solidFill>
          </w14:textFill>
        </w:rPr>
        <w:t xml:space="preserve"> 试验电话插孔和对讲电话的通话质量，抽检数量不少于总数的30%。</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②</w:t>
      </w:r>
      <w:r>
        <w:rPr>
          <w:rFonts w:asciiTheme="majorEastAsia" w:hAnsiTheme="majorEastAsia" w:eastAsiaTheme="majorEastAsia"/>
          <w:color w:val="000000" w:themeColor="text1"/>
          <w:sz w:val="24"/>
          <w:highlight w:val="none"/>
          <w14:textFill>
            <w14:solidFill>
              <w14:schemeClr w14:val="tx1"/>
            </w14:solidFill>
          </w14:textFill>
        </w:rPr>
        <w:t>试验选层广播、抽检数量不少于总数的30%。</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③</w:t>
      </w:r>
      <w:r>
        <w:rPr>
          <w:rFonts w:asciiTheme="majorEastAsia" w:hAnsiTheme="majorEastAsia" w:eastAsiaTheme="majorEastAsia"/>
          <w:color w:val="000000" w:themeColor="text1"/>
          <w:sz w:val="24"/>
          <w:highlight w:val="none"/>
          <w14:textFill>
            <w14:solidFill>
              <w14:schemeClr w14:val="tx1"/>
            </w14:solidFill>
          </w14:textFill>
        </w:rPr>
        <w:t xml:space="preserve"> 试验从背景音乐状态下强切至事故应急广播状态的功能。</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8.移动灭火器材</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A.每月检查灭火器种类、数量、设置位置、标志等是否符合要求。</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B.每年度检查灭火器压力、有效期等，必要时做喷射试验，抽检数量不少于总数的30%。</w:t>
      </w:r>
    </w:p>
    <w:p>
      <w:pPr>
        <w:widowControl/>
        <w:spacing w:line="500" w:lineRule="exact"/>
        <w:ind w:firstLine="482" w:firstLineChars="200"/>
        <w:jc w:val="left"/>
        <w:rPr>
          <w:rFonts w:asciiTheme="majorEastAsia" w:hAnsiTheme="majorEastAsia" w:eastAsiaTheme="majorEastAsia"/>
          <w:b/>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9.其他</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A.每月检查消防电梯迫降按钮、集水坑排水设备、消防电源及切换设备等是否处于正常完好状态。</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B.每年度检查下列功能：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①</w:t>
      </w:r>
      <w:r>
        <w:rPr>
          <w:rFonts w:asciiTheme="majorEastAsia" w:hAnsiTheme="majorEastAsia" w:eastAsiaTheme="majorEastAsia"/>
          <w:color w:val="000000" w:themeColor="text1"/>
          <w:sz w:val="24"/>
          <w:highlight w:val="none"/>
          <w14:textFill>
            <w14:solidFill>
              <w14:schemeClr w14:val="tx1"/>
            </w14:solidFill>
          </w14:textFill>
        </w:rPr>
        <w:t xml:space="preserve"> 试验消防电梯的紧急迫降功能。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②</w:t>
      </w:r>
      <w:r>
        <w:rPr>
          <w:rFonts w:asciiTheme="majorEastAsia" w:hAnsiTheme="majorEastAsia" w:eastAsiaTheme="majorEastAsia"/>
          <w:color w:val="000000" w:themeColor="text1"/>
          <w:sz w:val="24"/>
          <w:highlight w:val="none"/>
          <w14:textFill>
            <w14:solidFill>
              <w14:schemeClr w14:val="tx1"/>
            </w14:solidFill>
          </w14:textFill>
        </w:rPr>
        <w:t xml:space="preserve"> 试验消防电源的切换功能。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③</w:t>
      </w:r>
      <w:r>
        <w:rPr>
          <w:rFonts w:asciiTheme="majorEastAsia" w:hAnsiTheme="majorEastAsia" w:eastAsiaTheme="majorEastAsia"/>
          <w:color w:val="000000" w:themeColor="text1"/>
          <w:sz w:val="24"/>
          <w:highlight w:val="none"/>
          <w14:textFill>
            <w14:solidFill>
              <w14:schemeClr w14:val="tx1"/>
            </w14:solidFill>
          </w14:textFill>
        </w:rPr>
        <w:t xml:space="preserve"> 切断非消防电源功能。</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八、维护保养中零配件免费项目</w:t>
      </w:r>
    </w:p>
    <w:p>
      <w:pPr>
        <w:pStyle w:val="20"/>
        <w:spacing w:line="50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1.单件低于200元的消防设备及配件均由中标人免费维修、更换，且质量符合国家消防标准。</w:t>
      </w:r>
      <w:r>
        <w:rPr>
          <w:rFonts w:asciiTheme="majorEastAsia" w:hAnsiTheme="majorEastAsia" w:eastAsiaTheme="majorEastAsia"/>
          <w:color w:val="000000" w:themeColor="text1"/>
          <w:sz w:val="24"/>
          <w:highlight w:val="none"/>
          <w14:textFill>
            <w14:solidFill>
              <w14:schemeClr w14:val="tx1"/>
            </w14:solidFill>
          </w14:textFill>
        </w:rPr>
        <w:t>合同履行期间，因更换设备与系统软件不匹配的，中标人免费提供升级软件。</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消防系统日常运行过程中损坏、短缺的部件，以及在系统功能测试过程中确定为不合要求的部件，能维修的中标人应负责维修，免费项目以内的零配件中标人应免费更换，免费项目以外需要更换的材料，中标人应及时向招标人书面说明情况，由双方共同论证确定，价格须由双方共同考察市场确定，待招标人认可后方可实施，材料费由招标人承担，中标人负责免费更换和维修。所有更新的材料设备为国家定点企业的合格产品，并提供产品质量认证证书，合格证书等，所更换的设备与原系统所使用的设备一致，且提供一年的质保期，所有材料要求以旧换新。</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九、甲、乙方的权利、义务</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1.甲方有权对乙方维修保养期内的工作进行监督、管理、检查。</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2.维修保养期间，甲方应派专人并提供便利条件，协助乙方的工作。</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3.甲方根据需要及时组织更换建筑消防设施配件，承担建筑消防设施换件和维修保养费用。（免费配件除外）</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4.维修保养期限届满前30日内，甲方应当明确是否继续与乙方签订维保合同。</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5.乙方安排专业技术人员进行24小时值班，做好消控主机的监视工作，发现突发情况，须在第一时间采取处置措施。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6.乙方应具备消防设施维修保养的相应资质、资格，依照法律法规、技术标准和执业准则，开展建筑消防设施维修保养技术服务活动，对维修保养质量负责。</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7.乙方按照《建筑消防设施的维护管理》（GB25201）等消防技术标准规定的内容、程序、周期等要求，对合同约定范围内的建筑消防设施开展检查、维修、保养、测试等技术服务。</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8.乙方派项目经理一名，每周与保卫处至少会商一次工作；3名从事消防设备安装、调试、维护、运行的专业技术人员驻场值班、巡查，维保的乙方人员应遵守甲方的管理制度及作息时间，充分尊重甲方的意见，与甲方密切协调配合，完成每日的维护保养工作，并认真如实填写维修保养记录。如遇甲方重大活动，乙方无条件服从甲方工作安排。乙方驻场、技术人员在履行合同期间，所发生的劳动争议、债权债务、违法事件等由乙方承担全部责任。在岗履行工作职责期间，发生自身的人身伤害、伤亡，均由乙方负责处理并承担经济和道义上的责任，学校不承担任何责任</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9.合同期间，乙方应加强人员管理，持证上岗。遵纪守法，严格遵守甲方各项管理、规章制度，不得与在校师生、员工发生任何冲突，如非乙方责任与校内其他组织或人员发生冲突，及时上报甲方，由甲方负责协调处理。</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10.在对某些隐蔽工程进行维修时，乙方应尽量保护原设施，若不可避免要对原装修进行改动，由甲乙双方协商解决。  </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11.乙方应严格执行日常维修、定期检修和紧急排故等维护保养工作。每次保养后，乙方应向甲方提供一份由乙方技术人员签名的保养记录，并由甲方主管领导或指定代表签字确认。       </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12.乙方在维护保养期间负责各消防设备的清洁工作。</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13.消防设备在使用过程中如有损坏乙方负责维修，如果设备严重损坏至无法修复需要更换时，乙方需向甲方主管部门提出，经甲方同意后再行更换。</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14.乙方要为甲方建立消防系统设施运行使用档案。每学期甲乙双方共同进行二次系统的全面检查，任何缺陷由乙方负责修理。修理后，乙方将缺陷原因、修理内容、完成时间及恢复正常的时间及日期等报告给甲方，报告一式两份。</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15.乙方应该配合甲方做好消防部门的检查验收，保证每次验收合格。乙方应认真执行国家有关规定，服从盐城市消防管理部门的技术指导和业务管理，达到要求，并承担相应的责任。</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16.乙方应提供每天24小时不间断的电话支持服务，若系统有突发情况，在甲方通知乙方后，除驻场工作人员外，乙方应在15分钟内做出响应，在1小时内赶到现场对问题进行解决。设施检测需</w:t>
      </w:r>
      <w:r>
        <w:rPr>
          <w:rFonts w:asciiTheme="majorEastAsia" w:hAnsiTheme="majorEastAsia" w:eastAsiaTheme="majorEastAsia"/>
          <w:color w:val="000000" w:themeColor="text1"/>
          <w:sz w:val="24"/>
          <w:highlight w:val="none"/>
          <w14:textFill>
            <w14:solidFill>
              <w14:schemeClr w14:val="tx1"/>
            </w14:solidFill>
          </w14:textFill>
        </w:rPr>
        <w:t>提前3天告知甲方，以便学校合理安排教学和工作秩序。</w:t>
      </w:r>
    </w:p>
    <w:p>
      <w:pPr>
        <w:widowControl/>
        <w:spacing w:line="50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17.合同期满后，经甲方考核，服务质量优秀，满意度高，可适当考虑续签合同。</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十、消防维保考核办法</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（一）考核目的</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1.保障消防系统的正常运行，提高设备的稳定性。</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2.提高维保人员工作积极主动性，全面提升技术管理水平和工作效率。</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3.建立消防系统维保队伍工作质量和工作量的评价体系，为维保队伍考核和延续提供依据。</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（二）考核对象</w:t>
      </w:r>
    </w:p>
    <w:p>
      <w:pPr>
        <w:tabs>
          <w:tab w:val="center" w:pos="4663"/>
        </w:tabs>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消防系统维保单位</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（三）考核内容</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1.日常故障处理情况登记，记录形成《消防系统维保情况记录表》（见附表一）。</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2.每季度进行消防系统维保季度抽查。抽查情况登记在《消防系统维保季度抽查情况表》（见附表二）。</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3.年度评价来源于该年度四个季度的评价。乙方维保第一期第一个月进场熟悉、检修设备，原则上不对其评价考核。维保第一期第一季度不足三个月，按一个季度进行评价。</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（四）考核组织</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1.季度抽查组成员由学校分管领导、保卫处、后勤处等相关部门负责人组成。</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2.季度抽查时间为该维保季度内，由保卫处不定期组织。</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3.考核采取百分制，满分为100分。依据《消防系统维保情况记录表》、《消防系统维保季度抽查情况表》，对不满足要求的进行逐项扣分，计划执行情况、文档资料归集、安全维保情况由设备部管理员检查反馈，未按要求执行到位的，逐项扣分。最终评价情况记录在《消防系统维保情况季评价表》（见附表三）。</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（五）考核细则</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1.日常维保情况旨在考核维保队伍维保响应情况和技术水平，主要考核维保响应时间和故障修复时间。未按要求到达现场的，一般故障每次扣2分，严重故障每次扣3分，未按要求恢复设备正常运行的，一般故障每次扣2分，严重故障每次扣3分。具体考核项目和标准见《消防系统维保情况记录表》。</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2.季度抽查项目依据本季度维保计划抽取，每次抽查前由抽查组成员随机抽取，抽查内容应涵盖火灾警报装置、火灾探测器、联动系统、预作用喷淋系统、广播系统、消控中心控制设备等，设备维保标准参照月度维保计划表和《消防系统维保季度抽查情况表》。发现不符合要求的，每项扣3分。</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3.维保方每月底制定下月维保计划，维保方必须严格按计划执行，并认真填写当月维保实施情况。因特殊情况当月无法进行维保的，需由设备部管理员确认。未按计划实施维保的，每项扣3分，维保质量不符合要求的，每项扣3分。</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4.每月30日前（节假日顺延）将当月维保记录（含月计划完成情况、设备故障情况、故障原因、处理方法、处理结果、处理完成时间和维保人员等信息）、月维保报告（含消防系统的运行情况、维保建议等）移交给设备部管理员。未按照要求做好消防系统的维保记录、月维保报告的，每次扣3分，未按时间节点提交的，每次扣3分。</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5.维保人员应遵行国家和学校安全管理的相关规定。未按要求执行到位，每次扣3分。</w:t>
      </w:r>
    </w:p>
    <w:p>
      <w:pPr>
        <w:spacing w:line="50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（六）考核应用</w:t>
      </w:r>
    </w:p>
    <w:p>
      <w:pPr>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季度考核评分将应用于年度考核，具体计算公式为：X=(X1考核分+X2考核分+X3考核分+X4考核分)÷4，其中X为1-4季度得分的平均分，X1：第一季度考核得分，X2：第二季度考核得分，X3：第三季度考核得分，X4：第四季度考核得分，若X≥70分，根据考核细则标每扣一分相应扣除本季度维保金的1%，X＜70分，则无条件终止维保合同。</w:t>
      </w:r>
    </w:p>
    <w:p>
      <w:pPr>
        <w:tabs>
          <w:tab w:val="left" w:pos="900"/>
        </w:tabs>
        <w:spacing w:line="500" w:lineRule="exact"/>
        <w:ind w:firstLine="482" w:firstLineChars="200"/>
        <w:rPr>
          <w:rFonts w:ascii="黑体" w:hAnsi="黑体" w:eastAsia="黑体" w:cs="方正小标宋_GBK"/>
          <w:b/>
          <w:color w:val="000000" w:themeColor="text1"/>
          <w:sz w:val="24"/>
          <w:highlight w:val="none"/>
          <w14:textFill>
            <w14:solidFill>
              <w14:schemeClr w14:val="tx1"/>
            </w14:solidFill>
          </w14:textFill>
        </w:rPr>
      </w:pPr>
      <w:r>
        <w:rPr>
          <w:rFonts w:ascii="黑体" w:hAnsi="黑体" w:eastAsia="黑体" w:cs="方正小标宋_GBK"/>
          <w:b/>
          <w:color w:val="000000" w:themeColor="text1"/>
          <w:sz w:val="24"/>
          <w:highlight w:val="none"/>
          <w14:textFill>
            <w14:solidFill>
              <w14:schemeClr w14:val="tx1"/>
            </w14:solidFill>
          </w14:textFill>
        </w:rPr>
        <w:t>十一、其他要求：</w:t>
      </w:r>
    </w:p>
    <w:p>
      <w:pPr>
        <w:pStyle w:val="20"/>
        <w:spacing w:line="50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sectPr>
          <w:footerReference r:id="rId9" w:type="default"/>
          <w:pgSz w:w="11906" w:h="16838"/>
          <w:pgMar w:top="1134" w:right="1134" w:bottom="1134" w:left="1134" w:header="851" w:footer="992" w:gutter="0"/>
          <w:cols w:space="720" w:num="1"/>
          <w:docGrid w:type="lines" w:linePitch="312" w:charSpace="0"/>
        </w:sectPr>
      </w:pPr>
      <w:r>
        <w:rPr>
          <w:rFonts w:hint="eastAsia" w:asciiTheme="majorEastAsia" w:hAnsiTheme="majorEastAsia" w:eastAsiaTheme="majorEastAsia"/>
          <w:color w:val="000000" w:themeColor="text1"/>
          <w:sz w:val="24"/>
          <w:szCs w:val="24"/>
          <w:highlight w:val="none"/>
          <w14:textFill>
            <w14:solidFill>
              <w14:schemeClr w14:val="tx1"/>
            </w14:solidFill>
          </w14:textFill>
        </w:rPr>
        <w:t>响应单位须书面承诺如因管理不善或维保不善导致被消防部门（或上级部门、学校）在检查过程中予以通报或处罚，由其承担对学校的全部赔偿责任（如扣款等）。</w:t>
      </w:r>
    </w:p>
    <w:p>
      <w:pPr>
        <w:wordWrap w:val="0"/>
        <w:snapToGrid w:val="0"/>
        <w:spacing w:line="520" w:lineRule="exact"/>
        <w:jc w:val="left"/>
        <w:rPr>
          <w:rFonts w:cs="方正小标宋_GBK" w:asciiTheme="majorEastAsia" w:hAnsiTheme="majorEastAsia" w:eastAsiaTheme="majorEastAsia"/>
          <w:bCs/>
          <w:color w:val="000000" w:themeColor="text1"/>
          <w:highlight w:val="none"/>
          <w14:textFill>
            <w14:solidFill>
              <w14:schemeClr w14:val="tx1"/>
            </w14:solidFill>
          </w14:textFill>
        </w:rPr>
      </w:pPr>
      <w:r>
        <w:rPr>
          <w:rFonts w:hint="eastAsia" w:cs="方正小标宋_GBK" w:asciiTheme="majorEastAsia" w:hAnsiTheme="majorEastAsia" w:eastAsiaTheme="majorEastAsia"/>
          <w:bCs/>
          <w:color w:val="000000" w:themeColor="text1"/>
          <w:highlight w:val="none"/>
          <w14:textFill>
            <w14:solidFill>
              <w14:schemeClr w14:val="tx1"/>
            </w14:solidFill>
          </w14:textFill>
        </w:rPr>
        <w:t>附表一：</w:t>
      </w:r>
    </w:p>
    <w:p>
      <w:pPr>
        <w:tabs>
          <w:tab w:val="left" w:pos="900"/>
        </w:tabs>
        <w:spacing w:line="480" w:lineRule="exact"/>
        <w:ind w:firstLine="643" w:firstLineChars="200"/>
        <w:jc w:val="center"/>
        <w:rPr>
          <w:rFonts w:ascii="黑体" w:hAnsi="黑体" w:eastAsia="黑体" w:cs="方正小标宋_GBK"/>
          <w:b/>
          <w:color w:val="000000" w:themeColor="text1"/>
          <w:sz w:val="32"/>
          <w:highlight w:val="none"/>
          <w14:textFill>
            <w14:solidFill>
              <w14:schemeClr w14:val="tx1"/>
            </w14:solidFill>
          </w14:textFill>
        </w:rPr>
      </w:pPr>
      <w:r>
        <w:rPr>
          <w:rFonts w:hint="eastAsia" w:ascii="黑体" w:hAnsi="黑体" w:eastAsia="黑体" w:cs="方正小标宋_GBK"/>
          <w:b/>
          <w:color w:val="000000" w:themeColor="text1"/>
          <w:sz w:val="32"/>
          <w:highlight w:val="none"/>
          <w14:textFill>
            <w14:solidFill>
              <w14:schemeClr w14:val="tx1"/>
            </w14:solidFill>
          </w14:textFill>
        </w:rPr>
        <w:t>消防系统维保情况记录表</w:t>
      </w:r>
    </w:p>
    <w:p>
      <w:pPr>
        <w:wordWrap w:val="0"/>
        <w:snapToGrid w:val="0"/>
        <w:spacing w:line="400" w:lineRule="exac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维保单位：</w:t>
      </w:r>
    </w:p>
    <w:p>
      <w:pPr>
        <w:wordWrap w:val="0"/>
        <w:snapToGrid w:val="0"/>
        <w:spacing w:line="400" w:lineRule="exact"/>
        <w:rPr>
          <w:rFonts w:asciiTheme="majorEastAsia" w:hAnsiTheme="majorEastAsia" w:eastAsiaTheme="majorEastAsia"/>
          <w:color w:val="000000" w:themeColor="text1"/>
          <w:highlight w:val="none"/>
          <w:u w:val="singl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维保时间：2021年</w:t>
      </w:r>
      <w:r>
        <w:rPr>
          <w:rFonts w:hint="eastAsia" w:asciiTheme="majorEastAsia" w:hAnsiTheme="majorEastAsia" w:eastAsiaTheme="majorEastAsia"/>
          <w:color w:val="000000" w:themeColor="text1"/>
          <w:highlight w:val="none"/>
          <w:lang w:val="en-US" w:eastAsia="zh-CN"/>
          <w14:textFill>
            <w14:solidFill>
              <w14:schemeClr w14:val="tx1"/>
            </w14:solidFill>
          </w14:textFill>
        </w:rPr>
        <w:t xml:space="preserve">  </w:t>
      </w:r>
      <w:r>
        <w:rPr>
          <w:rFonts w:asciiTheme="majorEastAsia" w:hAnsiTheme="majorEastAsia" w:eastAsiaTheme="majorEastAsia"/>
          <w:color w:val="000000" w:themeColor="text1"/>
          <w:highlight w:val="none"/>
          <w14:textFill>
            <w14:solidFill>
              <w14:schemeClr w14:val="tx1"/>
            </w14:solidFill>
          </w14:textFill>
        </w:rPr>
        <w:t>月                        编号：</w:t>
      </w:r>
    </w:p>
    <w:tbl>
      <w:tblPr>
        <w:tblStyle w:val="45"/>
        <w:tblW w:w="0" w:type="auto"/>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25"/>
        <w:gridCol w:w="1850"/>
        <w:gridCol w:w="1700"/>
        <w:gridCol w:w="1213"/>
        <w:gridCol w:w="937"/>
        <w:gridCol w:w="1121"/>
        <w:gridCol w:w="1779"/>
        <w:gridCol w:w="1050"/>
        <w:gridCol w:w="1013"/>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6"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序号</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故障时间</w:t>
            </w: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故障类型（一般故障或严重故障）</w:t>
            </w: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故障情况</w:t>
            </w: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值班人员反馈时间</w:t>
            </w: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反馈人</w:t>
            </w: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维保人员到场时间</w:t>
            </w: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故障原因及处理方法</w:t>
            </w: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处理结果</w:t>
            </w: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处理完成时间</w:t>
            </w: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维保人员确认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1</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2</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3</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4</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5</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6</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7</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8</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9</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10</w:t>
            </w:r>
          </w:p>
        </w:tc>
        <w:tc>
          <w:tcPr>
            <w:tcW w:w="12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7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bl>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sectPr>
          <w:endnotePr>
            <w:numFmt w:val="decimal"/>
          </w:endnotePr>
          <w:pgSz w:w="16840" w:h="11906" w:orient="landscape"/>
          <w:pgMar w:top="1134" w:right="1134" w:bottom="1134" w:left="1134" w:header="851" w:footer="992" w:gutter="0"/>
          <w:cols w:space="720" w:num="1"/>
          <w:docGrid w:linePitch="312" w:charSpace="6144"/>
        </w:sectPr>
      </w:pPr>
    </w:p>
    <w:p>
      <w:pPr>
        <w:wordWrap w:val="0"/>
        <w:snapToGrid w:val="0"/>
        <w:spacing w:line="520" w:lineRule="exact"/>
        <w:jc w:val="left"/>
        <w:rPr>
          <w:rFonts w:cs="方正小标宋_GBK" w:asciiTheme="majorEastAsia" w:hAnsiTheme="majorEastAsia" w:eastAsiaTheme="majorEastAsia"/>
          <w:bCs/>
          <w:color w:val="000000" w:themeColor="text1"/>
          <w:highlight w:val="none"/>
          <w14:textFill>
            <w14:solidFill>
              <w14:schemeClr w14:val="tx1"/>
            </w14:solidFill>
          </w14:textFill>
        </w:rPr>
      </w:pPr>
      <w:r>
        <w:rPr>
          <w:rFonts w:hint="eastAsia" w:cs="方正小标宋_GBK" w:asciiTheme="majorEastAsia" w:hAnsiTheme="majorEastAsia" w:eastAsiaTheme="majorEastAsia"/>
          <w:bCs/>
          <w:color w:val="000000" w:themeColor="text1"/>
          <w:highlight w:val="none"/>
          <w14:textFill>
            <w14:solidFill>
              <w14:schemeClr w14:val="tx1"/>
            </w14:solidFill>
          </w14:textFill>
        </w:rPr>
        <w:t>附表二：</w:t>
      </w:r>
    </w:p>
    <w:p>
      <w:pPr>
        <w:tabs>
          <w:tab w:val="left" w:pos="900"/>
        </w:tabs>
        <w:spacing w:line="480" w:lineRule="exact"/>
        <w:ind w:firstLine="643" w:firstLineChars="200"/>
        <w:jc w:val="center"/>
        <w:rPr>
          <w:rFonts w:ascii="黑体" w:hAnsi="黑体" w:eastAsia="黑体" w:cs="方正小标宋_GBK"/>
          <w:b/>
          <w:color w:val="000000" w:themeColor="text1"/>
          <w:sz w:val="32"/>
          <w:highlight w:val="none"/>
          <w14:textFill>
            <w14:solidFill>
              <w14:schemeClr w14:val="tx1"/>
            </w14:solidFill>
          </w14:textFill>
        </w:rPr>
      </w:pPr>
      <w:r>
        <w:rPr>
          <w:rFonts w:hint="eastAsia" w:ascii="黑体" w:hAnsi="黑体" w:eastAsia="黑体" w:cs="方正小标宋_GBK"/>
          <w:b/>
          <w:color w:val="000000" w:themeColor="text1"/>
          <w:sz w:val="32"/>
          <w:highlight w:val="none"/>
          <w14:textFill>
            <w14:solidFill>
              <w14:schemeClr w14:val="tx1"/>
            </w14:solidFill>
          </w14:textFill>
        </w:rPr>
        <w:t>消防系统维保季度抽查情况表</w:t>
      </w:r>
    </w:p>
    <w:p>
      <w:pPr>
        <w:wordWrap w:val="0"/>
        <w:snapToGrid w:val="0"/>
        <w:spacing w:line="400" w:lineRule="exac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维保单位：</w:t>
      </w:r>
    </w:p>
    <w:p>
      <w:pPr>
        <w:wordWrap w:val="0"/>
        <w:snapToGrid w:val="0"/>
        <w:spacing w:line="400" w:lineRule="exact"/>
        <w:rPr>
          <w:rFonts w:asciiTheme="majorEastAsia" w:hAnsiTheme="majorEastAsia" w:eastAsiaTheme="majorEastAsia"/>
          <w:color w:val="000000" w:themeColor="text1"/>
          <w:highlight w:val="none"/>
          <w:u w:val="singl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维保时间：2021年</w:t>
      </w:r>
      <w:r>
        <w:rPr>
          <w:rFonts w:hint="eastAsia" w:asciiTheme="majorEastAsia" w:hAnsiTheme="majorEastAsia" w:eastAsiaTheme="majorEastAsia"/>
          <w:color w:val="000000" w:themeColor="text1"/>
          <w:highlight w:val="none"/>
          <w:lang w:val="en-US" w:eastAsia="zh-CN"/>
          <w14:textFill>
            <w14:solidFill>
              <w14:schemeClr w14:val="tx1"/>
            </w14:solidFill>
          </w14:textFill>
        </w:rPr>
        <w:t xml:space="preserve">  </w:t>
      </w:r>
      <w:r>
        <w:rPr>
          <w:rFonts w:asciiTheme="majorEastAsia" w:hAnsiTheme="majorEastAsia" w:eastAsiaTheme="majorEastAsia"/>
          <w:color w:val="000000" w:themeColor="text1"/>
          <w:highlight w:val="none"/>
          <w14:textFill>
            <w14:solidFill>
              <w14:schemeClr w14:val="tx1"/>
            </w14:solidFill>
          </w14:textFill>
        </w:rPr>
        <w:t>月至</w:t>
      </w:r>
      <w:r>
        <w:rPr>
          <w:rFonts w:hint="eastAsia" w:asciiTheme="majorEastAsia" w:hAnsiTheme="majorEastAsia" w:eastAsiaTheme="majorEastAsia"/>
          <w:color w:val="000000" w:themeColor="text1"/>
          <w:highlight w:val="none"/>
          <w:lang w:val="en-US" w:eastAsia="zh-CN"/>
          <w14:textFill>
            <w14:solidFill>
              <w14:schemeClr w14:val="tx1"/>
            </w14:solidFill>
          </w14:textFill>
        </w:rPr>
        <w:t xml:space="preserve">  </w:t>
      </w:r>
      <w:r>
        <w:rPr>
          <w:rFonts w:asciiTheme="majorEastAsia" w:hAnsiTheme="majorEastAsia" w:eastAsiaTheme="majorEastAsia"/>
          <w:color w:val="000000" w:themeColor="text1"/>
          <w:highlight w:val="none"/>
          <w14:textFill>
            <w14:solidFill>
              <w14:schemeClr w14:val="tx1"/>
            </w14:solidFill>
          </w14:textFill>
        </w:rPr>
        <w:t>月      编号：</w:t>
      </w:r>
    </w:p>
    <w:p>
      <w:pPr>
        <w:wordWrap w:val="0"/>
        <w:snapToGrid w:val="0"/>
        <w:rPr>
          <w:rFonts w:asciiTheme="majorEastAsia" w:hAnsiTheme="majorEastAsia" w:eastAsiaTheme="majorEastAsia"/>
          <w:color w:val="000000" w:themeColor="text1"/>
          <w:highlight w:val="none"/>
          <w14:textFill>
            <w14:solidFill>
              <w14:schemeClr w14:val="tx1"/>
            </w14:solidFill>
          </w14:textFill>
        </w:rPr>
      </w:pP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3183"/>
        <w:gridCol w:w="4125"/>
        <w:gridCol w:w="1623"/>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抽查时间</w:t>
            </w: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抽查对象（含设备具体点位）</w:t>
            </w: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抽查情况（描述设备工作情况、清洁维护情况）</w:t>
            </w: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抽查人</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维保人员确认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318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41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p>
        </w:tc>
      </w:tr>
    </w:tbl>
    <w:p>
      <w:pPr>
        <w:wordWrap w:val="0"/>
        <w:snapToGrid w:val="0"/>
        <w:spacing w:line="40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注：1、抽查对象：结合抽查期间内的月维保计划，随机进行抽取；</w:t>
      </w:r>
    </w:p>
    <w:p>
      <w:pPr>
        <w:numPr>
          <w:ilvl w:val="0"/>
          <w:numId w:val="2"/>
        </w:numPr>
        <w:wordWrap w:val="0"/>
        <w:snapToGrid w:val="0"/>
        <w:spacing w:line="40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检查标准：（1）抽查范围内是否存在未处理的故障、预警、火警、屏蔽，甲方原因除外；</w:t>
      </w:r>
    </w:p>
    <w:p>
      <w:pPr>
        <w:wordWrap w:val="0"/>
        <w:snapToGrid w:val="0"/>
        <w:spacing w:line="400" w:lineRule="exact"/>
        <w:ind w:left="480" w:firstLine="1440" w:firstLineChars="600"/>
        <w:rPr>
          <w:rFonts w:asciiTheme="majorEastAsia" w:hAnsiTheme="majorEastAsia" w:eastAsiaTheme="majorEastAsia"/>
          <w:color w:val="000000" w:themeColor="text1"/>
          <w:sz w:val="24"/>
          <w:szCs w:val="24"/>
          <w:highlight w:val="none"/>
          <w14:textFill>
            <w14:solidFill>
              <w14:schemeClr w14:val="tx1"/>
            </w14:solidFill>
          </w14:textFill>
        </w:rPr>
        <w:sectPr>
          <w:endnotePr>
            <w:numFmt w:val="decimal"/>
          </w:endnotePr>
          <w:pgSz w:w="16840" w:h="11906" w:orient="landscape"/>
          <w:pgMar w:top="1134" w:right="1134" w:bottom="1134" w:left="1134" w:header="851" w:footer="992" w:gutter="0"/>
          <w:cols w:space="720" w:num="1"/>
          <w:docGrid w:linePitch="312" w:charSpace="6144"/>
        </w:sectPr>
      </w:pPr>
      <w:r>
        <w:rPr>
          <w:rFonts w:asciiTheme="majorEastAsia" w:hAnsiTheme="majorEastAsia" w:eastAsiaTheme="majorEastAsia"/>
          <w:color w:val="000000" w:themeColor="text1"/>
          <w:sz w:val="24"/>
          <w:szCs w:val="24"/>
          <w:highlight w:val="none"/>
          <w14:textFill>
            <w14:solidFill>
              <w14:schemeClr w14:val="tx1"/>
            </w14:solidFill>
          </w14:textFill>
        </w:rPr>
        <w:t>（2）被抽查到的对象，如烟感、温感、红外对射等探测器，是否存在积尘大、接线端子松垮等未保养情况。</w:t>
      </w:r>
    </w:p>
    <w:p>
      <w:pPr>
        <w:wordWrap w:val="0"/>
        <w:snapToGrid w:val="0"/>
        <w:spacing w:line="520" w:lineRule="exact"/>
        <w:jc w:val="left"/>
        <w:rPr>
          <w:rFonts w:cs="方正小标宋_GBK" w:asciiTheme="majorEastAsia" w:hAnsiTheme="majorEastAsia" w:eastAsiaTheme="majorEastAsia"/>
          <w:bCs/>
          <w:color w:val="000000" w:themeColor="text1"/>
          <w:highlight w:val="none"/>
          <w14:textFill>
            <w14:solidFill>
              <w14:schemeClr w14:val="tx1"/>
            </w14:solidFill>
          </w14:textFill>
        </w:rPr>
      </w:pPr>
      <w:r>
        <w:rPr>
          <w:rFonts w:hint="eastAsia" w:cs="方正小标宋_GBK" w:asciiTheme="majorEastAsia" w:hAnsiTheme="majorEastAsia" w:eastAsiaTheme="majorEastAsia"/>
          <w:bCs/>
          <w:color w:val="000000" w:themeColor="text1"/>
          <w:highlight w:val="none"/>
          <w14:textFill>
            <w14:solidFill>
              <w14:schemeClr w14:val="tx1"/>
            </w14:solidFill>
          </w14:textFill>
        </w:rPr>
        <w:t>附表三：</w:t>
      </w:r>
    </w:p>
    <w:p>
      <w:pPr>
        <w:tabs>
          <w:tab w:val="left" w:pos="900"/>
        </w:tabs>
        <w:spacing w:line="480" w:lineRule="exact"/>
        <w:ind w:firstLine="643" w:firstLineChars="200"/>
        <w:jc w:val="center"/>
        <w:rPr>
          <w:rFonts w:ascii="黑体" w:hAnsi="黑体" w:eastAsia="黑体" w:cs="方正小标宋_GBK"/>
          <w:b/>
          <w:color w:val="000000" w:themeColor="text1"/>
          <w:sz w:val="32"/>
          <w:highlight w:val="none"/>
          <w14:textFill>
            <w14:solidFill>
              <w14:schemeClr w14:val="tx1"/>
            </w14:solidFill>
          </w14:textFill>
        </w:rPr>
      </w:pPr>
      <w:r>
        <w:rPr>
          <w:rFonts w:hint="eastAsia" w:ascii="黑体" w:hAnsi="黑体" w:eastAsia="黑体" w:cs="方正小标宋_GBK"/>
          <w:b/>
          <w:color w:val="000000" w:themeColor="text1"/>
          <w:sz w:val="32"/>
          <w:highlight w:val="none"/>
          <w14:textFill>
            <w14:solidFill>
              <w14:schemeClr w14:val="tx1"/>
            </w14:solidFill>
          </w14:textFill>
        </w:rPr>
        <w:t xml:space="preserve">消防系统维保情况季评价表（满分：100分）     </w:t>
      </w:r>
    </w:p>
    <w:tbl>
      <w:tblPr>
        <w:tblStyle w:val="45"/>
        <w:tblpPr w:leftFromText="180" w:rightFromText="180" w:vertAnchor="text" w:horzAnchor="page" w:tblpX="1185" w:tblpY="255"/>
        <w:tblOverlap w:val="never"/>
        <w:tblW w:w="15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725"/>
        <w:gridCol w:w="7775"/>
        <w:gridCol w:w="3625"/>
        <w:gridCol w:w="1412"/>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7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b/>
                <w:bCs/>
                <w:color w:val="000000" w:themeColor="text1"/>
                <w:sz w:val="24"/>
                <w:szCs w:val="24"/>
                <w:highlight w:val="none"/>
                <w14:textFill>
                  <w14:solidFill>
                    <w14:schemeClr w14:val="tx1"/>
                  </w14:solidFill>
                </w14:textFill>
              </w:rPr>
            </w:pPr>
            <w:r>
              <w:rPr>
                <w:rFonts w:asciiTheme="majorEastAsia" w:hAnsiTheme="majorEastAsia" w:eastAsiaTheme="majorEastAsia"/>
                <w:b/>
                <w:bCs/>
                <w:color w:val="000000" w:themeColor="text1"/>
                <w:sz w:val="24"/>
                <w:szCs w:val="24"/>
                <w:highlight w:val="none"/>
                <w14:textFill>
                  <w14:solidFill>
                    <w14:schemeClr w14:val="tx1"/>
                  </w14:solidFill>
                </w14:textFill>
              </w:rPr>
              <w:t>序号</w:t>
            </w:r>
          </w:p>
        </w:tc>
        <w:tc>
          <w:tcPr>
            <w:tcW w:w="8500"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b/>
                <w:bCs/>
                <w:color w:val="000000" w:themeColor="text1"/>
                <w:sz w:val="24"/>
                <w:szCs w:val="24"/>
                <w:highlight w:val="none"/>
                <w14:textFill>
                  <w14:solidFill>
                    <w14:schemeClr w14:val="tx1"/>
                  </w14:solidFill>
                </w14:textFill>
              </w:rPr>
            </w:pPr>
            <w:r>
              <w:rPr>
                <w:rFonts w:asciiTheme="majorEastAsia" w:hAnsiTheme="majorEastAsia" w:eastAsiaTheme="majorEastAsia"/>
                <w:b/>
                <w:bCs/>
                <w:color w:val="000000" w:themeColor="text1"/>
                <w:sz w:val="24"/>
                <w:szCs w:val="24"/>
                <w:highlight w:val="none"/>
                <w14:textFill>
                  <w14:solidFill>
                    <w14:schemeClr w14:val="tx1"/>
                  </w14:solidFill>
                </w14:textFill>
              </w:rPr>
              <w:t>考核项目</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ind w:firstLine="105"/>
              <w:jc w:val="center"/>
              <w:rPr>
                <w:rFonts w:asciiTheme="majorEastAsia" w:hAnsiTheme="majorEastAsia" w:eastAsiaTheme="majorEastAsia"/>
                <w:b/>
                <w:bCs/>
                <w:color w:val="000000" w:themeColor="text1"/>
                <w:sz w:val="24"/>
                <w:szCs w:val="24"/>
                <w:highlight w:val="none"/>
                <w14:textFill>
                  <w14:solidFill>
                    <w14:schemeClr w14:val="tx1"/>
                  </w14:solidFill>
                </w14:textFill>
              </w:rPr>
            </w:pPr>
            <w:r>
              <w:rPr>
                <w:rFonts w:asciiTheme="majorEastAsia" w:hAnsiTheme="majorEastAsia" w:eastAsiaTheme="majorEastAsia"/>
                <w:b/>
                <w:bCs/>
                <w:color w:val="000000" w:themeColor="text1"/>
                <w:sz w:val="24"/>
                <w:szCs w:val="24"/>
                <w:highlight w:val="none"/>
                <w14:textFill>
                  <w14:solidFill>
                    <w14:schemeClr w14:val="tx1"/>
                  </w14:solidFill>
                </w14:textFill>
              </w:rPr>
              <w:t>考核标准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b/>
                <w:bCs/>
                <w:color w:val="000000" w:themeColor="text1"/>
                <w:sz w:val="24"/>
                <w:szCs w:val="24"/>
                <w:highlight w:val="none"/>
                <w14:textFill>
                  <w14:solidFill>
                    <w14:schemeClr w14:val="tx1"/>
                  </w14:solidFill>
                </w14:textFill>
              </w:rPr>
            </w:pPr>
            <w:r>
              <w:rPr>
                <w:rFonts w:asciiTheme="majorEastAsia" w:hAnsiTheme="majorEastAsia" w:eastAsiaTheme="majorEastAsia"/>
                <w:b/>
                <w:bCs/>
                <w:color w:val="000000" w:themeColor="text1"/>
                <w:sz w:val="24"/>
                <w:szCs w:val="24"/>
                <w:highlight w:val="none"/>
                <w14:textFill>
                  <w14:solidFill>
                    <w14:schemeClr w14:val="tx1"/>
                  </w14:solidFill>
                </w14:textFill>
              </w:rPr>
              <w:t>扣分情况</w:t>
            </w: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b/>
                <w:bCs/>
                <w:color w:val="000000" w:themeColor="text1"/>
                <w:sz w:val="24"/>
                <w:szCs w:val="24"/>
                <w:highlight w:val="none"/>
                <w14:textFill>
                  <w14:solidFill>
                    <w14:schemeClr w14:val="tx1"/>
                  </w14:solidFill>
                </w14:textFill>
              </w:rPr>
            </w:pPr>
            <w:r>
              <w:rPr>
                <w:rFonts w:asciiTheme="majorEastAsia" w:hAnsiTheme="majorEastAsia" w:eastAsiaTheme="majorEastAsia"/>
                <w:b/>
                <w:bCs/>
                <w:color w:val="000000" w:themeColor="text1"/>
                <w:sz w:val="24"/>
                <w:szCs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1</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w:t>
            </w:r>
          </w:p>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响应</w:t>
            </w:r>
          </w:p>
        </w:tc>
        <w:tc>
          <w:tcPr>
            <w:tcW w:w="7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维保响应时间要求：</w:t>
            </w:r>
          </w:p>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1、一般故障：维保人员接到报修通知后应于2小时内赶到现场维修。</w:t>
            </w:r>
          </w:p>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2、严重故障：维保人员接到报修通知后应于1小时内赶到现场维修。</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查看《消防系统维保情况记录表》，未按要求到达现场的，一般故障每次扣2分，严重故障每次扣3分。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2</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技术</w:t>
            </w:r>
          </w:p>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水平</w:t>
            </w:r>
          </w:p>
        </w:tc>
        <w:tc>
          <w:tcPr>
            <w:tcW w:w="7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故障修复时间要求：</w:t>
            </w:r>
          </w:p>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1、一般故障：维保人员需在到达现场后 2 小时内解决故障并恢复设备正常运行。</w:t>
            </w:r>
          </w:p>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2、严重故障：维保人员需在到达现场后24小时内解决故障并恢复设备正常运行。</w:t>
            </w:r>
          </w:p>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 xml:space="preserve">    备注：备件供应消耗时间、人为损坏等原因的除外。</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查看《消防系统维保情况记录表》，未按要求恢复设备正常运行的，一般故障每次扣2分，严重故障每次扣3分。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6" w:hRule="atLeast"/>
        </w:trPr>
        <w:tc>
          <w:tcPr>
            <w:tcW w:w="71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3</w:t>
            </w:r>
          </w:p>
        </w:tc>
        <w:tc>
          <w:tcPr>
            <w:tcW w:w="725"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计划</w:t>
            </w:r>
          </w:p>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执行</w:t>
            </w:r>
          </w:p>
        </w:tc>
        <w:tc>
          <w:tcPr>
            <w:tcW w:w="7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甲方每月底下达下月维保计划，乙方必须严格按计划执行，并认真填写当月维保实施情况，甲方将对当月计划的执行情况、维保质量进行考核。备注：因特殊情况，当月个别对象无法进行维保的，需由甲方确认。</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结合当季度月计划的执行情况，未按计划实施维保的，每项扣3分，维保质量不符合要求的，每项扣3分。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713"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725"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7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在考核周期内将不定期对维保质量进行的抽查、考核。</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查看《消防系统维保季度抽查情况表》，发现不符合要求的，每项扣3分。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7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4</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文档</w:t>
            </w:r>
          </w:p>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资料</w:t>
            </w:r>
          </w:p>
        </w:tc>
        <w:tc>
          <w:tcPr>
            <w:tcW w:w="7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每月30日前（节假日顺延）将本月的维保记录（含设备故障情况、故障原因、处理方法、处理结果、处理完成时间和维保人员等信息）、月维保报告（含消防系统的运行情况、维保建议等）移交给设备管理部技术员。</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未按照要求做好消防系统的维保记录、月维保报告的，每次扣3分；未按时间节点提交的，每次扣3分。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7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5</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安全维保</w:t>
            </w:r>
          </w:p>
        </w:tc>
        <w:tc>
          <w:tcPr>
            <w:tcW w:w="77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维保人员应遵行《安全、环保管理协议》及其他安全管理的相关规定。</w:t>
            </w:r>
          </w:p>
        </w:tc>
        <w:tc>
          <w:tcPr>
            <w:tcW w:w="36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未按要求执行到位，每次扣3分。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left"/>
              <w:rPr>
                <w:rFonts w:asciiTheme="majorEastAsia" w:hAnsiTheme="majorEastAsia" w:eastAsiaTheme="majorEastAsia"/>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2838"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t>最终得分</w:t>
            </w:r>
          </w:p>
        </w:tc>
        <w:tc>
          <w:tcPr>
            <w:tcW w:w="14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jc w:val="center"/>
              <w:rPr>
                <w:rFonts w:asciiTheme="majorEastAsia" w:hAnsiTheme="majorEastAsia" w:eastAsiaTheme="majorEastAsia"/>
                <w:color w:val="000000" w:themeColor="text1"/>
                <w:sz w:val="18"/>
                <w:szCs w:val="1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napToGrid w:val="0"/>
              <w:rPr>
                <w:rFonts w:asciiTheme="majorEastAsia" w:hAnsiTheme="majorEastAsia" w:eastAsiaTheme="majorEastAsia"/>
                <w:color w:val="000000" w:themeColor="text1"/>
                <w:sz w:val="18"/>
                <w:szCs w:val="18"/>
                <w:highlight w:val="none"/>
                <w14:textFill>
                  <w14:solidFill>
                    <w14:schemeClr w14:val="tx1"/>
                  </w14:solidFill>
                </w14:textFill>
              </w:rPr>
            </w:pPr>
          </w:p>
        </w:tc>
      </w:tr>
    </w:tbl>
    <w:p>
      <w:pPr>
        <w:wordWrap w:val="0"/>
        <w:snapToGrid w:val="0"/>
        <w:spacing w:line="360" w:lineRule="exact"/>
        <w:rPr>
          <w:rFonts w:asciiTheme="majorEastAsia" w:hAnsiTheme="majorEastAsia" w:eastAsiaTheme="majorEastAsia"/>
          <w:bCs/>
          <w:color w:val="000000" w:themeColor="text1"/>
          <w:sz w:val="24"/>
          <w:szCs w:val="24"/>
          <w:highlight w:val="none"/>
          <w14:textFill>
            <w14:solidFill>
              <w14:schemeClr w14:val="tx1"/>
            </w14:solidFill>
          </w14:textFill>
        </w:rPr>
      </w:pPr>
      <w:r>
        <w:rPr>
          <w:rFonts w:asciiTheme="majorEastAsia" w:hAnsiTheme="majorEastAsia" w:eastAsiaTheme="majorEastAsia"/>
          <w:bCs/>
          <w:color w:val="000000" w:themeColor="text1"/>
          <w:sz w:val="24"/>
          <w:szCs w:val="24"/>
          <w:highlight w:val="none"/>
          <w14:textFill>
            <w14:solidFill>
              <w14:schemeClr w14:val="tx1"/>
            </w14:solidFill>
          </w14:textFill>
        </w:rPr>
        <w:t>备注：考核人员包含甲方相关部门人员。</w:t>
      </w:r>
    </w:p>
    <w:p>
      <w:pPr>
        <w:wordWrap w:val="0"/>
        <w:snapToGrid w:val="0"/>
        <w:spacing w:line="360" w:lineRule="exact"/>
        <w:rPr>
          <w:rFonts w:asciiTheme="majorEastAsia" w:hAnsiTheme="majorEastAsia" w:eastAsiaTheme="majorEastAsia"/>
          <w:bCs/>
          <w:color w:val="000000" w:themeColor="text1"/>
          <w:sz w:val="24"/>
          <w:szCs w:val="24"/>
          <w:highlight w:val="none"/>
          <w14:textFill>
            <w14:solidFill>
              <w14:schemeClr w14:val="tx1"/>
            </w14:solidFill>
          </w14:textFill>
        </w:rPr>
      </w:pPr>
    </w:p>
    <w:p>
      <w:pPr>
        <w:wordWrap w:val="0"/>
        <w:snapToGrid w:val="0"/>
        <w:spacing w:line="360" w:lineRule="exact"/>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Cs/>
          <w:color w:val="000000" w:themeColor="text1"/>
          <w:sz w:val="24"/>
          <w:szCs w:val="24"/>
          <w:highlight w:val="none"/>
          <w14:textFill>
            <w14:solidFill>
              <w14:schemeClr w14:val="tx1"/>
            </w14:solidFill>
          </w14:textFill>
        </w:rPr>
        <w:t xml:space="preserve">考 核 人 员：    考核时间：    年    月    日 </w:t>
      </w:r>
    </w:p>
    <w:p>
      <w:pPr>
        <w:pStyle w:val="2"/>
        <w:ind w:firstLine="0" w:firstLineChars="0"/>
        <w:rPr>
          <w:rFonts w:asciiTheme="majorEastAsia" w:hAnsiTheme="majorEastAsia" w:eastAsiaTheme="majorEastAsia"/>
          <w:bCs/>
          <w:color w:val="000000" w:themeColor="text1"/>
          <w:highlight w:val="none"/>
          <w14:textFill>
            <w14:solidFill>
              <w14:schemeClr w14:val="tx1"/>
            </w14:solidFill>
          </w14:textFill>
        </w:rPr>
        <w:sectPr>
          <w:pgSz w:w="16838" w:h="11906" w:orient="landscape"/>
          <w:pgMar w:top="1134" w:right="1134" w:bottom="1134" w:left="1134" w:header="851" w:footer="680" w:gutter="0"/>
          <w:pgNumType w:fmt="numberInDash"/>
          <w:cols w:space="720" w:num="1"/>
          <w:docGrid w:linePitch="290" w:charSpace="0"/>
        </w:sectPr>
      </w:pPr>
    </w:p>
    <w:p>
      <w:pPr>
        <w:pStyle w:val="2"/>
        <w:ind w:firstLine="0" w:firstLineChars="0"/>
        <w:rPr>
          <w:rFonts w:asciiTheme="majorEastAsia" w:hAnsiTheme="majorEastAsia" w:eastAsiaTheme="majorEastAsia"/>
          <w:bCs/>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第五章  评标方法与评标标准</w:t>
      </w:r>
    </w:p>
    <w:p>
      <w:pPr>
        <w:rPr>
          <w:rFonts w:asciiTheme="majorEastAsia" w:hAnsiTheme="majorEastAsia" w:eastAsiaTheme="majorEastAsia"/>
          <w:color w:val="000000" w:themeColor="text1"/>
          <w:highlight w:val="none"/>
          <w14:textFill>
            <w14:solidFill>
              <w14:schemeClr w14:val="tx1"/>
            </w14:solidFill>
          </w14:textFill>
        </w:rPr>
      </w:pP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一、评标方法与定标原则</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二、</w:t>
      </w:r>
      <w:r>
        <w:rPr>
          <w:rFonts w:hint="eastAsia" w:asciiTheme="majorEastAsia" w:hAnsiTheme="majorEastAsia" w:eastAsiaTheme="majorEastAsia"/>
          <w:b/>
          <w:color w:val="000000" w:themeColor="text1"/>
          <w:sz w:val="24"/>
          <w:szCs w:val="24"/>
          <w:highlight w:val="none"/>
          <w14:textFill>
            <w14:solidFill>
              <w14:schemeClr w14:val="tx1"/>
            </w14:solidFill>
          </w14:textFill>
        </w:rPr>
        <w:t>政府采购政策功能落实</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6%的扣除，用扣除后的价格参与评审。参加政府采购活动的中小企业如实提供《中小企业声明函》。</w:t>
      </w: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三、评标标准</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（一）评委将以招标文件为评标依据，对投标人的投标报价、技术文件及商务文件等方面按百分制打分。</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（二）成交标准：评标小组将根据总得分高低排列各投标人次序（评审得分相同的，按照报价由低到高的顺序推荐。评审得分且报价相同的，按照服务方案优劣顺序推荐），并依照次序确定成交供应商。</w:t>
      </w:r>
    </w:p>
    <w:p>
      <w:pPr>
        <w:tabs>
          <w:tab w:val="left" w:pos="900"/>
        </w:tabs>
        <w:spacing w:line="480" w:lineRule="exact"/>
        <w:ind w:firstLine="354" w:firstLineChars="147"/>
        <w:rPr>
          <w:rFonts w:cs="Courier New" w:asciiTheme="majorEastAsia" w:hAnsiTheme="majorEastAsia" w:eastAsiaTheme="majorEastAsia"/>
          <w:b/>
          <w:color w:val="000000" w:themeColor="text1"/>
          <w:sz w:val="24"/>
          <w:szCs w:val="24"/>
          <w:highlight w:val="none"/>
          <w14:textFill>
            <w14:solidFill>
              <w14:schemeClr w14:val="tx1"/>
            </w14:solidFill>
          </w14:textFill>
        </w:rPr>
      </w:pPr>
      <w:r>
        <w:rPr>
          <w:rFonts w:hint="eastAsia" w:cs="Courier New" w:asciiTheme="majorEastAsia" w:hAnsiTheme="majorEastAsia" w:eastAsiaTheme="majorEastAsia"/>
          <w:b/>
          <w:color w:val="000000" w:themeColor="text1"/>
          <w:sz w:val="24"/>
          <w:szCs w:val="24"/>
          <w:highlight w:val="none"/>
          <w14:textFill>
            <w14:solidFill>
              <w14:schemeClr w14:val="tx1"/>
            </w14:solidFill>
          </w14:textFill>
        </w:rPr>
        <w:t>（三）计分标准：（按四舍五入取至小数点后二位）</w:t>
      </w:r>
    </w:p>
    <w:p>
      <w:pPr>
        <w:tabs>
          <w:tab w:val="left" w:pos="900"/>
        </w:tabs>
        <w:spacing w:line="480" w:lineRule="exact"/>
        <w:ind w:firstLine="354" w:firstLineChars="147"/>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（四）</w:t>
      </w: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本项目评分总分值为100分。</w:t>
      </w: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4" w:firstLineChars="147"/>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（五）评分细则</w:t>
      </w:r>
    </w:p>
    <w:tbl>
      <w:tblPr>
        <w:tblStyle w:val="45"/>
        <w:tblpPr w:leftFromText="180" w:rightFromText="180" w:vertAnchor="text" w:horzAnchor="margin" w:tblpY="188"/>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781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评分因素</w:t>
            </w:r>
          </w:p>
        </w:tc>
        <w:tc>
          <w:tcPr>
            <w:tcW w:w="7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firstLine="240"/>
              <w:jc w:val="center"/>
              <w:textAlignment w:val="auto"/>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说明</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p>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价格部分</w:t>
            </w:r>
          </w:p>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（20分）</w:t>
            </w: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0" w:firstLineChars="200"/>
              <w:jc w:val="left"/>
              <w:textAlignment w:val="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以满足招标文件要求且投标价格最低的投标报价为评标基准价，其价格分为满分20分，其他投标人的价格分按照下列公式计算：投标报价得分=（评标基准价/投标报价）×20%×100。</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1" w:hRule="atLeast"/>
        </w:trPr>
        <w:tc>
          <w:tcPr>
            <w:tcW w:w="1369" w:type="dxa"/>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r>
              <w:rPr>
                <w:rFonts w:asciiTheme="majorEastAsia" w:hAnsiTheme="majorEastAsia" w:eastAsiaTheme="majorEastAsia"/>
                <w:b/>
                <w:color w:val="000000" w:themeColor="text1"/>
                <w:highlight w:val="none"/>
                <w14:textFill>
                  <w14:solidFill>
                    <w14:schemeClr w14:val="tx1"/>
                  </w14:solidFill>
                </w14:textFill>
              </w:rPr>
              <w:t>技术部分</w:t>
            </w:r>
          </w:p>
          <w:p>
            <w:pPr>
              <w:pStyle w:val="2"/>
              <w:keepNext w:val="0"/>
              <w:keepLines w:val="0"/>
              <w:pageBreakBefore w:val="0"/>
              <w:kinsoku/>
              <w:wordWrap/>
              <w:overflowPunct/>
              <w:topLinePunct w:val="0"/>
              <w:bidi w:val="0"/>
              <w:snapToGrid/>
              <w:spacing w:line="400" w:lineRule="exact"/>
              <w:ind w:firstLine="211" w:firstLineChars="100"/>
              <w:textAlignment w:val="auto"/>
              <w:rPr>
                <w:rFonts w:asciiTheme="majorEastAsia" w:hAnsiTheme="majorEastAsia" w:eastAsiaTheme="majorEastAsia"/>
                <w:b/>
                <w:color w:val="000000" w:themeColor="text1"/>
                <w:szCs w:val="21"/>
                <w:highlight w:val="none"/>
                <w14:textFill>
                  <w14:solidFill>
                    <w14:schemeClr w14:val="tx1"/>
                  </w14:solidFill>
                </w14:textFill>
              </w:rPr>
            </w:pPr>
            <w:r>
              <w:rPr>
                <w:rFonts w:hint="eastAsia" w:asciiTheme="majorEastAsia" w:hAnsiTheme="majorEastAsia" w:eastAsiaTheme="majorEastAsia"/>
                <w:b/>
                <w:color w:val="000000" w:themeColor="text1"/>
                <w:szCs w:val="21"/>
                <w:highlight w:val="none"/>
                <w14:textFill>
                  <w14:solidFill>
                    <w14:schemeClr w14:val="tx1"/>
                  </w14:solidFill>
                </w14:textFill>
              </w:rPr>
              <w:t>（60分）</w:t>
            </w: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2" w:firstLineChars="200"/>
              <w:jc w:val="left"/>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日常维保方案：</w:t>
            </w:r>
            <w:r>
              <w:rPr>
                <w:rFonts w:hint="eastAsia" w:asciiTheme="majorEastAsia" w:hAnsiTheme="majorEastAsia" w:eastAsiaTheme="majorEastAsia"/>
                <w:color w:val="000000" w:themeColor="text1"/>
                <w:sz w:val="24"/>
                <w:highlight w:val="none"/>
                <w14:textFill>
                  <w14:solidFill>
                    <w14:schemeClr w14:val="tx1"/>
                  </w14:solidFill>
                </w14:textFill>
              </w:rPr>
              <w:t>根据投标人提供的日常维保方案情况，从方案是否详实、有针对性等方面进行综合评审，得分区间为12-15分,此条缺项不得分。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6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textAlignment w:val="auto"/>
              <w:rPr>
                <w:rFonts w:asciiTheme="majorEastAsia" w:hAnsiTheme="majorEastAsia" w:eastAsiaTheme="majorEastAsia"/>
                <w:color w:val="000000" w:themeColor="text1"/>
                <w:sz w:val="24"/>
                <w:szCs w:val="24"/>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2" w:firstLineChars="200"/>
              <w:jc w:val="left"/>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检测服务方案：</w:t>
            </w:r>
            <w:r>
              <w:rPr>
                <w:rFonts w:hint="eastAsia" w:asciiTheme="majorEastAsia" w:hAnsiTheme="majorEastAsia" w:eastAsiaTheme="majorEastAsia"/>
                <w:color w:val="000000" w:themeColor="text1"/>
                <w:sz w:val="24"/>
                <w:highlight w:val="none"/>
                <w14:textFill>
                  <w14:solidFill>
                    <w14:schemeClr w14:val="tx1"/>
                  </w14:solidFill>
                </w14:textFill>
              </w:rPr>
              <w:t>根据投标人提供的消防设施设备年度、季度、月度检查检测方案是否完整、合理等方面进行综合评审，得分区间为12-15分,此条缺项不得分。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1" w:hRule="atLeast"/>
        </w:trPr>
        <w:tc>
          <w:tcPr>
            <w:tcW w:w="136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textAlignment w:val="auto"/>
              <w:rPr>
                <w:rFonts w:asciiTheme="majorEastAsia" w:hAnsiTheme="majorEastAsia" w:eastAsiaTheme="majorEastAsia"/>
                <w:color w:val="000000" w:themeColor="text1"/>
                <w:sz w:val="24"/>
                <w:szCs w:val="24"/>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2" w:firstLineChars="200"/>
              <w:jc w:val="left"/>
              <w:textAlignment w:val="auto"/>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故障和问题解决流程、应急处理流程：</w:t>
            </w:r>
          </w:p>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0" w:firstLineChars="200"/>
              <w:jc w:val="left"/>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根据投标人提供的消防设施设备故障和问题解决流程、应急处理流程等方面进行综合评审，得分区间为12-15分,此条缺项不得分。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6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textAlignment w:val="auto"/>
              <w:rPr>
                <w:rFonts w:asciiTheme="majorEastAsia" w:hAnsiTheme="majorEastAsia" w:eastAsiaTheme="majorEastAsia"/>
                <w:color w:val="000000" w:themeColor="text1"/>
                <w:sz w:val="24"/>
                <w:szCs w:val="24"/>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2" w:firstLineChars="200"/>
              <w:jc w:val="left"/>
              <w:textAlignment w:val="auto"/>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项目服务人员资质证书情况：</w:t>
            </w:r>
          </w:p>
          <w:p>
            <w:pPr>
              <w:pStyle w:val="2"/>
              <w:keepNext w:val="0"/>
              <w:keepLines w:val="0"/>
              <w:pageBreakBefore w:val="0"/>
              <w:kinsoku/>
              <w:wordWrap/>
              <w:overflowPunct/>
              <w:topLinePunct w:val="0"/>
              <w:bidi w:val="0"/>
              <w:snapToGrid/>
              <w:spacing w:line="400" w:lineRule="exact"/>
              <w:ind w:firstLine="480"/>
              <w:textAlignment w:val="auto"/>
              <w:rPr>
                <w:rFonts w:asciiTheme="majorEastAsia" w:hAnsiTheme="majorEastAsia" w:eastAsiaTheme="majorEastAsia"/>
                <w:color w:val="000000" w:themeColor="text1"/>
                <w:sz w:val="24"/>
                <w:szCs w:val="21"/>
                <w:highlight w:val="none"/>
                <w14:textFill>
                  <w14:solidFill>
                    <w14:schemeClr w14:val="tx1"/>
                  </w14:solidFill>
                </w14:textFill>
              </w:rPr>
            </w:pPr>
            <w:r>
              <w:rPr>
                <w:rFonts w:hint="eastAsia" w:asciiTheme="majorEastAsia" w:hAnsiTheme="majorEastAsia" w:eastAsiaTheme="majorEastAsia"/>
                <w:color w:val="000000" w:themeColor="text1"/>
                <w:sz w:val="24"/>
                <w:szCs w:val="21"/>
                <w:highlight w:val="none"/>
                <w14:textFill>
                  <w14:solidFill>
                    <w14:schemeClr w14:val="tx1"/>
                  </w14:solidFill>
                </w14:textFill>
              </w:rPr>
              <w:t>项目负责人具有二级注册消防工程师证书，得2分；一级注册消防工程师证书，得4分，最高4分。</w:t>
            </w:r>
          </w:p>
          <w:p>
            <w:pPr>
              <w:pStyle w:val="2"/>
              <w:keepNext w:val="0"/>
              <w:keepLines w:val="0"/>
              <w:pageBreakBefore w:val="0"/>
              <w:kinsoku/>
              <w:wordWrap/>
              <w:overflowPunct/>
              <w:topLinePunct w:val="0"/>
              <w:bidi w:val="0"/>
              <w:snapToGrid/>
              <w:spacing w:line="400" w:lineRule="exact"/>
              <w:ind w:firstLine="480"/>
              <w:textAlignment w:val="auto"/>
              <w:rPr>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sz w:val="24"/>
                <w:szCs w:val="21"/>
                <w:highlight w:val="none"/>
                <w14:textFill>
                  <w14:solidFill>
                    <w14:schemeClr w14:val="tx1"/>
                  </w14:solidFill>
                </w14:textFill>
              </w:rPr>
              <w:t xml:space="preserve">驻场人员（除项目负责人外）具有建构筑物消防员中级（四级）及以上证书或消防设施操作员中级（四级）及以上证书，有一个得2分，最高6分；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6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textAlignment w:val="auto"/>
              <w:rPr>
                <w:rFonts w:asciiTheme="majorEastAsia" w:hAnsiTheme="majorEastAsia" w:eastAsiaTheme="majorEastAsia"/>
                <w:color w:val="000000" w:themeColor="text1"/>
                <w:sz w:val="24"/>
                <w:szCs w:val="24"/>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2" w:firstLineChars="200"/>
              <w:jc w:val="left"/>
              <w:textAlignment w:val="auto"/>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设备配置</w:t>
            </w:r>
          </w:p>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0" w:firstLineChars="200"/>
              <w:jc w:val="left"/>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根据投标人提供的维保用设备、工具、仪器配备的完整性、先进性进行综合评价，满足用户需求得</w:t>
            </w:r>
            <w:r>
              <w:rPr>
                <w:rFonts w:asciiTheme="majorEastAsia" w:hAnsiTheme="majorEastAsia" w:eastAsiaTheme="majorEastAsia"/>
                <w:color w:val="000000" w:themeColor="text1"/>
                <w:sz w:val="24"/>
                <w:highlight w:val="none"/>
                <w14:textFill>
                  <w14:solidFill>
                    <w14:schemeClr w14:val="tx1"/>
                  </w14:solidFill>
                </w14:textFill>
              </w:rPr>
              <w:t>5分；</w:t>
            </w:r>
            <w:r>
              <w:rPr>
                <w:rFonts w:hint="eastAsia" w:asciiTheme="majorEastAsia" w:hAnsiTheme="majorEastAsia" w:eastAsiaTheme="majorEastAsia"/>
                <w:color w:val="000000" w:themeColor="text1"/>
                <w:sz w:val="24"/>
                <w:highlight w:val="none"/>
                <w14:textFill>
                  <w14:solidFill>
                    <w14:schemeClr w14:val="tx1"/>
                  </w14:solidFill>
                </w14:textFill>
              </w:rPr>
              <w:t>每有一处不合理、不可行，扣</w:t>
            </w: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分；此条缺项不得分。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69" w:type="dxa"/>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p>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商务部分</w:t>
            </w:r>
          </w:p>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（20分）</w:t>
            </w: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0" w:firstLineChars="200"/>
              <w:jc w:val="left"/>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投标人提供有效期内“质量管理体系认证”、“环境管理体系认证”、“职业健康与安全管理体系认证”证书的，每项1分，最高得3分。（按原件计分）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6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0" w:firstLineChars="200"/>
              <w:jc w:val="left"/>
              <w:textAlignment w:val="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根据响应单位自2018年6月1日以来从</w:t>
            </w:r>
            <w:bookmarkStart w:id="196" w:name="_GoBack"/>
            <w:bookmarkEnd w:id="196"/>
            <w:r>
              <w:rPr>
                <w:rFonts w:hint="eastAsia" w:asciiTheme="majorEastAsia" w:hAnsiTheme="majorEastAsia" w:eastAsiaTheme="majorEastAsia"/>
                <w:color w:val="000000" w:themeColor="text1"/>
                <w:sz w:val="24"/>
                <w:highlight w:val="none"/>
                <w14:textFill>
                  <w14:solidFill>
                    <w14:schemeClr w14:val="tx1"/>
                  </w14:solidFill>
                </w14:textFill>
              </w:rPr>
              <w:t>事消防设施维护保养服务的业绩评定，须提供服务期超过12个月的合同，每提供一份业绩得2分，最高12分。（提供复印件，原件带至开标现场核查，未提供原件的不得分）。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6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heme="majorEastAsia" w:hAnsiTheme="majorEastAsia" w:eastAsiaTheme="majorEastAsia"/>
                <w:b/>
                <w:color w:val="000000" w:themeColor="text1"/>
                <w:highlight w:val="none"/>
                <w14:textFill>
                  <w14:solidFill>
                    <w14:schemeClr w14:val="tx1"/>
                  </w14:solidFill>
                </w14:textFill>
              </w:rPr>
            </w:pPr>
          </w:p>
        </w:tc>
        <w:tc>
          <w:tcPr>
            <w:tcW w:w="7811"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ind w:firstLine="480" w:firstLineChars="200"/>
              <w:textAlignment w:val="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对供应商针对本项目的优惠承诺或合理化建议内容，经评审委员会共同认可的具有实质性意义的内容，进行综合评分，每有一项得1分，最高得5分。若此条缺项不得分。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40"/>
                <w:tab w:val="left" w:pos="2880"/>
                <w:tab w:val="left" w:pos="3600"/>
                <w:tab w:val="left" w:pos="4320"/>
                <w:tab w:val="center" w:pos="4433"/>
              </w:tabs>
              <w:kinsoku/>
              <w:wordWrap/>
              <w:overflowPunct/>
              <w:topLinePunct w:val="0"/>
              <w:autoSpaceDE w:val="0"/>
              <w:autoSpaceDN w:val="0"/>
              <w:bidi w:val="0"/>
              <w:adjustRightInd w:val="0"/>
              <w:snapToGrid/>
              <w:spacing w:line="400" w:lineRule="exact"/>
              <w:jc w:val="center"/>
              <w:textAlignment w:val="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w:t>
            </w:r>
          </w:p>
        </w:tc>
      </w:tr>
    </w:tbl>
    <w:p>
      <w:pPr>
        <w:pStyle w:val="2"/>
        <w:keepNext w:val="0"/>
        <w:keepLines w:val="0"/>
        <w:pageBreakBefore w:val="0"/>
        <w:kinsoku/>
        <w:wordWrap/>
        <w:overflowPunct/>
        <w:topLinePunct w:val="0"/>
        <w:bidi w:val="0"/>
        <w:snapToGrid/>
        <w:spacing w:line="400" w:lineRule="exact"/>
        <w:textAlignment w:val="auto"/>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第六章  投标</w:t>
      </w:r>
      <w:bookmarkEnd w:id="179"/>
      <w:bookmarkEnd w:id="180"/>
      <w:bookmarkEnd w:id="181"/>
      <w:r>
        <w:rPr>
          <w:rFonts w:hint="eastAsia" w:asciiTheme="majorEastAsia" w:hAnsiTheme="majorEastAsia" w:eastAsiaTheme="majorEastAsia"/>
          <w:b/>
          <w:color w:val="000000" w:themeColor="text1"/>
          <w:sz w:val="44"/>
          <w:szCs w:val="44"/>
          <w:highlight w:val="none"/>
          <w14:textFill>
            <w14:solidFill>
              <w14:schemeClr w14:val="tx1"/>
            </w14:solidFill>
          </w14:textFill>
        </w:rPr>
        <w:t>文件格式</w:t>
      </w:r>
    </w:p>
    <w:p>
      <w:pPr>
        <w:jc w:val="center"/>
        <w:rPr>
          <w:rFonts w:asciiTheme="majorEastAsia" w:hAnsiTheme="majorEastAsia" w:eastAsiaTheme="majorEastAsia"/>
          <w:b/>
          <w:color w:val="000000" w:themeColor="text1"/>
          <w:sz w:val="72"/>
          <w:highlight w:val="none"/>
          <w14:textFill>
            <w14:solidFill>
              <w14:schemeClr w14:val="tx1"/>
            </w14:solidFill>
          </w14:textFill>
        </w:rPr>
      </w:pPr>
      <w:bookmarkStart w:id="182" w:name="_Hlt26955039"/>
      <w:bookmarkEnd w:id="182"/>
      <w:bookmarkStart w:id="183" w:name="_Hlt26671244"/>
      <w:bookmarkEnd w:id="183"/>
      <w:bookmarkStart w:id="184" w:name="_Toc120614282"/>
      <w:bookmarkStart w:id="185" w:name="_Toc49090576"/>
      <w:bookmarkStart w:id="186" w:name="_Toc26554094"/>
    </w:p>
    <w:p>
      <w:pPr>
        <w:jc w:val="center"/>
        <w:rPr>
          <w:rFonts w:asciiTheme="majorEastAsia" w:hAnsiTheme="majorEastAsia" w:eastAsiaTheme="majorEastAsia"/>
          <w:b/>
          <w:color w:val="000000" w:themeColor="text1"/>
          <w:sz w:val="72"/>
          <w:highlight w:val="none"/>
          <w14:textFill>
            <w14:solidFill>
              <w14:schemeClr w14:val="tx1"/>
            </w14:solidFill>
          </w14:textFill>
        </w:rPr>
      </w:pPr>
      <w:r>
        <w:rPr>
          <w:rFonts w:hint="eastAsia" w:asciiTheme="majorEastAsia" w:hAnsiTheme="majorEastAsia" w:eastAsiaTheme="majorEastAsia"/>
          <w:b/>
          <w:color w:val="000000" w:themeColor="text1"/>
          <w:sz w:val="72"/>
          <w:highlight w:val="none"/>
          <w14:textFill>
            <w14:solidFill>
              <w14:schemeClr w14:val="tx1"/>
            </w14:solidFill>
          </w14:textFill>
        </w:rPr>
        <w:t>投  标  文  件</w:t>
      </w:r>
    </w:p>
    <w:p>
      <w:pPr>
        <w:jc w:val="center"/>
        <w:rPr>
          <w:rFonts w:asciiTheme="majorEastAsia" w:hAnsiTheme="majorEastAsia" w:eastAsiaTheme="majorEastAsia"/>
          <w:b/>
          <w:color w:val="000000" w:themeColor="text1"/>
          <w:sz w:val="72"/>
          <w:highlight w:val="non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（正或副本）</w:t>
      </w:r>
    </w:p>
    <w:p>
      <w:pPr>
        <w:jc w:val="center"/>
        <w:rPr>
          <w:rFonts w:asciiTheme="majorEastAsia" w:hAnsiTheme="majorEastAsia" w:eastAsiaTheme="majorEastAsia"/>
          <w:b/>
          <w:color w:val="000000" w:themeColor="text1"/>
          <w:sz w:val="72"/>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ind w:firstLine="1084" w:firstLineChars="300"/>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项 目 名 称：</w:t>
      </w:r>
    </w:p>
    <w:p>
      <w:pPr>
        <w:pStyle w:val="2"/>
        <w:rPr>
          <w:rFonts w:asciiTheme="majorEastAsia" w:hAnsiTheme="majorEastAsia" w:eastAsiaTheme="majorEastAsia"/>
          <w:color w:val="000000" w:themeColor="text1"/>
          <w:highlight w:val="none"/>
          <w14:textFill>
            <w14:solidFill>
              <w14:schemeClr w14:val="tx1"/>
            </w14:solidFill>
          </w14:textFill>
        </w:rPr>
      </w:pPr>
    </w:p>
    <w:p>
      <w:pPr>
        <w:ind w:firstLine="1084" w:firstLineChars="300"/>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招 标 编 号：</w:t>
      </w:r>
    </w:p>
    <w:p>
      <w:pPr>
        <w:pStyle w:val="2"/>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 xml:space="preserve">      投标人名称 ：</w:t>
      </w:r>
      <w:r>
        <w:rPr>
          <w:rFonts w:hint="eastAsia" w:asciiTheme="majorEastAsia" w:hAnsiTheme="majorEastAsia" w:eastAsiaTheme="majorEastAsia"/>
          <w:b/>
          <w:color w:val="000000" w:themeColor="text1"/>
          <w:sz w:val="36"/>
          <w:highlight w:val="none"/>
          <w:u w:val="single"/>
          <w14:textFill>
            <w14:solidFill>
              <w14:schemeClr w14:val="tx1"/>
            </w14:solidFill>
          </w14:textFill>
        </w:rPr>
        <w:t xml:space="preserve">              （盖公章） </w:t>
      </w:r>
    </w:p>
    <w:p>
      <w:pPr>
        <w:pStyle w:val="2"/>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b/>
          <w:color w:val="000000" w:themeColor="text1"/>
          <w:sz w:val="36"/>
          <w:highlight w:val="non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 xml:space="preserve">      日      期 ：</w:t>
      </w:r>
    </w:p>
    <w:p>
      <w:pPr>
        <w:spacing w:line="440" w:lineRule="exact"/>
        <w:jc w:val="center"/>
        <w:rPr>
          <w:rFonts w:asciiTheme="majorEastAsia" w:hAnsiTheme="majorEastAsia" w:eastAsiaTheme="majorEastAsia"/>
          <w:b/>
          <w:bCs/>
          <w:color w:val="000000" w:themeColor="text1"/>
          <w:sz w:val="32"/>
          <w:szCs w:val="32"/>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评分索引表</w:t>
      </w:r>
    </w:p>
    <w:p>
      <w:pPr>
        <w:pStyle w:val="24"/>
        <w:jc w:val="center"/>
        <w:rPr>
          <w:rFonts w:asciiTheme="majorEastAsia" w:hAnsiTheme="majorEastAsia" w:eastAsiaTheme="majorEastAsia"/>
          <w:b/>
          <w:color w:val="000000" w:themeColor="text1"/>
          <w:sz w:val="36"/>
          <w:szCs w:val="36"/>
          <w:highlight w:val="none"/>
          <w14:textFill>
            <w14:solidFill>
              <w14:schemeClr w14:val="tx1"/>
            </w14:solidFill>
          </w14:textFill>
        </w:rPr>
      </w:pPr>
    </w:p>
    <w:p>
      <w:pPr>
        <w:spacing w:line="44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为了方便专家评审投标文件，针对招标文件评分细则要求，投标人应制作标书索引，</w:t>
      </w:r>
    </w:p>
    <w:p>
      <w:pPr>
        <w:spacing w:line="440" w:lineRule="exact"/>
        <w:rPr>
          <w:rFonts w:asciiTheme="majorEastAsia" w:hAnsiTheme="majorEastAsia" w:eastAsiaTheme="majorEastAsia"/>
          <w:b/>
          <w:bCs/>
          <w:color w:val="000000" w:themeColor="text1"/>
          <w:sz w:val="30"/>
          <w:szCs w:val="30"/>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置于投标文件首页，格式如下</w:t>
      </w:r>
      <w:r>
        <w:rPr>
          <w:rFonts w:hint="eastAsia" w:asciiTheme="majorEastAsia" w:hAnsiTheme="majorEastAsia" w:eastAsiaTheme="majorEastAsia"/>
          <w:b/>
          <w:color w:val="000000" w:themeColor="text1"/>
          <w:sz w:val="30"/>
          <w:szCs w:val="30"/>
          <w:highlight w:val="none"/>
          <w14:textFill>
            <w14:solidFill>
              <w14:schemeClr w14:val="tx1"/>
            </w14:solidFill>
          </w14:textFill>
        </w:rPr>
        <w:t>：</w:t>
      </w:r>
    </w:p>
    <w:p>
      <w:pPr>
        <w:spacing w:line="440" w:lineRule="exact"/>
        <w:jc w:val="center"/>
        <w:rPr>
          <w:rFonts w:asciiTheme="majorEastAsia" w:hAnsiTheme="majorEastAsia" w:eastAsiaTheme="majorEastAsia"/>
          <w:b/>
          <w:color w:val="000000" w:themeColor="text1"/>
          <w:sz w:val="30"/>
          <w:szCs w:val="30"/>
          <w:highlight w:val="none"/>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pPr>
              <w:pStyle w:val="73"/>
              <w:shd w:val="clear" w:color="auto" w:fill="FFFFFF"/>
              <w:spacing w:line="265" w:lineRule="atLeast"/>
              <w:ind w:left="420"/>
              <w:jc w:val="center"/>
              <w:rPr>
                <w:rFonts w:asciiTheme="majorEastAsia" w:hAnsiTheme="majorEastAsia" w:eastAsiaTheme="majorEastAsia"/>
                <w:b/>
                <w:bCs/>
                <w:color w:val="000000" w:themeColor="text1"/>
                <w:highlight w:val="none"/>
                <w:lang w:eastAsia="zh-CN"/>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评分项目</w:t>
            </w:r>
          </w:p>
        </w:tc>
        <w:tc>
          <w:tcPr>
            <w:tcW w:w="3570" w:type="dxa"/>
            <w:vAlign w:val="center"/>
          </w:tcPr>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3"/>
              <w:shd w:val="clear" w:color="auto" w:fill="FFFFFF"/>
              <w:spacing w:line="480" w:lineRule="auto"/>
              <w:ind w:left="420"/>
              <w:jc w:val="both"/>
              <w:rPr>
                <w:rFonts w:asciiTheme="majorEastAsia" w:hAnsiTheme="majorEastAsia" w:eastAsiaTheme="majorEastAsia"/>
                <w:b/>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3"/>
              <w:shd w:val="clear" w:color="auto" w:fill="FFFFFF"/>
              <w:spacing w:line="480" w:lineRule="auto"/>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spacing w:line="480" w:lineRule="auto"/>
              <w:rPr>
                <w:rFonts w:asciiTheme="majorEastAsia" w:hAnsiTheme="majorEastAsia" w:eastAsiaTheme="majorEastAsia"/>
                <w:color w:val="000000" w:themeColor="text1"/>
                <w:sz w:val="24"/>
                <w:szCs w:val="24"/>
                <w:highlight w:val="none"/>
                <w14:textFill>
                  <w14:solidFill>
                    <w14:schemeClr w14:val="tx1"/>
                  </w14:solidFill>
                </w14:textFill>
              </w:rPr>
            </w:pPr>
          </w:p>
        </w:tc>
      </w:tr>
    </w:tbl>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（说明：此表按照招标文件中综合评分标准表逐项填写）</w:t>
      </w:r>
    </w:p>
    <w:p>
      <w:pPr>
        <w:pStyle w:val="96"/>
        <w:rPr>
          <w:rFonts w:hint="default"/>
          <w:color w:val="000000" w:themeColor="text1"/>
          <w:highlight w:val="none"/>
          <w14:textFill>
            <w14:solidFill>
              <w14:schemeClr w14:val="tx1"/>
            </w14:solidFill>
          </w14:textFill>
        </w:rPr>
      </w:pPr>
    </w:p>
    <w:p>
      <w:pPr>
        <w:pStyle w:val="96"/>
        <w:rPr>
          <w:rFonts w:hint="default"/>
          <w:color w:val="000000" w:themeColor="text1"/>
          <w:highlight w:val="none"/>
          <w14:textFill>
            <w14:solidFill>
              <w14:schemeClr w14:val="tx1"/>
            </w14:solidFill>
          </w14:textFill>
        </w:rPr>
      </w:pPr>
    </w:p>
    <w:p>
      <w:pPr>
        <w:pStyle w:val="96"/>
        <w:rPr>
          <w:rFonts w:hint="default"/>
          <w:color w:val="000000" w:themeColor="text1"/>
          <w:highlight w:val="none"/>
          <w14:textFill>
            <w14:solidFill>
              <w14:schemeClr w14:val="tx1"/>
            </w14:solidFill>
          </w14:textFill>
        </w:rPr>
      </w:pPr>
    </w:p>
    <w:p>
      <w:pPr>
        <w:pStyle w:val="96"/>
        <w:rPr>
          <w:rFonts w:hint="default"/>
          <w:color w:val="000000" w:themeColor="text1"/>
          <w:highlight w:val="none"/>
          <w14:textFill>
            <w14:solidFill>
              <w14:schemeClr w14:val="tx1"/>
            </w14:solidFill>
          </w14:textFill>
        </w:rPr>
      </w:pPr>
    </w:p>
    <w:p>
      <w:pPr>
        <w:pStyle w:val="96"/>
        <w:rPr>
          <w:rFonts w:hint="default"/>
          <w:color w:val="000000" w:themeColor="text1"/>
          <w:highlight w:val="none"/>
          <w14:textFill>
            <w14:solidFill>
              <w14:schemeClr w14:val="tx1"/>
            </w14:solidFill>
          </w14:textFill>
        </w:rPr>
      </w:pPr>
    </w:p>
    <w:p>
      <w:pPr>
        <w:pStyle w:val="126"/>
        <w:ind w:firstLine="480"/>
        <w:rPr>
          <w:color w:val="000000" w:themeColor="text1"/>
          <w:highlight w:val="none"/>
          <w14:textFill>
            <w14:solidFill>
              <w14:schemeClr w14:val="tx1"/>
            </w14:solidFill>
          </w14:textFill>
        </w:rPr>
      </w:pPr>
    </w:p>
    <w:p>
      <w:pPr>
        <w:pStyle w:val="126"/>
        <w:ind w:firstLine="480"/>
        <w:rPr>
          <w:color w:val="000000" w:themeColor="text1"/>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资信证明文件要求</w:t>
      </w:r>
    </w:p>
    <w:p>
      <w:pPr>
        <w:pStyle w:val="24"/>
        <w:jc w:val="center"/>
        <w:rPr>
          <w:rFonts w:asciiTheme="majorEastAsia" w:hAnsiTheme="majorEastAsia" w:eastAsiaTheme="majorEastAsia"/>
          <w:b/>
          <w:color w:val="000000" w:themeColor="text1"/>
          <w:sz w:val="36"/>
          <w:szCs w:val="36"/>
          <w:highlight w:val="none"/>
          <w14:textFill>
            <w14:solidFill>
              <w14:schemeClr w14:val="tx1"/>
            </w14:solidFill>
          </w14:textFill>
        </w:rPr>
      </w:pPr>
    </w:p>
    <w:p>
      <w:pPr>
        <w:snapToGrid w:val="0"/>
        <w:spacing w:before="50" w:after="50" w:line="360" w:lineRule="auto"/>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1、实质性资格证明文件目录</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文件1  法人或者其他组织的营业执照等证明文件，自然人的身份证明（复印件）</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文件2  上一年度财务状况报表（复印件，成立不满一年不需提供）</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文件3  依法缴纳税收和社会保障资金的相关材料（复印件）</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文件4  具备履行合同所必需的设备和专业技术能力证明材料</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文件5  参加政府采购活动前 3 年内在经营活动中没有重大违法记录的书面声明</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文件6 信用记录</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文件7  法人授权书</w:t>
      </w:r>
    </w:p>
    <w:p>
      <w:pPr>
        <w:spacing w:line="360" w:lineRule="auto"/>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具备履行合同所必需的设备和专业技术能力的书面声明</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主要设备有：。</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主要专业技术能力有：。</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投标人名称（公章）：</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w:t>
      </w:r>
      <w:r>
        <w:rPr>
          <w:rFonts w:hint="eastAsia" w:asciiTheme="majorEastAsia" w:hAnsiTheme="majorEastAsia" w:eastAsiaTheme="majorEastAsia"/>
          <w:bCs/>
          <w:color w:val="000000" w:themeColor="text1"/>
          <w:sz w:val="24"/>
          <w:highlight w:val="none"/>
          <w14:textFill>
            <w14:solidFill>
              <w14:schemeClr w14:val="tx1"/>
            </w14:solidFill>
          </w14:textFill>
        </w:rPr>
        <w:t>年月日</w:t>
      </w:r>
    </w:p>
    <w:p>
      <w:pPr>
        <w:pStyle w:val="8"/>
        <w:ind w:firstLine="0"/>
        <w:rPr>
          <w:rFonts w:asciiTheme="majorEastAsia" w:hAnsiTheme="majorEastAsia" w:eastAsiaTheme="majorEastAsia"/>
          <w:color w:val="000000" w:themeColor="text1"/>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参加政府采购活动前3年内在经营活动中</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没有重大违法记录的书面声明</w:t>
      </w:r>
    </w:p>
    <w:p>
      <w:pPr>
        <w:spacing w:line="460" w:lineRule="exact"/>
        <w:rPr>
          <w:rFonts w:asciiTheme="majorEastAsia" w:hAnsiTheme="majorEastAsia" w:eastAsiaTheme="majorEastAsia"/>
          <w:b/>
          <w:bCs/>
          <w:color w:val="000000" w:themeColor="text1"/>
          <w:sz w:val="44"/>
          <w:szCs w:val="44"/>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b/>
          <w:bCs/>
          <w:color w:val="000000" w:themeColor="text1"/>
          <w:sz w:val="44"/>
          <w:szCs w:val="44"/>
          <w:highlight w:val="none"/>
          <w14:textFill>
            <w14:solidFill>
              <w14:schemeClr w14:val="tx1"/>
            </w14:solidFill>
          </w14:textFill>
        </w:rPr>
        <w:t>声  明</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80" w:lineRule="auto"/>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p>
    <w:p>
      <w:pPr>
        <w:spacing w:line="480" w:lineRule="auto"/>
        <w:ind w:firstLine="4320" w:firstLineChars="18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投标人名称（公章）：</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授权代表签字：</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___________________</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w:t>
      </w:r>
      <w:r>
        <w:rPr>
          <w:rFonts w:hint="eastAsia" w:asciiTheme="majorEastAsia" w:hAnsiTheme="majorEastAsia" w:eastAsiaTheme="majorEastAsia"/>
          <w:bCs/>
          <w:color w:val="000000" w:themeColor="text1"/>
          <w:sz w:val="24"/>
          <w:highlight w:val="none"/>
          <w14:textFill>
            <w14:solidFill>
              <w14:schemeClr w14:val="tx1"/>
            </w14:solidFill>
          </w14:textFill>
        </w:rPr>
        <w:t>年月日</w:t>
      </w:r>
    </w:p>
    <w:p>
      <w:pPr>
        <w:spacing w:line="480" w:lineRule="auto"/>
        <w:rPr>
          <w:rFonts w:asciiTheme="majorEastAsia" w:hAnsiTheme="majorEastAsia" w:eastAsiaTheme="majorEastAsia"/>
          <w:bCs/>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br w:type="page"/>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信用记录</w:t>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附件：信用记录查询网页截图</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以下网页截屏样式内容仅为参考。</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信用中国网页截图（失信被执行人、重大税收违法案件当事人名单和政府采购严重违法失信名单查询页面）：</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460" w:lineRule="exact"/>
        <w:ind w:firstLine="3600" w:firstLineChars="15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1、</w:t>
      </w:r>
      <w:r>
        <w:rPr>
          <w:rFonts w:asciiTheme="majorEastAsia" w:hAnsiTheme="majorEastAsia" w:eastAsiaTheme="majorEastAsia"/>
          <w:bCs/>
          <w:color w:val="000000" w:themeColor="text1"/>
          <w:sz w:val="24"/>
          <w:szCs w:val="24"/>
          <w:highlight w:val="none"/>
          <w14:textFill>
            <w14:solidFill>
              <w14:schemeClr w14:val="tx1"/>
            </w14:solidFill>
          </w14:textFill>
        </w:rPr>
        <w:t>失信被执行人查询页面</w:t>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cs="Times New Roman" w:asciiTheme="majorEastAsia" w:hAnsiTheme="majorEastAsia" w:eastAsiaTheme="majorEastAsia"/>
          <w:color w:val="000000" w:themeColor="text1"/>
          <w:szCs w:val="24"/>
          <w:highlight w:val="none"/>
          <w14:textFill>
            <w14:solidFill>
              <w14:schemeClr w14:val="tx1"/>
            </w14:solidFill>
          </w14:textFill>
        </w:rPr>
        <w:drawing>
          <wp:anchor distT="0" distB="0" distL="0" distR="0" simplePos="0" relativeHeight="251659264"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1" cstate="print"/>
                    <a:stretch>
                      <a:fillRect/>
                    </a:stretch>
                  </pic:blipFill>
                  <pic:spPr>
                    <a:xfrm>
                      <a:off x="0" y="0"/>
                      <a:ext cx="5497195" cy="2422525"/>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asciiTheme="majorEastAsia" w:hAnsiTheme="majorEastAsia" w:eastAsiaTheme="majorEastAsia"/>
          <w:color w:val="000000" w:themeColor="text1"/>
          <w:szCs w:val="24"/>
          <w:highlight w:val="none"/>
          <w14:textFill>
            <w14:solidFill>
              <w14:schemeClr w14:val="tx1"/>
            </w14:solidFill>
          </w14:textFill>
        </w:rPr>
        <w:drawing>
          <wp:anchor distT="0" distB="0" distL="0" distR="0" simplePos="0" relativeHeight="251660288"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2" cstate="print"/>
                    <a:stretch>
                      <a:fillRect/>
                    </a:stretch>
                  </pic:blipFill>
                  <pic:spPr>
                    <a:xfrm>
                      <a:off x="0" y="0"/>
                      <a:ext cx="5478145" cy="2439035"/>
                    </a:xfrm>
                    <a:prstGeom prst="rect">
                      <a:avLst/>
                    </a:prstGeom>
                  </pic:spPr>
                </pic:pic>
              </a:graphicData>
            </a:graphic>
          </wp:anchor>
        </w:drawing>
      </w: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r>
        <w:rPr>
          <w:rFonts w:cs="宋体" w:asciiTheme="majorEastAsia" w:hAnsiTheme="majorEastAsia" w:eastAsiaTheme="majorEastAsia"/>
          <w:color w:val="000000" w:themeColor="text1"/>
          <w:kern w:val="0"/>
          <w:sz w:val="24"/>
          <w:highlight w:val="none"/>
          <w14:textFill>
            <w14:solidFill>
              <w14:schemeClr w14:val="tx1"/>
            </w14:solidFill>
          </w14:textFill>
        </w:rPr>
        <w:t>重大税收违法案件当事人名单查询页面</w:t>
      </w: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 w:val="24"/>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3、政府采购严重违法失信名单</w:t>
      </w:r>
      <w:r>
        <w:rPr>
          <w:rFonts w:asciiTheme="majorEastAsia" w:hAnsiTheme="majorEastAsia" w:eastAsiaTheme="majorEastAsia"/>
          <w:bCs/>
          <w:color w:val="000000" w:themeColor="text1"/>
          <w:sz w:val="24"/>
          <w:szCs w:val="24"/>
          <w:highlight w:val="none"/>
          <w14:textFill>
            <w14:solidFill>
              <w14:schemeClr w14:val="tx1"/>
            </w14:solidFill>
          </w14:textFill>
        </w:rPr>
        <w:t>查询页面</w:t>
      </w:r>
    </w:p>
    <w:p>
      <w:pP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szCs w:val="24"/>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法人授权书</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本授权书声明：____________（投标人名称）授权________________（被授权人的姓名）为我方就项目采购活动的合法代理人，以本公司名义全权处理一切与该项目采购有关的事务。</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本授权书于______年____月____日起生效，特此声明。</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spacing w:line="520" w:lineRule="exact"/>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代理人（被授权人）：_______________________</w:t>
      </w:r>
    </w:p>
    <w:p>
      <w:pPr>
        <w:pStyle w:val="106"/>
        <w:spacing w:line="520" w:lineRule="exact"/>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spacing w:line="520" w:lineRule="exact"/>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单位名称：_____________________________________</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spacing w:line="520" w:lineRule="exact"/>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授权单位盖章：_________________________________</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单位名称：_____________________________________</w:t>
      </w:r>
    </w:p>
    <w:p>
      <w:pPr>
        <w:pStyle w:val="106"/>
        <w:spacing w:line="520" w:lineRule="exact"/>
        <w:ind w:firstLine="48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地址：</w:t>
      </w:r>
    </w:p>
    <w:p>
      <w:pPr>
        <w:pStyle w:val="106"/>
        <w:spacing w:line="52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日期：                    </w:t>
      </w:r>
    </w:p>
    <w:p>
      <w:pPr>
        <w:pStyle w:val="8"/>
        <w:spacing w:line="520" w:lineRule="exact"/>
        <w:rPr>
          <w:rFonts w:asciiTheme="majorEastAsia" w:hAnsiTheme="majorEastAsia" w:eastAsiaTheme="majorEastAsia"/>
          <w:color w:val="000000" w:themeColor="text1"/>
          <w:highlight w:val="none"/>
          <w14:textFill>
            <w14:solidFill>
              <w14:schemeClr w14:val="tx1"/>
            </w14:solidFill>
          </w14:textFill>
        </w:rPr>
      </w:pPr>
      <w:bookmarkStart w:id="187" w:name="_格式3__银行出具的资信证明"/>
      <w:bookmarkEnd w:id="187"/>
      <w:bookmarkStart w:id="188" w:name="_Hlt26955070"/>
      <w:bookmarkEnd w:id="188"/>
      <w:bookmarkStart w:id="189" w:name="_Hlt26671380"/>
      <w:bookmarkEnd w:id="189"/>
    </w:p>
    <w:p>
      <w:pPr>
        <w:pStyle w:val="6"/>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二、资格性审查响应对照表（格式）</w:t>
      </w:r>
    </w:p>
    <w:p>
      <w:pPr>
        <w:ind w:firstLine="309"/>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bl>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bookmarkEnd w:id="184"/>
    <w:bookmarkEnd w:id="185"/>
    <w:bookmarkEnd w:id="186"/>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三、符合性检查响应对照表（格式）</w:t>
      </w:r>
    </w:p>
    <w:p>
      <w:pPr>
        <w:ind w:firstLine="309"/>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r>
              <w:rPr>
                <w:rFonts w:hint="eastAsia" w:asciiTheme="majorEastAsia" w:hAnsiTheme="majorEastAsia" w:eastAsiaTheme="majorEastAsia"/>
                <w:iCs/>
                <w:color w:val="000000" w:themeColor="text1"/>
                <w:sz w:val="24"/>
                <w:szCs w:val="24"/>
                <w:highlight w:val="none"/>
                <w14:textFill>
                  <w14:solidFill>
                    <w14:schemeClr w14:val="tx1"/>
                  </w14:solidFill>
                </w14:textFill>
              </w:rPr>
              <w:t>招标文件中的其他实质性要求</w:t>
            </w: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bl>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bookmarkStart w:id="190" w:name="_Toc120614284"/>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四、投标承诺书（格式）</w:t>
      </w:r>
    </w:p>
    <w:p>
      <w:pPr>
        <w:snapToGrid w:val="0"/>
        <w:spacing w:line="54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p>
    <w:p>
      <w:pPr>
        <w:spacing w:line="52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（招标人）：</w:t>
      </w:r>
    </w:p>
    <w:p>
      <w:pPr>
        <w:snapToGrid w:val="0"/>
        <w:spacing w:line="54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根据己收到的的招标文件，在研究了上述项目的招标文件后，遵照《中华人民共和国招标投标法》等有关规定，我单位经踏勘项目现场和研究贵方招标文件的所有内容后，决定无保留地接受招标文件所有条款，愿以人民币（大写）</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      ）</w:t>
      </w:r>
      <w:r>
        <w:rPr>
          <w:rFonts w:hint="eastAsia" w:asciiTheme="majorEastAsia" w:hAnsiTheme="majorEastAsia" w:eastAsiaTheme="majorEastAsia"/>
          <w:color w:val="000000" w:themeColor="text1"/>
          <w:sz w:val="24"/>
          <w:szCs w:val="24"/>
          <w:highlight w:val="none"/>
          <w14:textFill>
            <w14:solidFill>
              <w14:schemeClr w14:val="tx1"/>
            </w14:solidFill>
          </w14:textFill>
        </w:rPr>
        <w:t>的总价承包本招标范围内的全部服务并承担任何质量缺陷保修责任。</w:t>
      </w:r>
    </w:p>
    <w:p>
      <w:pPr>
        <w:snapToGrid w:val="0"/>
        <w:spacing w:line="500" w:lineRule="exact"/>
        <w:ind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2、质量 ：符合国家相关标准及招标人要求。</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3、本次投标，我方将派出作为本项目的项目负责人。</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4、我方保证：严格遵守国家相关的各项规定。我方投标文件提供的所有资料真实、有效，如有不实，我方将放弃中标的权利，并承担由此产生的责任。</w:t>
      </w:r>
    </w:p>
    <w:p>
      <w:pPr>
        <w:spacing w:line="500" w:lineRule="exact"/>
        <w:ind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5、你方的招标文件和本投标文件将成为约束双方的合同文件的组成部分。</w:t>
      </w:r>
    </w:p>
    <w:p>
      <w:pPr>
        <w:spacing w:line="500" w:lineRule="exact"/>
        <w:ind w:firstLine="734" w:firstLineChars="306"/>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投标人： （盖章）                                         </w:t>
      </w: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法定代表人或其委托代理人： （签字或盖章）</w:t>
      </w: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3240" w:firstLineChars="1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日  期 :       年      月    日</w:t>
      </w:r>
    </w:p>
    <w:p>
      <w:pPr>
        <w:spacing w:line="520" w:lineRule="exact"/>
        <w:rPr>
          <w:rFonts w:asciiTheme="majorEastAsia" w:hAnsiTheme="majorEastAsia" w:eastAsiaTheme="majorEastAsia"/>
          <w:b/>
          <w:color w:val="000000" w:themeColor="text1"/>
          <w:sz w:val="28"/>
          <w:szCs w:val="28"/>
          <w:highlight w:val="none"/>
          <w14:textFill>
            <w14:solidFill>
              <w14:schemeClr w14:val="tx1"/>
            </w14:solidFill>
          </w14:textFill>
        </w:rPr>
      </w:pPr>
    </w:p>
    <w:p>
      <w:pPr>
        <w:snapToGrid w:val="0"/>
        <w:spacing w:before="50" w:after="120" w:afterLines="50"/>
        <w:jc w:val="left"/>
        <w:rPr>
          <w:rFonts w:asciiTheme="majorEastAsia" w:hAnsiTheme="majorEastAsia" w:eastAsiaTheme="majorEastAsia"/>
          <w:color w:val="000000" w:themeColor="text1"/>
          <w:sz w:val="24"/>
          <w:szCs w:val="20"/>
          <w:highlight w:val="none"/>
          <w14:textFill>
            <w14:solidFill>
              <w14:schemeClr w14:val="tx1"/>
            </w14:solidFill>
          </w14:textFill>
        </w:rPr>
      </w:pPr>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五、开标一览表（格式）</w:t>
      </w:r>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 目 编 号</w:t>
            </w:r>
          </w:p>
        </w:tc>
        <w:tc>
          <w:tcPr>
            <w:tcW w:w="7445" w:type="dxa"/>
            <w:vAlign w:val="center"/>
          </w:tcPr>
          <w:p>
            <w:pPr>
              <w:pStyle w:val="6"/>
              <w:jc w:val="both"/>
              <w:rPr>
                <w:rFonts w:asciiTheme="majorEastAsia" w:hAnsiTheme="majorEastAsia" w:eastAsiaTheme="majorEastAsia"/>
                <w:b w:val="0"/>
                <w:color w:val="000000" w:themeColor="text1"/>
                <w:sz w:val="24"/>
                <w:szCs w:val="24"/>
                <w:highlight w:val="none"/>
                <w14:textFill>
                  <w14:solidFill>
                    <w14:schemeClr w14:val="tx1"/>
                  </w14:solidFill>
                </w14:textFill>
              </w:rPr>
            </w:pPr>
            <w:r>
              <w:rPr>
                <w:rFonts w:hint="eastAsia" w:asciiTheme="majorEastAsia" w:hAnsiTheme="majorEastAsia" w:eastAsiaTheme="majorEastAsia"/>
                <w:b w:val="0"/>
                <w:color w:val="000000" w:themeColor="text1"/>
                <w:sz w:val="24"/>
                <w:szCs w:val="24"/>
                <w:highlight w:val="none"/>
                <w14:textFill>
                  <w14:solidFill>
                    <w14:schemeClr w14:val="tx1"/>
                  </w14:solidFill>
                </w14:textFill>
              </w:rPr>
              <w:t>SY2021-046-FW-GK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 目 名 称</w:t>
            </w:r>
          </w:p>
        </w:tc>
        <w:tc>
          <w:tcPr>
            <w:tcW w:w="7445" w:type="dxa"/>
            <w:vAlign w:val="center"/>
          </w:tcPr>
          <w:p>
            <w:pPr>
              <w:pStyle w:val="6"/>
              <w:jc w:val="both"/>
              <w:rPr>
                <w:rFonts w:asciiTheme="majorEastAsia" w:hAnsiTheme="majorEastAsia" w:eastAsiaTheme="majorEastAsia"/>
                <w:b w:val="0"/>
                <w:color w:val="000000" w:themeColor="text1"/>
                <w:sz w:val="24"/>
                <w:szCs w:val="24"/>
                <w:highlight w:val="none"/>
                <w14:textFill>
                  <w14:solidFill>
                    <w14:schemeClr w14:val="tx1"/>
                  </w14:solidFill>
                </w14:textFill>
              </w:rPr>
            </w:pPr>
            <w:r>
              <w:rPr>
                <w:rFonts w:hint="eastAsia" w:asciiTheme="majorEastAsia" w:hAnsiTheme="majorEastAsia" w:eastAsiaTheme="majorEastAsia"/>
                <w:b w:val="0"/>
                <w:color w:val="000000" w:themeColor="text1"/>
                <w:sz w:val="24"/>
                <w:szCs w:val="24"/>
                <w:highlight w:val="none"/>
                <w14:textFill>
                  <w14:solidFill>
                    <w14:schemeClr w14:val="tx1"/>
                  </w14:solidFill>
                </w14:textFill>
              </w:rPr>
              <w:t>江苏医药职业学院消防维保服务项目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是否提供《中小企业声明函》：</w:t>
            </w:r>
            <w:r>
              <w:rPr>
                <w:rFonts w:hint="eastAsia" w:asciiTheme="majorEastAsia" w:hAnsiTheme="majorEastAsia" w:eastAsiaTheme="majorEastAsia"/>
                <w:b/>
                <w:bCs/>
                <w:color w:val="000000" w:themeColor="text1"/>
                <w:szCs w:val="28"/>
                <w:highlight w:val="none"/>
                <w:u w:val="single"/>
                <w14:textFill>
                  <w14:solidFill>
                    <w14:schemeClr w14:val="tx1"/>
                  </w14:solidFill>
                </w14:textFill>
              </w:rPr>
              <w:t xml:space="preserve">  是/否   </w:t>
            </w:r>
            <w:r>
              <w:rPr>
                <w:rFonts w:hint="eastAsia" w:asciiTheme="majorEastAsia" w:hAnsiTheme="majorEastAsia" w:eastAsiaTheme="majorEastAsia"/>
                <w:b/>
                <w:bCs/>
                <w:color w:val="000000" w:themeColor="text1"/>
                <w:szCs w:val="28"/>
                <w:highlight w:val="none"/>
                <w14:textFill>
                  <w14:solidFill>
                    <w14:schemeClr w14:val="tx1"/>
                  </w14:solidFill>
                </w14:textFill>
              </w:rPr>
              <w:t xml:space="preserve">           见</w:t>
            </w:r>
            <w:r>
              <w:rPr>
                <w:rFonts w:hint="eastAsia" w:asciiTheme="majorEastAsia" w:hAnsiTheme="majorEastAsia" w:eastAsiaTheme="majorEastAsia"/>
                <w:b/>
                <w:bCs/>
                <w:color w:val="000000" w:themeColor="text1"/>
                <w:szCs w:val="28"/>
                <w:highlight w:val="none"/>
                <w:u w:val="single"/>
                <w14:textFill>
                  <w14:solidFill>
                    <w14:schemeClr w14:val="tx1"/>
                  </w14:solidFill>
                </w14:textFill>
              </w:rPr>
              <w:t>（          ）</w:t>
            </w:r>
            <w:r>
              <w:rPr>
                <w:rFonts w:hint="eastAsia" w:asciiTheme="majorEastAsia" w:hAnsiTheme="majorEastAsia" w:eastAsiaTheme="majorEastAsia"/>
                <w:b/>
                <w:bCs/>
                <w:color w:val="000000" w:themeColor="text1"/>
                <w:szCs w:val="28"/>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本公司在本次政府采购活动中提供的小微型企业产品报价合计为人民币（大写）圆整（￥：）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
                <w:bCs/>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项目负责人项目：                                    联系电话：</w:t>
            </w:r>
          </w:p>
        </w:tc>
      </w:tr>
    </w:tbl>
    <w:p>
      <w:pPr>
        <w:spacing w:line="180" w:lineRule="atLeast"/>
        <w:rPr>
          <w:rFonts w:asciiTheme="majorEastAsia" w:hAnsiTheme="majorEastAsia" w:eastAsiaTheme="majorEastAsia"/>
          <w:color w:val="000000" w:themeColor="text1"/>
          <w:szCs w:val="28"/>
          <w:highlight w:val="none"/>
          <w14:textFill>
            <w14:solidFill>
              <w14:schemeClr w14:val="tx1"/>
            </w14:solidFill>
          </w14:textFill>
        </w:rPr>
      </w:pPr>
      <w:r>
        <w:rPr>
          <w:rFonts w:hint="eastAsia" w:asciiTheme="majorEastAsia" w:hAnsiTheme="majorEastAsia" w:eastAsiaTheme="majorEastAsia"/>
          <w:color w:val="000000" w:themeColor="text1"/>
          <w:szCs w:val="28"/>
          <w:highlight w:val="none"/>
          <w14:textFill>
            <w14:solidFill>
              <w14:schemeClr w14:val="tx1"/>
            </w14:solidFill>
          </w14:textFill>
        </w:rPr>
        <w:t>填写说明：</w:t>
      </w:r>
    </w:p>
    <w:p>
      <w:pPr>
        <w:numPr>
          <w:ilvl w:val="0"/>
          <w:numId w:val="3"/>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开标一览表不得填报选择性报价，否则将作为无效投标；</w:t>
      </w:r>
    </w:p>
    <w:p>
      <w:pPr>
        <w:numPr>
          <w:ilvl w:val="0"/>
          <w:numId w:val="3"/>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right="480" w:firstLine="480"/>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投标人（公章）：</w:t>
      </w: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firstLine="6480" w:firstLineChars="27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日期：  年月日</w:t>
      </w:r>
    </w:p>
    <w:p>
      <w:pPr>
        <w:pStyle w:val="44"/>
        <w:ind w:firstLine="0" w:firstLineChars="0"/>
        <w:rPr>
          <w:rFonts w:asciiTheme="majorEastAsia" w:hAnsiTheme="majorEastAsia" w:eastAsiaTheme="majorEastAsia"/>
          <w:color w:val="000000" w:themeColor="text1"/>
          <w:highlight w:val="none"/>
          <w14:textFill>
            <w14:solidFill>
              <w14:schemeClr w14:val="tx1"/>
            </w14:solidFill>
          </w14:textFill>
        </w:rPr>
      </w:pPr>
    </w:p>
    <w:p>
      <w:pPr>
        <w:widowControl/>
        <w:ind w:firstLine="2415" w:firstLineChars="1150"/>
        <w:jc w:val="left"/>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bookmarkStart w:id="191" w:name="_Toc142194267"/>
    </w:p>
    <w:p>
      <w:pPr>
        <w:widowControl/>
        <w:jc w:val="center"/>
        <w:rPr>
          <w:rFonts w:asciiTheme="majorEastAsia" w:hAnsiTheme="majorEastAsia" w:eastAsiaTheme="majorEastAsia"/>
          <w:b/>
          <w:bCs/>
          <w:color w:val="000000" w:themeColor="text1"/>
          <w:sz w:val="32"/>
          <w:szCs w:val="32"/>
          <w:highlight w:val="none"/>
          <w14:textFill>
            <w14:solidFill>
              <w14:schemeClr w14:val="tx1"/>
            </w14:solidFill>
          </w14:textFill>
        </w:rPr>
      </w:pPr>
    </w:p>
    <w:p>
      <w:pPr>
        <w:widowControl/>
        <w:jc w:val="center"/>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中小企业声明函（工程、服务）</w:t>
      </w:r>
    </w:p>
    <w:p>
      <w:pPr>
        <w:pStyle w:val="2"/>
        <w:rPr>
          <w:rFonts w:asciiTheme="majorEastAsia" w:hAnsiTheme="majorEastAsia" w:eastAsiaTheme="majorEastAsia"/>
          <w:color w:val="000000" w:themeColor="text1"/>
          <w:highlight w:val="none"/>
          <w14:textFill>
            <w14:solidFill>
              <w14:schemeClr w14:val="tx1"/>
            </w14:solidFill>
          </w14:textFill>
        </w:rPr>
      </w:pP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1.</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行业；制造商为</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（企业名称）</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，从业人员人，营业收入为万元，资产总额为万元，属于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w:t>
      </w:r>
    </w:p>
    <w:p>
      <w:pPr>
        <w:widowControl/>
        <w:numPr>
          <w:ilvl w:val="0"/>
          <w:numId w:val="4"/>
        </w:numPr>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行业；制造商为</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（企业名称）</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，从业人员人，营业收入为万元，资产总额为万元，属于</w:t>
      </w:r>
      <w:r>
        <w:rPr>
          <w:rFonts w:hint="eastAsia" w:cs="宋体" w:asciiTheme="majorEastAsia" w:hAnsiTheme="majorEastAsia" w:eastAsiaTheme="majorEastAsia"/>
          <w:i/>
          <w:iCs/>
          <w:color w:val="000000" w:themeColor="text1"/>
          <w:sz w:val="24"/>
          <w:szCs w:val="28"/>
          <w:highlight w:val="none"/>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4"/>
          <w:szCs w:val="28"/>
          <w:highlight w:val="none"/>
          <w14:textFill>
            <w14:solidFill>
              <w14:schemeClr w14:val="tx1"/>
            </w14:solidFill>
          </w14:textFill>
        </w:rPr>
        <w:t>；</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r>
        <w:rPr>
          <w:rFonts w:hint="eastAsia" w:cs="宋体" w:asciiTheme="majorEastAsia" w:hAnsiTheme="majorEastAsia" w:eastAsiaTheme="majorEastAsia"/>
          <w:color w:val="000000" w:themeColor="text1"/>
          <w:sz w:val="24"/>
          <w:szCs w:val="28"/>
          <w:highlight w:val="none"/>
          <w14:textFill>
            <w14:solidFill>
              <w14:schemeClr w14:val="tx1"/>
            </w14:solidFill>
          </w14:textFill>
        </w:rPr>
        <w:t>本企业对上述声明内容的真实性负责。如有虚假，将依法承担相应责任。</w:t>
      </w:r>
    </w:p>
    <w:p>
      <w:pPr>
        <w:widowControl/>
        <w:spacing w:line="480" w:lineRule="exact"/>
        <w:ind w:firstLine="4080" w:firstLineChars="1700"/>
        <w:jc w:val="left"/>
        <w:rPr>
          <w:rFonts w:cs="宋体" w:asciiTheme="majorEastAsia" w:hAnsiTheme="majorEastAsia" w:eastAsiaTheme="majorEastAsia"/>
          <w:color w:val="000000" w:themeColor="text1"/>
          <w:sz w:val="24"/>
          <w:szCs w:val="28"/>
          <w:highlight w:val="none"/>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企业名称（盖章）：</w:t>
      </w: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日期：</w:t>
      </w: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widowControl/>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b/>
          <w:bCs/>
          <w:color w:val="000000" w:themeColor="text1"/>
          <w:highlight w:val="none"/>
          <w14:textFill>
            <w14:solidFill>
              <w14:schemeClr w14:val="tx1"/>
            </w14:solidFill>
          </w14:textFill>
        </w:rPr>
        <w:t>从业人员、营业收入、资产总额填报上一年度数据，无上一年度数据的新成立企业可不填报。</w:t>
      </w:r>
    </w:p>
    <w:p>
      <w:pPr>
        <w:spacing w:line="460" w:lineRule="exact"/>
        <w:rPr>
          <w:rFonts w:asciiTheme="majorEastAsia" w:hAnsiTheme="majorEastAsia" w:eastAsiaTheme="majorEastAsia"/>
          <w:color w:val="000000" w:themeColor="text1"/>
          <w:sz w:val="28"/>
          <w:szCs w:val="28"/>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r>
        <w:rPr>
          <w:rFonts w:hint="eastAsia" w:asciiTheme="majorEastAsia" w:hAnsiTheme="majorEastAsia" w:eastAsiaTheme="majorEastAsia"/>
          <w:b/>
          <w:bCs/>
          <w:color w:val="000000" w:themeColor="text1"/>
          <w:sz w:val="36"/>
          <w:szCs w:val="36"/>
          <w:highlight w:val="none"/>
          <w14:textFill>
            <w14:solidFill>
              <w14:schemeClr w14:val="tx1"/>
            </w14:solidFill>
          </w14:textFill>
        </w:rPr>
        <w:t>小微型企业生产制造的投标产品明细及报价汇总表（格式）</w:t>
      </w:r>
    </w:p>
    <w:p>
      <w:pPr>
        <w:widowControl/>
        <w:shd w:val="clear" w:color="auto" w:fill="FFFFFF"/>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bl>
      <w:tblPr>
        <w:tblStyle w:val="45"/>
        <w:tblW w:w="5000" w:type="pct"/>
        <w:tblInd w:w="0" w:type="dxa"/>
        <w:tblLayout w:type="autofit"/>
        <w:tblCellMar>
          <w:top w:w="0" w:type="dxa"/>
          <w:left w:w="0" w:type="dxa"/>
          <w:bottom w:w="0" w:type="dxa"/>
          <w:right w:w="0" w:type="dxa"/>
        </w:tblCellMar>
      </w:tblPr>
      <w:tblGrid>
        <w:gridCol w:w="2100"/>
        <w:gridCol w:w="1680"/>
        <w:gridCol w:w="1680"/>
        <w:gridCol w:w="1259"/>
        <w:gridCol w:w="1541"/>
        <w:gridCol w:w="1398"/>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货物名称及</w:t>
            </w:r>
          </w:p>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bl>
    <w:p>
      <w:pPr>
        <w:widowControl/>
        <w:shd w:val="clear" w:color="auto" w:fill="FFFFFF"/>
        <w:spacing w:line="420" w:lineRule="atLeast"/>
        <w:jc w:val="lef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1、此表可以根据需要自行增减行数。</w:t>
      </w:r>
    </w:p>
    <w:p>
      <w:pPr>
        <w:spacing w:line="360" w:lineRule="auto"/>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2、项目如有分包，请各供应商按投报的分包分别列表。</w:t>
      </w:r>
    </w:p>
    <w:p>
      <w:pPr>
        <w:widowControl/>
        <w:spacing w:before="100" w:beforeAutospacing="1" w:after="100" w:afterAutospacing="1" w:line="360" w:lineRule="auto"/>
        <w:jc w:val="left"/>
        <w:rPr>
          <w:rFonts w:cs="宋体" w:asciiTheme="majorEastAsia" w:hAnsiTheme="majorEastAsia" w:eastAsiaTheme="majorEastAsia"/>
          <w:color w:val="000000" w:themeColor="text1"/>
          <w:kern w:val="0"/>
          <w:sz w:val="24"/>
          <w:szCs w:val="24"/>
          <w:highlight w:val="none"/>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125"/>
        <w:spacing w:line="400" w:lineRule="exact"/>
        <w:jc w:val="center"/>
        <w:rPr>
          <w:rFonts w:asciiTheme="majorEastAsia" w:hAnsiTheme="majorEastAsia" w:eastAsiaTheme="majorEastAsia"/>
          <w:color w:val="000000" w:themeColor="text1"/>
          <w:sz w:val="21"/>
          <w:highlight w:val="none"/>
          <w14:textFill>
            <w14:solidFill>
              <w14:schemeClr w14:val="tx1"/>
            </w14:solidFill>
          </w14:textFill>
        </w:rPr>
      </w:pPr>
    </w:p>
    <w:bookmarkEnd w:id="191"/>
    <w:p>
      <w:pPr>
        <w:tabs>
          <w:tab w:val="left" w:pos="1320"/>
        </w:tabs>
        <w:spacing w:line="400" w:lineRule="exact"/>
        <w:ind w:left="741" w:hanging="741"/>
        <w:jc w:val="left"/>
        <w:rPr>
          <w:rFonts w:asciiTheme="majorEastAsia" w:hAnsiTheme="majorEastAsia" w:eastAsiaTheme="majorEastAsia"/>
          <w:b/>
          <w:bCs/>
          <w:color w:val="000000" w:themeColor="text1"/>
          <w:szCs w:val="32"/>
          <w:highlight w:val="none"/>
          <w14:textFill>
            <w14:solidFill>
              <w14:schemeClr w14:val="tx1"/>
            </w14:solidFill>
          </w14:textFill>
        </w:rPr>
      </w:pPr>
      <w:bookmarkStart w:id="192" w:name="_Toc142194269"/>
      <w:bookmarkStart w:id="193" w:name="_Toc142194270"/>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bookmarkEnd w:id="192"/>
    <w:p>
      <w:pPr>
        <w:spacing w:line="360" w:lineRule="auto"/>
        <w:outlineLvl w:val="1"/>
        <w:rPr>
          <w:rFonts w:ascii="宋体" w:hAnsi="宋体"/>
          <w:b/>
          <w:bCs/>
          <w:color w:val="000000" w:themeColor="text1"/>
          <w:sz w:val="24"/>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r>
        <w:rPr>
          <w:rFonts w:hint="eastAsia" w:asciiTheme="majorEastAsia" w:hAnsiTheme="majorEastAsia" w:eastAsiaTheme="majorEastAsia"/>
          <w:b/>
          <w:bCs/>
          <w:color w:val="000000" w:themeColor="text1"/>
          <w:sz w:val="36"/>
          <w:szCs w:val="36"/>
          <w:highlight w:val="none"/>
          <w14:textFill>
            <w14:solidFill>
              <w14:schemeClr w14:val="tx1"/>
            </w14:solidFill>
          </w14:textFill>
        </w:rPr>
        <w:t>拟投入本项目成员信息表</w:t>
      </w:r>
    </w:p>
    <w:p>
      <w:pPr>
        <w:pStyle w:val="127"/>
        <w:rPr>
          <w:color w:val="000000" w:themeColor="text1"/>
          <w:highlight w:val="none"/>
          <w14:textFill>
            <w14:solidFill>
              <w14:schemeClr w14:val="tx1"/>
            </w14:solidFill>
          </w14:textFill>
        </w:rPr>
      </w:pPr>
    </w:p>
    <w:tbl>
      <w:tblPr>
        <w:tblStyle w:val="4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783"/>
        <w:gridCol w:w="1302"/>
        <w:gridCol w:w="918"/>
        <w:gridCol w:w="918"/>
        <w:gridCol w:w="918"/>
        <w:gridCol w:w="91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项目所任职务</w:t>
            </w: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姓名</w:t>
            </w: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性别</w:t>
            </w: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年龄</w:t>
            </w: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学历</w:t>
            </w: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职称</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专业/资格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w:t>
            </w: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其他成员</w:t>
            </w: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4</w:t>
            </w: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 w:val="24"/>
                <w:szCs w:val="22"/>
                <w:highlight w:val="none"/>
                <w14:textFill>
                  <w14:solidFill>
                    <w14:schemeClr w14:val="tx1"/>
                  </w14:solidFill>
                </w14:textFill>
              </w:rPr>
            </w:pPr>
          </w:p>
        </w:tc>
      </w:tr>
    </w:tbl>
    <w:p>
      <w:pPr>
        <w:spacing w:line="360" w:lineRule="auto"/>
        <w:ind w:firstLine="560" w:firstLineChars="200"/>
        <w:rPr>
          <w:rFonts w:ascii="宋体" w:hAnsi="宋体"/>
          <w:color w:val="000000" w:themeColor="text1"/>
          <w:spacing w:val="20"/>
          <w:sz w:val="24"/>
          <w:szCs w:val="22"/>
          <w:highlight w:val="none"/>
          <w14:textFill>
            <w14:solidFill>
              <w14:schemeClr w14:val="tx1"/>
            </w14:solidFill>
          </w14:textFill>
        </w:rPr>
      </w:pPr>
    </w:p>
    <w:p>
      <w:pPr>
        <w:pStyle w:val="8"/>
        <w:overflowPunct w:val="0"/>
        <w:spacing w:line="360" w:lineRule="auto"/>
        <w:ind w:left="1322" w:hanging="482"/>
        <w:rPr>
          <w:rFonts w:ascii="宋体" w:hAnsi="宋体"/>
          <w:b/>
          <w:bCs/>
          <w:color w:val="000000" w:themeColor="text1"/>
          <w:sz w:val="24"/>
          <w:highlight w:val="none"/>
          <w14:textFill>
            <w14:solidFill>
              <w14:schemeClr w14:val="tx1"/>
            </w14:solidFill>
          </w14:textFill>
        </w:rPr>
      </w:pPr>
    </w:p>
    <w:p>
      <w:pPr>
        <w:pStyle w:val="8"/>
        <w:overflowPunct w:val="0"/>
        <w:spacing w:line="360" w:lineRule="auto"/>
        <w:ind w:left="1322" w:hanging="482"/>
        <w:rPr>
          <w:rFonts w:ascii="宋体" w:hAnsi="宋体"/>
          <w:b/>
          <w:bCs/>
          <w:color w:val="000000" w:themeColor="text1"/>
          <w:sz w:val="24"/>
          <w:highlight w:val="none"/>
          <w14:textFill>
            <w14:solidFill>
              <w14:schemeClr w14:val="tx1"/>
            </w14:solidFill>
          </w14:textFill>
        </w:rPr>
      </w:pPr>
    </w:p>
    <w:p>
      <w:pPr>
        <w:pStyle w:val="8"/>
        <w:overflowPunct w:val="0"/>
        <w:spacing w:line="360" w:lineRule="auto"/>
        <w:ind w:left="1322" w:hanging="482"/>
        <w:rPr>
          <w:rFonts w:ascii="宋体" w:hAnsi="宋体"/>
          <w:b/>
          <w:bCs/>
          <w:color w:val="000000" w:themeColor="text1"/>
          <w:sz w:val="24"/>
          <w:highlight w:val="none"/>
          <w14:textFill>
            <w14:solidFill>
              <w14:schemeClr w14:val="tx1"/>
            </w14:solidFill>
          </w14:textFill>
        </w:rPr>
      </w:pPr>
    </w:p>
    <w:p>
      <w:pPr>
        <w:pStyle w:val="8"/>
        <w:overflowPunct w:val="0"/>
        <w:spacing w:line="360" w:lineRule="auto"/>
        <w:ind w:left="1260" w:hanging="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投标人：（盖章）</w:t>
      </w:r>
    </w:p>
    <w:p>
      <w:pPr>
        <w:pStyle w:val="8"/>
        <w:overflowPunct w:val="0"/>
        <w:spacing w:line="360" w:lineRule="auto"/>
        <w:ind w:left="1260" w:hanging="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法定代表人或代理人：（签字或盖章）</w:t>
      </w:r>
    </w:p>
    <w:p>
      <w:pPr>
        <w:pStyle w:val="129"/>
        <w:adjustRightInd/>
        <w:spacing w:line="360" w:lineRule="auto"/>
        <w:rPr>
          <w:rFonts w:hAnsi="宋体"/>
          <w:color w:val="000000" w:themeColor="text1"/>
          <w:sz w:val="24"/>
          <w:highlight w:val="none"/>
          <w14:textFill>
            <w14:solidFill>
              <w14:schemeClr w14:val="tx1"/>
            </w14:solidFill>
          </w14:textFill>
        </w:rPr>
      </w:pPr>
    </w:p>
    <w:p>
      <w:pPr>
        <w:pStyle w:val="129"/>
        <w:adjustRightInd/>
        <w:spacing w:line="360" w:lineRule="auto"/>
        <w:rPr>
          <w:rFonts w:hAnsi="宋体"/>
          <w:color w:val="000000" w:themeColor="text1"/>
          <w:sz w:val="24"/>
          <w:highlight w:val="none"/>
          <w14:textFill>
            <w14:solidFill>
              <w14:schemeClr w14:val="tx1"/>
            </w14:solidFill>
          </w14:textFill>
        </w:rPr>
      </w:pPr>
    </w:p>
    <w:p>
      <w:pPr>
        <w:pStyle w:val="129"/>
        <w:adjustRightInd/>
        <w:spacing w:line="360" w:lineRule="auto"/>
        <w:ind w:firstLine="2880" w:firstLineChars="1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日期：      年    月    日</w:t>
      </w:r>
    </w:p>
    <w:p>
      <w:pPr>
        <w:pStyle w:val="127"/>
        <w:rPr>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pStyle w:val="24"/>
        <w:spacing w:line="400" w:lineRule="exact"/>
        <w:rPr>
          <w:rFonts w:asciiTheme="majorEastAsia" w:hAnsiTheme="majorEastAsia" w:eastAsiaTheme="majorEastAsia"/>
          <w:b/>
          <w:color w:val="000000" w:themeColor="text1"/>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r>
        <w:rPr>
          <w:rFonts w:hint="eastAsia" w:asciiTheme="majorEastAsia" w:hAnsiTheme="majorEastAsia" w:eastAsiaTheme="majorEastAsia"/>
          <w:b/>
          <w:bCs/>
          <w:color w:val="000000" w:themeColor="text1"/>
          <w:sz w:val="36"/>
          <w:szCs w:val="36"/>
          <w:highlight w:val="none"/>
          <w14:textFill>
            <w14:solidFill>
              <w14:schemeClr w14:val="tx1"/>
            </w14:solidFill>
          </w14:textFill>
        </w:rPr>
        <w:t>项目负责人情况一览表</w:t>
      </w:r>
    </w:p>
    <w:p>
      <w:pPr>
        <w:pStyle w:val="2"/>
        <w:rPr>
          <w:color w:val="000000" w:themeColor="text1"/>
          <w:highlight w:val="none"/>
          <w14:textFill>
            <w14:solidFill>
              <w14:schemeClr w14:val="tx1"/>
            </w14:solidFill>
          </w14:textFill>
        </w:rPr>
      </w:pPr>
    </w:p>
    <w:p>
      <w:pPr>
        <w:pStyle w:val="128"/>
        <w:ind w:firstLine="0" w:firstLineChars="0"/>
        <w:jc w:val="left"/>
        <w:rPr>
          <w:rFonts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采购编号：</w:t>
      </w:r>
    </w:p>
    <w:tbl>
      <w:tblPr>
        <w:tblStyle w:val="4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51"/>
        <w:gridCol w:w="2394"/>
        <w:gridCol w:w="1083"/>
        <w:gridCol w:w="1254"/>
        <w:gridCol w:w="18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jc w:val="center"/>
        </w:trPr>
        <w:tc>
          <w:tcPr>
            <w:tcW w:w="1851" w:type="dxa"/>
            <w:tcBorders>
              <w:top w:val="single" w:color="auto" w:sz="6" w:space="0"/>
              <w:left w:val="single" w:color="auto" w:sz="6" w:space="0"/>
              <w:bottom w:val="single" w:color="auto" w:sz="6" w:space="0"/>
              <w:right w:val="single" w:color="auto" w:sz="6" w:space="0"/>
            </w:tcBorders>
            <w:vAlign w:val="center"/>
          </w:tcPr>
          <w:p>
            <w:pPr>
              <w:pStyle w:val="8"/>
              <w:overflowPunct w:val="0"/>
              <w:adjustRightInd w:val="0"/>
              <w:ind w:firstLine="0"/>
              <w:jc w:val="center"/>
              <w:textAlignment w:val="baseline"/>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姓      名</w:t>
            </w:r>
          </w:p>
        </w:tc>
        <w:tc>
          <w:tcPr>
            <w:tcW w:w="2394" w:type="dxa"/>
            <w:tcBorders>
              <w:top w:val="single" w:color="auto" w:sz="6" w:space="0"/>
              <w:left w:val="single" w:color="auto" w:sz="6" w:space="0"/>
              <w:bottom w:val="single" w:color="auto" w:sz="6" w:space="0"/>
              <w:right w:val="single" w:color="auto" w:sz="6" w:space="0"/>
            </w:tcBorders>
            <w:vAlign w:val="center"/>
          </w:tcPr>
          <w:p>
            <w:pPr>
              <w:pStyle w:val="8"/>
              <w:overflowPunct w:val="0"/>
              <w:ind w:left="1260" w:hanging="420"/>
              <w:rPr>
                <w:rFonts w:ascii="宋体" w:hAnsi="宋体" w:cs="Arial Unicode MS"/>
                <w:color w:val="000000" w:themeColor="text1"/>
                <w:highlight w:val="none"/>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vAlign w:val="center"/>
          </w:tcPr>
          <w:p>
            <w:pPr>
              <w:pStyle w:val="8"/>
              <w:overflowPunct w:val="0"/>
              <w:adjustRightInd w:val="0"/>
              <w:ind w:firstLine="0"/>
              <w:jc w:val="center"/>
              <w:textAlignment w:val="baseline"/>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性   别</w:t>
            </w:r>
          </w:p>
        </w:tc>
        <w:tc>
          <w:tcPr>
            <w:tcW w:w="3072" w:type="dxa"/>
            <w:gridSpan w:val="2"/>
            <w:tcBorders>
              <w:top w:val="single" w:color="auto" w:sz="6" w:space="0"/>
              <w:left w:val="single" w:color="auto" w:sz="6" w:space="0"/>
              <w:bottom w:val="single" w:color="auto" w:sz="6" w:space="0"/>
              <w:right w:val="single" w:color="auto" w:sz="6" w:space="0"/>
            </w:tcBorders>
            <w:vAlign w:val="center"/>
          </w:tcPr>
          <w:p>
            <w:pPr>
              <w:pStyle w:val="8"/>
              <w:overflowPunct w:val="0"/>
              <w:ind w:left="1260" w:hanging="420"/>
              <w:rPr>
                <w:rFonts w:ascii="宋体" w:hAnsi="宋体" w:cs="Arial Unicode MS"/>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51" w:type="dxa"/>
            <w:tcBorders>
              <w:top w:val="single" w:color="auto" w:sz="6" w:space="0"/>
              <w:left w:val="single" w:color="auto" w:sz="6" w:space="0"/>
              <w:bottom w:val="single" w:color="auto" w:sz="6" w:space="0"/>
              <w:right w:val="single" w:color="auto" w:sz="6" w:space="0"/>
            </w:tcBorders>
            <w:vAlign w:val="center"/>
          </w:tcPr>
          <w:p>
            <w:pPr>
              <w:pStyle w:val="8"/>
              <w:overflowPunct w:val="0"/>
              <w:adjustRightInd w:val="0"/>
              <w:ind w:firstLine="0"/>
              <w:jc w:val="center"/>
              <w:textAlignment w:val="baseline"/>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身份证号码</w:t>
            </w:r>
          </w:p>
        </w:tc>
        <w:tc>
          <w:tcPr>
            <w:tcW w:w="3477" w:type="dxa"/>
            <w:gridSpan w:val="2"/>
            <w:tcBorders>
              <w:top w:val="single" w:color="auto" w:sz="6" w:space="0"/>
              <w:left w:val="single" w:color="auto" w:sz="6" w:space="0"/>
              <w:bottom w:val="single" w:color="auto" w:sz="6" w:space="0"/>
              <w:right w:val="single" w:color="auto" w:sz="6" w:space="0"/>
            </w:tcBorders>
            <w:vAlign w:val="center"/>
          </w:tcPr>
          <w:p>
            <w:pPr>
              <w:pStyle w:val="8"/>
              <w:overflowPunct w:val="0"/>
              <w:ind w:left="1260" w:hanging="420"/>
              <w:rPr>
                <w:rFonts w:ascii="宋体" w:hAnsi="宋体" w:cs="Arial Unicode MS"/>
                <w:color w:val="000000" w:themeColor="text1"/>
                <w:highlight w:val="none"/>
                <w14:textFill>
                  <w14:solidFill>
                    <w14:schemeClr w14:val="tx1"/>
                  </w14:solidFill>
                </w14:textFill>
              </w:rPr>
            </w:pPr>
          </w:p>
        </w:tc>
        <w:tc>
          <w:tcPr>
            <w:tcW w:w="1254" w:type="dxa"/>
            <w:tcBorders>
              <w:top w:val="single" w:color="auto" w:sz="6" w:space="0"/>
              <w:left w:val="single" w:color="auto" w:sz="6" w:space="0"/>
              <w:bottom w:val="single" w:color="auto" w:sz="6" w:space="0"/>
              <w:right w:val="single" w:color="auto" w:sz="6" w:space="0"/>
            </w:tcBorders>
            <w:vAlign w:val="center"/>
          </w:tcPr>
          <w:p>
            <w:pPr>
              <w:pStyle w:val="8"/>
              <w:overflowPunct w:val="0"/>
              <w:adjustRightInd w:val="0"/>
              <w:ind w:firstLine="0"/>
              <w:jc w:val="center"/>
              <w:textAlignment w:val="baseline"/>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出生年月</w:t>
            </w:r>
          </w:p>
        </w:tc>
        <w:tc>
          <w:tcPr>
            <w:tcW w:w="1818" w:type="dxa"/>
            <w:tcBorders>
              <w:top w:val="single" w:color="auto" w:sz="6" w:space="0"/>
              <w:left w:val="single" w:color="auto" w:sz="6" w:space="0"/>
              <w:bottom w:val="single" w:color="auto" w:sz="6" w:space="0"/>
              <w:right w:val="single" w:color="auto" w:sz="6" w:space="0"/>
            </w:tcBorders>
            <w:vAlign w:val="center"/>
          </w:tcPr>
          <w:p>
            <w:pPr>
              <w:pStyle w:val="8"/>
              <w:overflowPunct w:val="0"/>
              <w:ind w:left="1260" w:hanging="420"/>
              <w:jc w:val="center"/>
              <w:rPr>
                <w:rFonts w:ascii="宋体" w:hAnsi="宋体" w:cs="Arial Unicode MS"/>
                <w:color w:val="000000" w:themeColor="text1"/>
                <w:highlight w:val="none"/>
                <w14:textFill>
                  <w14:solidFill>
                    <w14:schemeClr w14:val="tx1"/>
                  </w14:solidFill>
                </w14:textFill>
              </w:rPr>
            </w:pPr>
            <w:r>
              <w:rPr>
                <w:rFonts w:hint="eastAsia" w:ascii="宋体" w:hAnsi="宋体" w:cs="Arial Unicode MS"/>
                <w:color w:val="000000" w:themeColor="text1"/>
                <w:highlight w:val="none"/>
                <w14:textFill>
                  <w14:solidFill>
                    <w14:schemeClr w14:val="tx1"/>
                  </w14:solidFill>
                </w14:textFill>
              </w:rPr>
              <w:t>年   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8400" w:type="dxa"/>
            <w:gridSpan w:val="5"/>
            <w:tcBorders>
              <w:top w:val="single" w:color="auto" w:sz="6" w:space="0"/>
              <w:left w:val="single" w:color="auto" w:sz="6" w:space="0"/>
              <w:bottom w:val="single" w:color="auto" w:sz="6" w:space="0"/>
              <w:right w:val="single" w:color="auto" w:sz="6" w:space="0"/>
            </w:tcBorders>
            <w:vAlign w:val="center"/>
          </w:tcPr>
          <w:p>
            <w:pPr>
              <w:pStyle w:val="8"/>
              <w:overflowPunct w:val="0"/>
              <w:ind w:firstLine="240" w:firstLineChars="100"/>
              <w:rPr>
                <w:rFonts w:ascii="宋体" w:hAnsi="宋体" w:cs="Arial Unicode MS"/>
                <w:color w:val="000000" w:themeColor="text1"/>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8400" w:type="dxa"/>
            <w:gridSpan w:val="5"/>
            <w:tcBorders>
              <w:top w:val="single" w:color="auto" w:sz="6" w:space="0"/>
              <w:left w:val="single" w:color="auto" w:sz="6" w:space="0"/>
              <w:bottom w:val="single" w:color="auto" w:sz="6" w:space="0"/>
              <w:right w:val="single" w:color="auto" w:sz="6" w:space="0"/>
            </w:tcBorders>
            <w:vAlign w:val="center"/>
          </w:tcPr>
          <w:p>
            <w:pPr>
              <w:pStyle w:val="8"/>
              <w:overflowPunct w:val="0"/>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从事专业工作时间：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5" w:hRule="atLeast"/>
          <w:jc w:val="center"/>
        </w:trPr>
        <w:tc>
          <w:tcPr>
            <w:tcW w:w="8400" w:type="dxa"/>
            <w:gridSpan w:val="5"/>
            <w:tcBorders>
              <w:top w:val="single" w:color="auto" w:sz="6" w:space="0"/>
              <w:left w:val="single" w:color="auto" w:sz="6" w:space="0"/>
              <w:bottom w:val="single" w:color="auto" w:sz="6" w:space="0"/>
              <w:right w:val="single" w:color="auto" w:sz="6" w:space="0"/>
            </w:tcBorders>
            <w:vAlign w:val="center"/>
          </w:tcPr>
          <w:p>
            <w:pPr>
              <w:pStyle w:val="8"/>
              <w:overflowPunct w:val="0"/>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拥有的职称及注册证书等：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54" w:hRule="atLeast"/>
          <w:jc w:val="center"/>
        </w:trPr>
        <w:tc>
          <w:tcPr>
            <w:tcW w:w="8400" w:type="dxa"/>
            <w:gridSpan w:val="5"/>
            <w:tcBorders>
              <w:top w:val="single" w:color="auto" w:sz="6" w:space="0"/>
              <w:left w:val="single" w:color="auto" w:sz="6" w:space="0"/>
              <w:bottom w:val="single" w:color="auto" w:sz="6" w:space="0"/>
              <w:right w:val="single" w:color="auto" w:sz="6" w:space="0"/>
            </w:tcBorders>
          </w:tcPr>
          <w:p>
            <w:pPr>
              <w:pStyle w:val="8"/>
              <w:overflowPunct w:val="0"/>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工作简历: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343" w:hRule="atLeast"/>
          <w:jc w:val="center"/>
        </w:trPr>
        <w:tc>
          <w:tcPr>
            <w:tcW w:w="8400" w:type="dxa"/>
            <w:gridSpan w:val="5"/>
            <w:tcBorders>
              <w:top w:val="single" w:color="auto" w:sz="6" w:space="0"/>
              <w:left w:val="single" w:color="auto" w:sz="6" w:space="0"/>
              <w:bottom w:val="single" w:color="auto" w:sz="6" w:space="0"/>
              <w:right w:val="single" w:color="auto" w:sz="6" w:space="0"/>
            </w:tcBorders>
          </w:tcPr>
          <w:p>
            <w:pPr>
              <w:pStyle w:val="8"/>
              <w:overflowPunct w:val="0"/>
              <w:spacing w:line="360" w:lineRule="auto"/>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曾获得的奖励情况：</w:t>
            </w:r>
          </w:p>
          <w:p>
            <w:pPr>
              <w:pStyle w:val="8"/>
              <w:overflowPunct w:val="0"/>
              <w:spacing w:line="360" w:lineRule="auto"/>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1、_____________________________________</w:t>
            </w:r>
          </w:p>
          <w:p>
            <w:pPr>
              <w:pStyle w:val="8"/>
              <w:overflowPunct w:val="0"/>
              <w:spacing w:line="360" w:lineRule="auto"/>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2、__________________________________________</w:t>
            </w:r>
          </w:p>
          <w:p>
            <w:pPr>
              <w:pStyle w:val="8"/>
              <w:overflowPunct w:val="0"/>
              <w:spacing w:line="360" w:lineRule="auto"/>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3、__________________________________________</w:t>
            </w:r>
          </w:p>
          <w:p>
            <w:pPr>
              <w:pStyle w:val="8"/>
              <w:overflowPunct w:val="0"/>
              <w:spacing w:line="360" w:lineRule="auto"/>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04" w:hRule="atLeast"/>
          <w:jc w:val="center"/>
        </w:trPr>
        <w:tc>
          <w:tcPr>
            <w:tcW w:w="8400" w:type="dxa"/>
            <w:gridSpan w:val="5"/>
            <w:tcBorders>
              <w:top w:val="single" w:color="auto" w:sz="6" w:space="0"/>
              <w:left w:val="single" w:color="auto" w:sz="6" w:space="0"/>
              <w:bottom w:val="single" w:color="auto" w:sz="6" w:space="0"/>
              <w:right w:val="single" w:color="auto" w:sz="6" w:space="0"/>
            </w:tcBorders>
          </w:tcPr>
          <w:p>
            <w:pPr>
              <w:pStyle w:val="8"/>
              <w:overflowPunct w:val="0"/>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本公司承诺：</w:t>
            </w:r>
          </w:p>
          <w:p>
            <w:pPr>
              <w:pStyle w:val="8"/>
              <w:overflowPunct w:val="0"/>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该项目负责人在我单位已任职   年以上且在从业经历中没有任何违法、违规而被查处的不良记录。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8" w:hRule="atLeast"/>
          <w:jc w:val="center"/>
        </w:trPr>
        <w:tc>
          <w:tcPr>
            <w:tcW w:w="8400" w:type="dxa"/>
            <w:gridSpan w:val="5"/>
            <w:tcBorders>
              <w:top w:val="single" w:color="auto" w:sz="6" w:space="0"/>
              <w:left w:val="single" w:color="auto" w:sz="6" w:space="0"/>
              <w:bottom w:val="single" w:color="auto" w:sz="6" w:space="0"/>
              <w:right w:val="single" w:color="auto" w:sz="6" w:space="0"/>
            </w:tcBorders>
          </w:tcPr>
          <w:p>
            <w:pPr>
              <w:pStyle w:val="8"/>
              <w:overflowPunct w:val="0"/>
              <w:ind w:firstLine="240" w:firstLineChars="100"/>
              <w:rPr>
                <w:rFonts w:ascii="宋体" w:hAnsi="宋体" w:eastAsia="宋体" w:cs="Arial Unicode MS"/>
                <w:color w:val="000000" w:themeColor="text1"/>
                <w:sz w:val="24"/>
                <w:szCs w:val="24"/>
                <w:highlight w:val="none"/>
                <w14:textFill>
                  <w14:solidFill>
                    <w14:schemeClr w14:val="tx1"/>
                  </w14:solidFill>
                </w14:textFill>
              </w:rPr>
            </w:pPr>
            <w:r>
              <w:rPr>
                <w:rFonts w:hint="eastAsia" w:ascii="宋体" w:hAnsi="宋体" w:eastAsia="宋体" w:cs="Arial Unicode MS"/>
                <w:color w:val="000000" w:themeColor="text1"/>
                <w:sz w:val="24"/>
                <w:szCs w:val="24"/>
                <w:highlight w:val="none"/>
                <w14:textFill>
                  <w14:solidFill>
                    <w14:schemeClr w14:val="tx1"/>
                  </w14:solidFill>
                </w14:textFill>
              </w:rPr>
              <w:t>其他需要说明的情况</w:t>
            </w:r>
          </w:p>
        </w:tc>
      </w:tr>
    </w:tbl>
    <w:p>
      <w:pPr>
        <w:pStyle w:val="128"/>
        <w:ind w:firstLine="0" w:firstLineChars="0"/>
        <w:rPr>
          <w:rFonts w:ascii="宋体" w:hAnsi="宋体"/>
          <w:color w:val="000000" w:themeColor="text1"/>
          <w:highlight w:val="none"/>
          <w14:textFill>
            <w14:solidFill>
              <w14:schemeClr w14:val="tx1"/>
            </w14:solidFill>
          </w14:textFill>
        </w:rPr>
      </w:pPr>
    </w:p>
    <w:p>
      <w:pPr>
        <w:pStyle w:val="128"/>
        <w:ind w:firstLine="0" w:firstLineChars="0"/>
        <w:rPr>
          <w:rFonts w:ascii="宋体" w:hAnsi="宋体"/>
          <w:color w:val="000000" w:themeColor="text1"/>
          <w:highlight w:val="none"/>
          <w14:textFill>
            <w14:solidFill>
              <w14:schemeClr w14:val="tx1"/>
            </w14:solidFill>
          </w14:textFill>
        </w:rPr>
      </w:pPr>
    </w:p>
    <w:p>
      <w:pPr>
        <w:pStyle w:val="8"/>
        <w:overflowPunct w:val="0"/>
        <w:spacing w:line="360" w:lineRule="auto"/>
        <w:ind w:left="1260" w:hanging="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投标人：（盖章）</w:t>
      </w:r>
    </w:p>
    <w:p>
      <w:pPr>
        <w:pStyle w:val="8"/>
        <w:overflowPunct w:val="0"/>
        <w:spacing w:line="360" w:lineRule="auto"/>
        <w:ind w:left="1260" w:hanging="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法定代表人或代理人：（签字或盖章）</w:t>
      </w:r>
    </w:p>
    <w:p>
      <w:pPr>
        <w:pStyle w:val="129"/>
        <w:adjustRightInd/>
        <w:spacing w:line="360" w:lineRule="auto"/>
        <w:rPr>
          <w:rFonts w:hAnsi="宋体"/>
          <w:color w:val="000000" w:themeColor="text1"/>
          <w:sz w:val="24"/>
          <w:highlight w:val="none"/>
          <w14:textFill>
            <w14:solidFill>
              <w14:schemeClr w14:val="tx1"/>
            </w14:solidFill>
          </w14:textFill>
        </w:rPr>
      </w:pPr>
    </w:p>
    <w:p>
      <w:pPr>
        <w:pStyle w:val="129"/>
        <w:adjustRightInd/>
        <w:spacing w:line="360" w:lineRule="auto"/>
        <w:ind w:firstLine="5280" w:firstLineChars="2200"/>
        <w:rPr>
          <w:rFonts w:hAnsi="宋体" w:cs="宋体"/>
          <w:b/>
          <w:bCs/>
          <w:color w:val="000000" w:themeColor="text1"/>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日期：      年    月    日</w:t>
      </w:r>
      <w:bookmarkEnd w:id="177"/>
      <w:bookmarkEnd w:id="178"/>
      <w:bookmarkEnd w:id="190"/>
      <w:bookmarkEnd w:id="193"/>
      <w:r>
        <w:rPr>
          <w:rFonts w:hint="eastAsia" w:hAnsi="宋体" w:cs="宋体"/>
          <w:b/>
          <w:bCs/>
          <w:color w:val="000000" w:themeColor="text1"/>
          <w:sz w:val="24"/>
          <w:highlight w:val="none"/>
          <w14:textFill>
            <w14:solidFill>
              <w14:schemeClr w14:val="tx1"/>
            </w14:solidFill>
          </w14:textFill>
        </w:rPr>
        <w:br w:type="page"/>
      </w:r>
    </w:p>
    <w:p>
      <w:pPr>
        <w:pStyle w:val="130"/>
        <w:rPr>
          <w:rFonts w:hAnsi="宋体"/>
          <w:color w:val="000000" w:themeColor="text1"/>
          <w:sz w:val="24"/>
          <w:highlight w:val="none"/>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36"/>
          <w:szCs w:val="36"/>
          <w:highlight w:val="none"/>
          <w14:textFill>
            <w14:solidFill>
              <w14:schemeClr w14:val="tx1"/>
            </w14:solidFill>
          </w14:textFill>
        </w:rPr>
      </w:pPr>
      <w:r>
        <w:rPr>
          <w:rFonts w:hint="eastAsia" w:asciiTheme="majorEastAsia" w:hAnsiTheme="majorEastAsia" w:eastAsiaTheme="majorEastAsia"/>
          <w:b/>
          <w:bCs/>
          <w:color w:val="000000" w:themeColor="text1"/>
          <w:sz w:val="36"/>
          <w:szCs w:val="36"/>
          <w:highlight w:val="none"/>
          <w14:textFill>
            <w14:solidFill>
              <w14:schemeClr w14:val="tx1"/>
            </w14:solidFill>
          </w14:textFill>
        </w:rPr>
        <w:t>类似项目经验一览表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3"/>
        <w:gridCol w:w="1807"/>
        <w:gridCol w:w="1651"/>
        <w:gridCol w:w="1650"/>
        <w:gridCol w:w="1925"/>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43"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hAnsi="宋体"/>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1807"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hAnsi="宋体"/>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合同名称</w:t>
            </w:r>
          </w:p>
        </w:tc>
        <w:tc>
          <w:tcPr>
            <w:tcW w:w="1651" w:type="dxa"/>
            <w:tcBorders>
              <w:top w:val="single" w:color="auto" w:sz="12" w:space="0"/>
              <w:left w:val="single" w:color="auto" w:sz="6" w:space="0"/>
              <w:bottom w:val="single" w:color="auto" w:sz="6" w:space="0"/>
              <w:right w:val="single" w:color="auto" w:sz="6" w:space="0"/>
            </w:tcBorders>
            <w:vAlign w:val="center"/>
          </w:tcPr>
          <w:p>
            <w:pPr>
              <w:tabs>
                <w:tab w:val="left" w:pos="6252"/>
              </w:tabs>
              <w:spacing w:line="360" w:lineRule="auto"/>
              <w:jc w:val="center"/>
              <w:rPr>
                <w:rFonts w:ascii="宋体" w:hAnsi="宋体"/>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业主单位</w:t>
            </w:r>
          </w:p>
        </w:tc>
        <w:tc>
          <w:tcPr>
            <w:tcW w:w="1650" w:type="dxa"/>
            <w:tcBorders>
              <w:top w:val="single" w:color="auto" w:sz="12" w:space="0"/>
              <w:left w:val="single" w:color="auto" w:sz="6" w:space="0"/>
              <w:bottom w:val="single" w:color="auto" w:sz="6" w:space="0"/>
              <w:right w:val="single" w:color="auto" w:sz="6" w:space="0"/>
            </w:tcBorders>
            <w:vAlign w:val="center"/>
          </w:tcPr>
          <w:p>
            <w:pPr>
              <w:tabs>
                <w:tab w:val="left" w:pos="6252"/>
              </w:tabs>
              <w:spacing w:line="360" w:lineRule="auto"/>
              <w:jc w:val="center"/>
              <w:rPr>
                <w:rFonts w:ascii="宋体" w:hAnsi="宋体"/>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项目时间</w:t>
            </w:r>
          </w:p>
        </w:tc>
        <w:tc>
          <w:tcPr>
            <w:tcW w:w="1925" w:type="dxa"/>
            <w:tcBorders>
              <w:top w:val="single" w:color="auto" w:sz="12" w:space="0"/>
              <w:left w:val="single" w:color="auto" w:sz="6" w:space="0"/>
              <w:bottom w:val="single" w:color="auto" w:sz="6" w:space="0"/>
              <w:right w:val="single" w:color="auto" w:sz="6" w:space="0"/>
            </w:tcBorders>
            <w:vAlign w:val="center"/>
          </w:tcPr>
          <w:p>
            <w:pPr>
              <w:tabs>
                <w:tab w:val="left" w:pos="6252"/>
              </w:tabs>
              <w:spacing w:line="360" w:lineRule="auto"/>
              <w:jc w:val="center"/>
              <w:rPr>
                <w:rFonts w:ascii="宋体" w:hAnsi="宋体"/>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合同金额</w:t>
            </w:r>
          </w:p>
        </w:tc>
        <w:tc>
          <w:tcPr>
            <w:tcW w:w="1316" w:type="dxa"/>
            <w:tcBorders>
              <w:top w:val="single" w:color="auto" w:sz="12" w:space="0"/>
              <w:left w:val="single" w:color="auto" w:sz="6" w:space="0"/>
              <w:bottom w:val="single" w:color="auto" w:sz="6" w:space="0"/>
              <w:right w:val="single" w:color="auto" w:sz="12" w:space="0"/>
            </w:tcBorders>
            <w:vAlign w:val="center"/>
          </w:tcPr>
          <w:p>
            <w:pPr>
              <w:tabs>
                <w:tab w:val="left" w:pos="6252"/>
              </w:tabs>
              <w:spacing w:line="360" w:lineRule="auto"/>
              <w:jc w:val="center"/>
              <w:rPr>
                <w:rFonts w:ascii="宋体" w:hAnsi="宋体"/>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18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43" w:type="dxa"/>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1807"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1" w:type="dxa"/>
            <w:tcBorders>
              <w:top w:val="single" w:color="auto" w:sz="6" w:space="0"/>
              <w:left w:val="single" w:color="auto" w:sz="6" w:space="0"/>
              <w:bottom w:val="single" w:color="auto" w:sz="12"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650" w:type="dxa"/>
            <w:tcBorders>
              <w:top w:val="single" w:color="auto" w:sz="6" w:space="0"/>
              <w:left w:val="single" w:color="auto" w:sz="6" w:space="0"/>
              <w:bottom w:val="single" w:color="auto" w:sz="12" w:space="0"/>
              <w:right w:val="single" w:color="auto" w:sz="6" w:space="0"/>
            </w:tcBorders>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925"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c>
          <w:tcPr>
            <w:tcW w:w="1316" w:type="dxa"/>
            <w:tcBorders>
              <w:top w:val="single" w:color="auto" w:sz="6" w:space="0"/>
              <w:left w:val="single" w:color="auto" w:sz="6" w:space="0"/>
              <w:bottom w:val="single" w:color="auto" w:sz="12" w:space="0"/>
              <w:right w:val="single" w:color="auto" w:sz="12" w:space="0"/>
            </w:tcBorders>
            <w:vAlign w:val="center"/>
          </w:tcPr>
          <w:p>
            <w:pPr>
              <w:spacing w:line="360" w:lineRule="auto"/>
              <w:jc w:val="center"/>
              <w:rPr>
                <w:rFonts w:ascii="宋体" w:hAnsi="宋体"/>
                <w:color w:val="000000" w:themeColor="text1"/>
                <w:sz w:val="24"/>
                <w:szCs w:val="22"/>
                <w:highlight w:val="none"/>
                <w14:textFill>
                  <w14:solidFill>
                    <w14:schemeClr w14:val="tx1"/>
                  </w14:solidFill>
                </w14:textFill>
              </w:rPr>
            </w:pPr>
          </w:p>
        </w:tc>
      </w:tr>
    </w:tbl>
    <w:p>
      <w:pPr>
        <w:pStyle w:val="125"/>
        <w:adjustRightInd/>
        <w:spacing w:line="360" w:lineRule="auto"/>
        <w:rPr>
          <w:rFonts w:hAnsi="宋体"/>
          <w:color w:val="000000" w:themeColor="text1"/>
          <w:sz w:val="24"/>
          <w:szCs w:val="24"/>
          <w:highlight w:val="none"/>
          <w14:textFill>
            <w14:solidFill>
              <w14:schemeClr w14:val="tx1"/>
            </w14:solidFill>
          </w14:textFill>
        </w:rPr>
      </w:pPr>
    </w:p>
    <w:p>
      <w:pPr>
        <w:pStyle w:val="125"/>
        <w:adjustRightInd/>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注：提供服务期超过12个月的合同。提供复印件，原件带至开标现场核查，未提供原件的不得分）</w:t>
      </w:r>
    </w:p>
    <w:p>
      <w:pPr>
        <w:pStyle w:val="8"/>
        <w:overflowPunct w:val="0"/>
        <w:spacing w:line="360" w:lineRule="auto"/>
        <w:ind w:left="1260" w:hanging="420"/>
        <w:rPr>
          <w:rFonts w:ascii="宋体" w:hAnsi="宋体" w:cs="Times New Roman"/>
          <w:bCs/>
          <w:color w:val="000000" w:themeColor="text1"/>
          <w:highlight w:val="none"/>
          <w14:textFill>
            <w14:solidFill>
              <w14:schemeClr w14:val="tx1"/>
            </w14:solidFill>
          </w14:textFill>
        </w:rPr>
      </w:pPr>
      <w:r>
        <w:rPr>
          <w:rFonts w:ascii="宋体" w:hAnsi="宋体" w:cs="Times New Roman"/>
          <w:bCs/>
          <w:color w:val="000000" w:themeColor="text1"/>
          <w:highlight w:val="none"/>
          <w14:textFill>
            <w14:solidFill>
              <w14:schemeClr w14:val="tx1"/>
            </w14:solidFill>
          </w14:textFill>
        </w:rPr>
        <w:br w:type="textWrapping"/>
      </w:r>
    </w:p>
    <w:p>
      <w:pPr>
        <w:pStyle w:val="8"/>
        <w:overflowPunct w:val="0"/>
        <w:spacing w:line="360" w:lineRule="auto"/>
        <w:ind w:left="1260" w:hanging="420"/>
        <w:rPr>
          <w:rFonts w:ascii="宋体" w:hAnsi="宋体" w:cs="Times New Roman"/>
          <w:bCs/>
          <w:color w:val="000000" w:themeColor="text1"/>
          <w:highlight w:val="none"/>
          <w14:textFill>
            <w14:solidFill>
              <w14:schemeClr w14:val="tx1"/>
            </w14:solidFill>
          </w14:textFill>
        </w:rPr>
      </w:pPr>
    </w:p>
    <w:p>
      <w:pPr>
        <w:pStyle w:val="8"/>
        <w:overflowPunct w:val="0"/>
        <w:spacing w:line="360" w:lineRule="auto"/>
        <w:ind w:left="1260" w:hanging="420"/>
        <w:rPr>
          <w:rFonts w:ascii="宋体" w:hAnsi="宋体" w:cs="Times New Roman"/>
          <w:bCs/>
          <w:color w:val="000000" w:themeColor="text1"/>
          <w:highlight w:val="none"/>
          <w14:textFill>
            <w14:solidFill>
              <w14:schemeClr w14:val="tx1"/>
            </w14:solidFill>
          </w14:textFill>
        </w:rPr>
      </w:pPr>
    </w:p>
    <w:p>
      <w:pPr>
        <w:pStyle w:val="125"/>
        <w:adjustRightInd/>
        <w:spacing w:line="360" w:lineRule="auto"/>
        <w:ind w:firstLine="5280" w:firstLineChars="2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投标人：（盖章）</w:t>
      </w:r>
    </w:p>
    <w:p>
      <w:pPr>
        <w:pStyle w:val="125"/>
        <w:adjustRightInd/>
        <w:spacing w:line="360" w:lineRule="auto"/>
        <w:ind w:firstLine="5280" w:firstLineChars="2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法定代表人或代理人：（签字或盖章）</w:t>
      </w:r>
    </w:p>
    <w:p>
      <w:pPr>
        <w:pStyle w:val="8"/>
        <w:overflowPunct w:val="0"/>
        <w:spacing w:line="360" w:lineRule="auto"/>
        <w:ind w:left="1260" w:hanging="420"/>
        <w:rPr>
          <w:rFonts w:ascii="宋体" w:hAnsi="宋体"/>
          <w:color w:val="000000" w:themeColor="text1"/>
          <w:highlight w:val="none"/>
          <w14:textFill>
            <w14:solidFill>
              <w14:schemeClr w14:val="tx1"/>
            </w14:solidFill>
          </w14:textFill>
        </w:rPr>
      </w:pPr>
    </w:p>
    <w:p>
      <w:pPr>
        <w:pStyle w:val="8"/>
        <w:overflowPunct w:val="0"/>
        <w:spacing w:line="360" w:lineRule="auto"/>
        <w:ind w:left="1260" w:hanging="420"/>
        <w:rPr>
          <w:rFonts w:ascii="宋体" w:hAnsi="宋体"/>
          <w:color w:val="000000" w:themeColor="text1"/>
          <w:highlight w:val="none"/>
          <w14:textFill>
            <w14:solidFill>
              <w14:schemeClr w14:val="tx1"/>
            </w14:solidFill>
          </w14:textFill>
        </w:rPr>
      </w:pPr>
    </w:p>
    <w:p>
      <w:pPr>
        <w:pStyle w:val="8"/>
        <w:overflowPunct w:val="0"/>
        <w:spacing w:line="360" w:lineRule="auto"/>
        <w:ind w:left="1260" w:leftChars="600" w:firstLine="4830" w:firstLineChars="23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   年   月   日</w:t>
      </w: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bookmarkStart w:id="194" w:name="_Toc462564146"/>
      <w:r>
        <w:rPr>
          <w:rFonts w:hint="eastAsia" w:asciiTheme="majorEastAsia" w:hAnsiTheme="majorEastAsia" w:eastAsiaTheme="majorEastAsia"/>
          <w:color w:val="000000" w:themeColor="text1"/>
          <w:sz w:val="32"/>
          <w:szCs w:val="32"/>
          <w:highlight w:val="none"/>
          <w14:textFill>
            <w14:solidFill>
              <w14:schemeClr w14:val="tx1"/>
            </w14:solidFill>
          </w14:textFill>
        </w:rPr>
        <w:t>六、技术方案、服务承诺、商务承诺、培训承诺等</w:t>
      </w:r>
      <w:bookmarkEnd w:id="194"/>
      <w:bookmarkStart w:id="195" w:name="_格式2__法定代表人授权书"/>
      <w:bookmarkEnd w:id="195"/>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127"/>
        <w:rPr>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sectPr>
      <w:pgSz w:w="11906" w:h="16838"/>
      <w:pgMar w:top="1134" w:right="1134" w:bottom="1134" w:left="1134" w:header="851" w:footer="680" w:gutter="0"/>
      <w:pgNumType w:fmt="numberInDas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89262"/>
    </w:sdtPr>
    <w:sdtContent>
      <w:p>
        <w:pPr>
          <w:pStyle w:val="29"/>
          <w:jc w:val="center"/>
        </w:pPr>
        <w:r>
          <w:fldChar w:fldCharType="begin"/>
        </w:r>
        <w:r>
          <w:instrText xml:space="preserve">PAGE   \* MERGEFORMAT</w:instrText>
        </w:r>
        <w:r>
          <w:fldChar w:fldCharType="separate"/>
        </w:r>
        <w:r>
          <w:rPr>
            <w:rFonts w:hint="eastAsia"/>
            <w:lang w:val="zh-CN"/>
          </w:rPr>
          <w:t>１</w:t>
        </w:r>
        <w:r>
          <w:rPr>
            <w:lang w:val="zh-CN"/>
          </w:rPr>
          <w:fldChar w:fldCharType="end"/>
        </w:r>
      </w:p>
    </w:sdtContent>
  </w:sdt>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w:pict>
        <v:shape id="_x0000_s2050" o:spid="_x0000_s2050" o:spt="202" type="#_x0000_t202" style="position:absolute;left:0pt;margin-top:0pt;height:10.35pt;width:27.6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- 6 -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2049" o:spid="_x0000_s2049"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- 34 -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江苏医药职业学院SY2021-046-FW-GK招标文件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b/>
      </w:rPr>
    </w:pPr>
    <w:r>
      <w:rPr>
        <w:rFonts w:hint="eastAsia"/>
        <w:b/>
      </w:rPr>
      <w:t>江苏医药职业学院SY2021-046-FW-GK招标文件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123B9"/>
    <w:multiLevelType w:val="singleLevel"/>
    <w:tmpl w:val="CBE123B9"/>
    <w:lvl w:ilvl="0" w:tentative="0">
      <w:start w:val="2"/>
      <w:numFmt w:val="decimal"/>
      <w:suff w:val="nothing"/>
      <w:lvlText w:val="%1、"/>
      <w:lvlJc w:val="left"/>
      <w:pPr>
        <w:ind w:left="480" w:firstLine="0"/>
      </w:pPr>
    </w:lvl>
  </w:abstractNum>
  <w:abstractNum w:abstractNumId="1">
    <w:nsid w:val="1571B291"/>
    <w:multiLevelType w:val="singleLevel"/>
    <w:tmpl w:val="1571B291"/>
    <w:lvl w:ilvl="0" w:tentative="0">
      <w:start w:val="6"/>
      <w:numFmt w:val="chineseCounting"/>
      <w:suff w:val="nothing"/>
      <w:lvlText w:val="%1、"/>
      <w:lvlJc w:val="left"/>
      <w:rPr>
        <w:rFonts w:hint="eastAsia"/>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5A2B9532"/>
    <w:multiLevelType w:val="singleLevel"/>
    <w:tmpl w:val="5A2B9532"/>
    <w:lvl w:ilvl="0" w:tentative="0">
      <w:start w:val="2"/>
      <w:numFmt w:val="decimal"/>
      <w:suff w:val="space"/>
      <w:lvlText w:val="%1."/>
      <w:lvlJc w:val="left"/>
      <w:pPr>
        <w:ind w:left="0" w:firstLine="0"/>
      </w:pPr>
    </w:lvl>
  </w:abstractNum>
  <w:num w:numId="1">
    <w:abstractNumId w:val="1"/>
  </w:num>
  <w:num w:numId="2">
    <w:abstractNumId w:val="0"/>
  </w:num>
  <w:num w:numId="3">
    <w:abstractNumId w:val="2"/>
  </w:num>
  <w:num w:numId="4">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40C2"/>
    <w:rsid w:val="00003269"/>
    <w:rsid w:val="00006A79"/>
    <w:rsid w:val="00006E03"/>
    <w:rsid w:val="0000715C"/>
    <w:rsid w:val="00007F0D"/>
    <w:rsid w:val="00012911"/>
    <w:rsid w:val="0001334D"/>
    <w:rsid w:val="0001366A"/>
    <w:rsid w:val="000140FE"/>
    <w:rsid w:val="00015C6B"/>
    <w:rsid w:val="00021F1E"/>
    <w:rsid w:val="000307D8"/>
    <w:rsid w:val="000324C7"/>
    <w:rsid w:val="00035751"/>
    <w:rsid w:val="00050739"/>
    <w:rsid w:val="00050D98"/>
    <w:rsid w:val="00051179"/>
    <w:rsid w:val="00057155"/>
    <w:rsid w:val="000603B4"/>
    <w:rsid w:val="000657E4"/>
    <w:rsid w:val="00065B48"/>
    <w:rsid w:val="000664C5"/>
    <w:rsid w:val="000665A3"/>
    <w:rsid w:val="00067C76"/>
    <w:rsid w:val="00067C78"/>
    <w:rsid w:val="00080FB5"/>
    <w:rsid w:val="000969CC"/>
    <w:rsid w:val="000A45EB"/>
    <w:rsid w:val="000A4F3A"/>
    <w:rsid w:val="000B1308"/>
    <w:rsid w:val="000B19FF"/>
    <w:rsid w:val="000B63E8"/>
    <w:rsid w:val="000B7A95"/>
    <w:rsid w:val="000C1326"/>
    <w:rsid w:val="000C3F40"/>
    <w:rsid w:val="000C73E6"/>
    <w:rsid w:val="000D1D12"/>
    <w:rsid w:val="000D7A3B"/>
    <w:rsid w:val="000E663D"/>
    <w:rsid w:val="000E6E0D"/>
    <w:rsid w:val="000F4F4F"/>
    <w:rsid w:val="00101305"/>
    <w:rsid w:val="001042F9"/>
    <w:rsid w:val="00112796"/>
    <w:rsid w:val="001151CD"/>
    <w:rsid w:val="001161D8"/>
    <w:rsid w:val="001170E2"/>
    <w:rsid w:val="0012177E"/>
    <w:rsid w:val="0012355B"/>
    <w:rsid w:val="00132821"/>
    <w:rsid w:val="00133C9D"/>
    <w:rsid w:val="00155B77"/>
    <w:rsid w:val="00157704"/>
    <w:rsid w:val="00157F23"/>
    <w:rsid w:val="00161F4E"/>
    <w:rsid w:val="00163C1B"/>
    <w:rsid w:val="00167D9E"/>
    <w:rsid w:val="00170AC5"/>
    <w:rsid w:val="00173531"/>
    <w:rsid w:val="00175086"/>
    <w:rsid w:val="001879D7"/>
    <w:rsid w:val="0019175B"/>
    <w:rsid w:val="00191EEC"/>
    <w:rsid w:val="001A441F"/>
    <w:rsid w:val="001A49F5"/>
    <w:rsid w:val="001C2CEE"/>
    <w:rsid w:val="001D2336"/>
    <w:rsid w:val="001E29FD"/>
    <w:rsid w:val="001E3F05"/>
    <w:rsid w:val="001E5788"/>
    <w:rsid w:val="001F6AFF"/>
    <w:rsid w:val="00201074"/>
    <w:rsid w:val="00204A2F"/>
    <w:rsid w:val="00206D1F"/>
    <w:rsid w:val="002076E9"/>
    <w:rsid w:val="00213156"/>
    <w:rsid w:val="002179B3"/>
    <w:rsid w:val="002248EA"/>
    <w:rsid w:val="00226D4B"/>
    <w:rsid w:val="002310EF"/>
    <w:rsid w:val="0023246A"/>
    <w:rsid w:val="002374DB"/>
    <w:rsid w:val="00240D03"/>
    <w:rsid w:val="0024388E"/>
    <w:rsid w:val="00243EED"/>
    <w:rsid w:val="00245547"/>
    <w:rsid w:val="0025368D"/>
    <w:rsid w:val="00254FE7"/>
    <w:rsid w:val="0027061F"/>
    <w:rsid w:val="00282151"/>
    <w:rsid w:val="00296409"/>
    <w:rsid w:val="002A0C29"/>
    <w:rsid w:val="002A4741"/>
    <w:rsid w:val="002B7B13"/>
    <w:rsid w:val="002C130B"/>
    <w:rsid w:val="002C71EC"/>
    <w:rsid w:val="002D319E"/>
    <w:rsid w:val="002D7AA0"/>
    <w:rsid w:val="002E3379"/>
    <w:rsid w:val="002E6B7C"/>
    <w:rsid w:val="002F5934"/>
    <w:rsid w:val="002F6F52"/>
    <w:rsid w:val="00301EB0"/>
    <w:rsid w:val="003048F2"/>
    <w:rsid w:val="0030544F"/>
    <w:rsid w:val="00305A13"/>
    <w:rsid w:val="00306F2F"/>
    <w:rsid w:val="003125CA"/>
    <w:rsid w:val="00317D83"/>
    <w:rsid w:val="003202C3"/>
    <w:rsid w:val="0034256C"/>
    <w:rsid w:val="0034641A"/>
    <w:rsid w:val="00353D28"/>
    <w:rsid w:val="00355ABF"/>
    <w:rsid w:val="003562A8"/>
    <w:rsid w:val="00373685"/>
    <w:rsid w:val="003766AE"/>
    <w:rsid w:val="00380868"/>
    <w:rsid w:val="003845AE"/>
    <w:rsid w:val="003863A7"/>
    <w:rsid w:val="00386CD7"/>
    <w:rsid w:val="0039631F"/>
    <w:rsid w:val="003B09AE"/>
    <w:rsid w:val="003C1B2A"/>
    <w:rsid w:val="003E4FE4"/>
    <w:rsid w:val="003F1A19"/>
    <w:rsid w:val="003F3621"/>
    <w:rsid w:val="003F3D88"/>
    <w:rsid w:val="003F4DA3"/>
    <w:rsid w:val="003F6370"/>
    <w:rsid w:val="00400375"/>
    <w:rsid w:val="004028FA"/>
    <w:rsid w:val="00404DD3"/>
    <w:rsid w:val="00406DF2"/>
    <w:rsid w:val="0041272E"/>
    <w:rsid w:val="00412AA2"/>
    <w:rsid w:val="004205C8"/>
    <w:rsid w:val="00422C3E"/>
    <w:rsid w:val="00423DCD"/>
    <w:rsid w:val="00424FD7"/>
    <w:rsid w:val="00425C2C"/>
    <w:rsid w:val="004303CB"/>
    <w:rsid w:val="00432D31"/>
    <w:rsid w:val="00435842"/>
    <w:rsid w:val="00435A34"/>
    <w:rsid w:val="00440095"/>
    <w:rsid w:val="0044232C"/>
    <w:rsid w:val="00455945"/>
    <w:rsid w:val="004601B8"/>
    <w:rsid w:val="00460374"/>
    <w:rsid w:val="004619E0"/>
    <w:rsid w:val="00462A6D"/>
    <w:rsid w:val="00467900"/>
    <w:rsid w:val="004723F3"/>
    <w:rsid w:val="00472D8E"/>
    <w:rsid w:val="00472FFE"/>
    <w:rsid w:val="0047323F"/>
    <w:rsid w:val="0047592B"/>
    <w:rsid w:val="004773D6"/>
    <w:rsid w:val="00480BDC"/>
    <w:rsid w:val="00481E8C"/>
    <w:rsid w:val="0049493D"/>
    <w:rsid w:val="00495EA5"/>
    <w:rsid w:val="004974FC"/>
    <w:rsid w:val="004A09CF"/>
    <w:rsid w:val="004A4A10"/>
    <w:rsid w:val="004B48AF"/>
    <w:rsid w:val="004B77D9"/>
    <w:rsid w:val="004B7CFA"/>
    <w:rsid w:val="004C210E"/>
    <w:rsid w:val="004D2BAE"/>
    <w:rsid w:val="004E417E"/>
    <w:rsid w:val="004E6F25"/>
    <w:rsid w:val="004E766E"/>
    <w:rsid w:val="004F3CBD"/>
    <w:rsid w:val="004F7288"/>
    <w:rsid w:val="004F73CE"/>
    <w:rsid w:val="0050030D"/>
    <w:rsid w:val="00511E9F"/>
    <w:rsid w:val="00520296"/>
    <w:rsid w:val="005251BF"/>
    <w:rsid w:val="00525754"/>
    <w:rsid w:val="00525B1B"/>
    <w:rsid w:val="005358CC"/>
    <w:rsid w:val="00535946"/>
    <w:rsid w:val="00545071"/>
    <w:rsid w:val="005463A1"/>
    <w:rsid w:val="00546920"/>
    <w:rsid w:val="00547285"/>
    <w:rsid w:val="005507A1"/>
    <w:rsid w:val="005509CB"/>
    <w:rsid w:val="005547E7"/>
    <w:rsid w:val="00555A12"/>
    <w:rsid w:val="00555C54"/>
    <w:rsid w:val="005646D6"/>
    <w:rsid w:val="00566B31"/>
    <w:rsid w:val="00573971"/>
    <w:rsid w:val="00574EAE"/>
    <w:rsid w:val="005808BA"/>
    <w:rsid w:val="00583115"/>
    <w:rsid w:val="00592324"/>
    <w:rsid w:val="00594824"/>
    <w:rsid w:val="0059493B"/>
    <w:rsid w:val="005A1944"/>
    <w:rsid w:val="005A3223"/>
    <w:rsid w:val="005B09D2"/>
    <w:rsid w:val="005B18DA"/>
    <w:rsid w:val="005B1B78"/>
    <w:rsid w:val="005B5C97"/>
    <w:rsid w:val="005C1DE2"/>
    <w:rsid w:val="005C1FFB"/>
    <w:rsid w:val="005D2639"/>
    <w:rsid w:val="005D2771"/>
    <w:rsid w:val="005D5748"/>
    <w:rsid w:val="005D5888"/>
    <w:rsid w:val="005E49BA"/>
    <w:rsid w:val="005F0F1D"/>
    <w:rsid w:val="005F553B"/>
    <w:rsid w:val="005F5B05"/>
    <w:rsid w:val="005F5BB6"/>
    <w:rsid w:val="00605EBB"/>
    <w:rsid w:val="006111C4"/>
    <w:rsid w:val="006144F2"/>
    <w:rsid w:val="00614C4B"/>
    <w:rsid w:val="00616D11"/>
    <w:rsid w:val="00617BE9"/>
    <w:rsid w:val="00620693"/>
    <w:rsid w:val="006229B7"/>
    <w:rsid w:val="00627877"/>
    <w:rsid w:val="00631D4E"/>
    <w:rsid w:val="00637950"/>
    <w:rsid w:val="00643AEE"/>
    <w:rsid w:val="00644150"/>
    <w:rsid w:val="006442EC"/>
    <w:rsid w:val="006446A6"/>
    <w:rsid w:val="00655A9D"/>
    <w:rsid w:val="00657186"/>
    <w:rsid w:val="00657BEE"/>
    <w:rsid w:val="00674555"/>
    <w:rsid w:val="006774EC"/>
    <w:rsid w:val="00680B0C"/>
    <w:rsid w:val="0068379A"/>
    <w:rsid w:val="00693276"/>
    <w:rsid w:val="00693F38"/>
    <w:rsid w:val="006A34E1"/>
    <w:rsid w:val="006A42F0"/>
    <w:rsid w:val="006C3B63"/>
    <w:rsid w:val="006C4343"/>
    <w:rsid w:val="006D27E6"/>
    <w:rsid w:val="006D2DC6"/>
    <w:rsid w:val="006E0B2B"/>
    <w:rsid w:val="006E1AD0"/>
    <w:rsid w:val="006E6BB6"/>
    <w:rsid w:val="006F1BE6"/>
    <w:rsid w:val="006F49DB"/>
    <w:rsid w:val="006F4E95"/>
    <w:rsid w:val="006F6A43"/>
    <w:rsid w:val="0070592F"/>
    <w:rsid w:val="0071102C"/>
    <w:rsid w:val="0071285F"/>
    <w:rsid w:val="00716625"/>
    <w:rsid w:val="00721027"/>
    <w:rsid w:val="00725012"/>
    <w:rsid w:val="007343AE"/>
    <w:rsid w:val="00741045"/>
    <w:rsid w:val="00742108"/>
    <w:rsid w:val="00742352"/>
    <w:rsid w:val="00746F12"/>
    <w:rsid w:val="00750F3C"/>
    <w:rsid w:val="00750FFA"/>
    <w:rsid w:val="00751DAE"/>
    <w:rsid w:val="00760D4C"/>
    <w:rsid w:val="00767504"/>
    <w:rsid w:val="00767BF9"/>
    <w:rsid w:val="00773056"/>
    <w:rsid w:val="00776DFB"/>
    <w:rsid w:val="0079019A"/>
    <w:rsid w:val="0079477C"/>
    <w:rsid w:val="00796EDC"/>
    <w:rsid w:val="007A742D"/>
    <w:rsid w:val="007B07DA"/>
    <w:rsid w:val="007B32D5"/>
    <w:rsid w:val="007C7520"/>
    <w:rsid w:val="007D474B"/>
    <w:rsid w:val="007D674D"/>
    <w:rsid w:val="007D7767"/>
    <w:rsid w:val="007E536F"/>
    <w:rsid w:val="007F22AF"/>
    <w:rsid w:val="007F22C2"/>
    <w:rsid w:val="007F7F93"/>
    <w:rsid w:val="00801771"/>
    <w:rsid w:val="00804453"/>
    <w:rsid w:val="0081445F"/>
    <w:rsid w:val="00820AF7"/>
    <w:rsid w:val="00820EF8"/>
    <w:rsid w:val="008217EB"/>
    <w:rsid w:val="008226D9"/>
    <w:rsid w:val="008248B9"/>
    <w:rsid w:val="0083005C"/>
    <w:rsid w:val="0083022D"/>
    <w:rsid w:val="00844979"/>
    <w:rsid w:val="008579B3"/>
    <w:rsid w:val="00867578"/>
    <w:rsid w:val="00873541"/>
    <w:rsid w:val="008867FB"/>
    <w:rsid w:val="0088726E"/>
    <w:rsid w:val="00890EA1"/>
    <w:rsid w:val="00894200"/>
    <w:rsid w:val="008A2E43"/>
    <w:rsid w:val="008A3077"/>
    <w:rsid w:val="008A538C"/>
    <w:rsid w:val="008A578A"/>
    <w:rsid w:val="008A656E"/>
    <w:rsid w:val="008A6FFF"/>
    <w:rsid w:val="008B6609"/>
    <w:rsid w:val="008B7BBD"/>
    <w:rsid w:val="008C06FA"/>
    <w:rsid w:val="008E4362"/>
    <w:rsid w:val="008E516D"/>
    <w:rsid w:val="008E5179"/>
    <w:rsid w:val="008E55AD"/>
    <w:rsid w:val="008F3CD3"/>
    <w:rsid w:val="008F5F7C"/>
    <w:rsid w:val="00910234"/>
    <w:rsid w:val="009104AF"/>
    <w:rsid w:val="0091105E"/>
    <w:rsid w:val="00914289"/>
    <w:rsid w:val="0091571D"/>
    <w:rsid w:val="00920154"/>
    <w:rsid w:val="00920C92"/>
    <w:rsid w:val="009305C2"/>
    <w:rsid w:val="00940E0C"/>
    <w:rsid w:val="00946B25"/>
    <w:rsid w:val="00950551"/>
    <w:rsid w:val="00955AA1"/>
    <w:rsid w:val="009624B5"/>
    <w:rsid w:val="00967544"/>
    <w:rsid w:val="0097102E"/>
    <w:rsid w:val="00971A56"/>
    <w:rsid w:val="00974069"/>
    <w:rsid w:val="00981F78"/>
    <w:rsid w:val="009905E1"/>
    <w:rsid w:val="00992C7F"/>
    <w:rsid w:val="00996737"/>
    <w:rsid w:val="009A0177"/>
    <w:rsid w:val="009A4A7E"/>
    <w:rsid w:val="009A551B"/>
    <w:rsid w:val="009A7F1F"/>
    <w:rsid w:val="009B7D05"/>
    <w:rsid w:val="009C3A7B"/>
    <w:rsid w:val="009D1FBD"/>
    <w:rsid w:val="009D7BDE"/>
    <w:rsid w:val="009E1C38"/>
    <w:rsid w:val="009E3BCB"/>
    <w:rsid w:val="009E4921"/>
    <w:rsid w:val="009E5DC6"/>
    <w:rsid w:val="009E6B1D"/>
    <w:rsid w:val="009F122E"/>
    <w:rsid w:val="009F1746"/>
    <w:rsid w:val="009F564A"/>
    <w:rsid w:val="00A1075E"/>
    <w:rsid w:val="00A10B64"/>
    <w:rsid w:val="00A137CA"/>
    <w:rsid w:val="00A152E8"/>
    <w:rsid w:val="00A161C0"/>
    <w:rsid w:val="00A218A5"/>
    <w:rsid w:val="00A23E1F"/>
    <w:rsid w:val="00A30455"/>
    <w:rsid w:val="00A32700"/>
    <w:rsid w:val="00A457BE"/>
    <w:rsid w:val="00A573F1"/>
    <w:rsid w:val="00A62EFA"/>
    <w:rsid w:val="00A632B3"/>
    <w:rsid w:val="00A637B4"/>
    <w:rsid w:val="00A7517D"/>
    <w:rsid w:val="00A755C1"/>
    <w:rsid w:val="00A77F1E"/>
    <w:rsid w:val="00A83756"/>
    <w:rsid w:val="00A86A55"/>
    <w:rsid w:val="00A91406"/>
    <w:rsid w:val="00A921A1"/>
    <w:rsid w:val="00A93D94"/>
    <w:rsid w:val="00AA3044"/>
    <w:rsid w:val="00AB33A2"/>
    <w:rsid w:val="00AB6723"/>
    <w:rsid w:val="00AB7C31"/>
    <w:rsid w:val="00AC0BE6"/>
    <w:rsid w:val="00AD41CC"/>
    <w:rsid w:val="00AE13FC"/>
    <w:rsid w:val="00AE1453"/>
    <w:rsid w:val="00AE38E9"/>
    <w:rsid w:val="00AE44E9"/>
    <w:rsid w:val="00AE53EC"/>
    <w:rsid w:val="00AE635B"/>
    <w:rsid w:val="00AF4FDB"/>
    <w:rsid w:val="00AF50B0"/>
    <w:rsid w:val="00AF65FB"/>
    <w:rsid w:val="00B005DA"/>
    <w:rsid w:val="00B056AF"/>
    <w:rsid w:val="00B05D51"/>
    <w:rsid w:val="00B077C2"/>
    <w:rsid w:val="00B12C5C"/>
    <w:rsid w:val="00B135A9"/>
    <w:rsid w:val="00B14057"/>
    <w:rsid w:val="00B22D5D"/>
    <w:rsid w:val="00B25DC8"/>
    <w:rsid w:val="00B33673"/>
    <w:rsid w:val="00B364F1"/>
    <w:rsid w:val="00B41971"/>
    <w:rsid w:val="00B51463"/>
    <w:rsid w:val="00B51FAE"/>
    <w:rsid w:val="00B5276B"/>
    <w:rsid w:val="00B54949"/>
    <w:rsid w:val="00B56A6D"/>
    <w:rsid w:val="00B57D0E"/>
    <w:rsid w:val="00B66971"/>
    <w:rsid w:val="00B66B1C"/>
    <w:rsid w:val="00B767D6"/>
    <w:rsid w:val="00BA3765"/>
    <w:rsid w:val="00BA5FD8"/>
    <w:rsid w:val="00BC0190"/>
    <w:rsid w:val="00BC07E2"/>
    <w:rsid w:val="00BC144D"/>
    <w:rsid w:val="00BD1266"/>
    <w:rsid w:val="00BD4314"/>
    <w:rsid w:val="00BD4F0B"/>
    <w:rsid w:val="00BD7230"/>
    <w:rsid w:val="00BE193D"/>
    <w:rsid w:val="00BF4C4F"/>
    <w:rsid w:val="00C0159E"/>
    <w:rsid w:val="00C023AB"/>
    <w:rsid w:val="00C05EA7"/>
    <w:rsid w:val="00C06C9C"/>
    <w:rsid w:val="00C112F3"/>
    <w:rsid w:val="00C204B1"/>
    <w:rsid w:val="00C20900"/>
    <w:rsid w:val="00C214A9"/>
    <w:rsid w:val="00C26011"/>
    <w:rsid w:val="00C264FE"/>
    <w:rsid w:val="00C30DBC"/>
    <w:rsid w:val="00C324B6"/>
    <w:rsid w:val="00C34235"/>
    <w:rsid w:val="00C412A7"/>
    <w:rsid w:val="00C46307"/>
    <w:rsid w:val="00C63598"/>
    <w:rsid w:val="00C64F1D"/>
    <w:rsid w:val="00C70C2A"/>
    <w:rsid w:val="00C74A53"/>
    <w:rsid w:val="00C815CE"/>
    <w:rsid w:val="00C835B8"/>
    <w:rsid w:val="00C862D8"/>
    <w:rsid w:val="00C86ED0"/>
    <w:rsid w:val="00C91771"/>
    <w:rsid w:val="00C94369"/>
    <w:rsid w:val="00CA6AD2"/>
    <w:rsid w:val="00CA70D5"/>
    <w:rsid w:val="00CA748F"/>
    <w:rsid w:val="00CB0869"/>
    <w:rsid w:val="00CB0AB8"/>
    <w:rsid w:val="00CB18A5"/>
    <w:rsid w:val="00CC0C0A"/>
    <w:rsid w:val="00CC6C9B"/>
    <w:rsid w:val="00CE471C"/>
    <w:rsid w:val="00CE5A71"/>
    <w:rsid w:val="00CE79A7"/>
    <w:rsid w:val="00CE7CD8"/>
    <w:rsid w:val="00CF3AF3"/>
    <w:rsid w:val="00D0372E"/>
    <w:rsid w:val="00D11472"/>
    <w:rsid w:val="00D143B2"/>
    <w:rsid w:val="00D20AE3"/>
    <w:rsid w:val="00D25A36"/>
    <w:rsid w:val="00D267E9"/>
    <w:rsid w:val="00D26DEE"/>
    <w:rsid w:val="00D27E8D"/>
    <w:rsid w:val="00D362CA"/>
    <w:rsid w:val="00D37B22"/>
    <w:rsid w:val="00D37FF5"/>
    <w:rsid w:val="00D409DD"/>
    <w:rsid w:val="00D41ED7"/>
    <w:rsid w:val="00D42911"/>
    <w:rsid w:val="00D43DA3"/>
    <w:rsid w:val="00D50A48"/>
    <w:rsid w:val="00D524AB"/>
    <w:rsid w:val="00D55D00"/>
    <w:rsid w:val="00D574E6"/>
    <w:rsid w:val="00D6172F"/>
    <w:rsid w:val="00D67895"/>
    <w:rsid w:val="00D72561"/>
    <w:rsid w:val="00D77983"/>
    <w:rsid w:val="00D805D0"/>
    <w:rsid w:val="00D80E97"/>
    <w:rsid w:val="00D829CB"/>
    <w:rsid w:val="00D8754D"/>
    <w:rsid w:val="00D91B7F"/>
    <w:rsid w:val="00D947D6"/>
    <w:rsid w:val="00DA1D37"/>
    <w:rsid w:val="00DA7070"/>
    <w:rsid w:val="00DB0B75"/>
    <w:rsid w:val="00DC55AD"/>
    <w:rsid w:val="00DD7882"/>
    <w:rsid w:val="00DE4FA4"/>
    <w:rsid w:val="00DE7F78"/>
    <w:rsid w:val="00DF0627"/>
    <w:rsid w:val="00DF06E8"/>
    <w:rsid w:val="00DF3379"/>
    <w:rsid w:val="00DF428E"/>
    <w:rsid w:val="00DF6497"/>
    <w:rsid w:val="00E1124F"/>
    <w:rsid w:val="00E141A7"/>
    <w:rsid w:val="00E14A75"/>
    <w:rsid w:val="00E1631A"/>
    <w:rsid w:val="00E357CC"/>
    <w:rsid w:val="00E415F3"/>
    <w:rsid w:val="00E42C97"/>
    <w:rsid w:val="00E557FE"/>
    <w:rsid w:val="00E567CD"/>
    <w:rsid w:val="00E635CA"/>
    <w:rsid w:val="00E73125"/>
    <w:rsid w:val="00E735A9"/>
    <w:rsid w:val="00E80F0B"/>
    <w:rsid w:val="00E857FD"/>
    <w:rsid w:val="00E904A2"/>
    <w:rsid w:val="00E90E34"/>
    <w:rsid w:val="00E940C2"/>
    <w:rsid w:val="00EA5F79"/>
    <w:rsid w:val="00EB436F"/>
    <w:rsid w:val="00EC4534"/>
    <w:rsid w:val="00ED2D9F"/>
    <w:rsid w:val="00ED7BA2"/>
    <w:rsid w:val="00EE0037"/>
    <w:rsid w:val="00EE0A65"/>
    <w:rsid w:val="00EE134C"/>
    <w:rsid w:val="00EE6ED0"/>
    <w:rsid w:val="00EE7C30"/>
    <w:rsid w:val="00EF0540"/>
    <w:rsid w:val="00EF5DAA"/>
    <w:rsid w:val="00F02D48"/>
    <w:rsid w:val="00F05927"/>
    <w:rsid w:val="00F06B7C"/>
    <w:rsid w:val="00F0721B"/>
    <w:rsid w:val="00F12B2F"/>
    <w:rsid w:val="00F151E6"/>
    <w:rsid w:val="00F16B09"/>
    <w:rsid w:val="00F21462"/>
    <w:rsid w:val="00F26419"/>
    <w:rsid w:val="00F506E5"/>
    <w:rsid w:val="00F53DA1"/>
    <w:rsid w:val="00F654C9"/>
    <w:rsid w:val="00F7034D"/>
    <w:rsid w:val="00F81E05"/>
    <w:rsid w:val="00F8340D"/>
    <w:rsid w:val="00FA3516"/>
    <w:rsid w:val="00FB4230"/>
    <w:rsid w:val="00FD1B39"/>
    <w:rsid w:val="00FE4314"/>
    <w:rsid w:val="00FF1252"/>
    <w:rsid w:val="00FF4C51"/>
    <w:rsid w:val="02F43E1B"/>
    <w:rsid w:val="0ECB6F11"/>
    <w:rsid w:val="126B4AE9"/>
    <w:rsid w:val="13A91C72"/>
    <w:rsid w:val="13D35560"/>
    <w:rsid w:val="16354CA7"/>
    <w:rsid w:val="19E41C11"/>
    <w:rsid w:val="1B3D7E0D"/>
    <w:rsid w:val="1D196F61"/>
    <w:rsid w:val="1E5958C0"/>
    <w:rsid w:val="236C610B"/>
    <w:rsid w:val="3CE516ED"/>
    <w:rsid w:val="3CF12475"/>
    <w:rsid w:val="4CC254E0"/>
    <w:rsid w:val="52E913D5"/>
    <w:rsid w:val="559A5C8A"/>
    <w:rsid w:val="6261196D"/>
    <w:rsid w:val="64AF4D6B"/>
    <w:rsid w:val="67DE42A0"/>
    <w:rsid w:val="762A2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5"/>
    <w:qFormat/>
    <w:uiPriority w:val="0"/>
    <w:pPr>
      <w:keepNext/>
      <w:jc w:val="center"/>
      <w:outlineLvl w:val="0"/>
    </w:pPr>
    <w:rPr>
      <w:rFonts w:ascii="楷体_GB2312" w:eastAsia="楷体_GB2312"/>
      <w:sz w:val="28"/>
      <w:szCs w:val="28"/>
    </w:rPr>
  </w:style>
  <w:style w:type="paragraph" w:styleId="6">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8"/>
    <w:link w:val="57"/>
    <w:qFormat/>
    <w:uiPriority w:val="0"/>
    <w:pPr>
      <w:keepNext/>
      <w:keepLines/>
      <w:spacing w:before="260" w:after="260" w:line="416" w:lineRule="auto"/>
      <w:outlineLvl w:val="2"/>
    </w:pPr>
    <w:rPr>
      <w:b/>
      <w:bCs/>
      <w:sz w:val="32"/>
      <w:szCs w:val="32"/>
    </w:rPr>
  </w:style>
  <w:style w:type="paragraph" w:styleId="9">
    <w:name w:val="heading 4"/>
    <w:basedOn w:val="1"/>
    <w:next w:val="1"/>
    <w:link w:val="58"/>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8"/>
    <w:link w:val="59"/>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0"/>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61"/>
    <w:qFormat/>
    <w:uiPriority w:val="0"/>
    <w:pPr>
      <w:keepNext/>
      <w:keepLines/>
      <w:spacing w:before="240" w:after="64" w:line="320" w:lineRule="auto"/>
      <w:outlineLvl w:val="6"/>
    </w:pPr>
    <w:rPr>
      <w:b/>
      <w:bCs/>
      <w:sz w:val="24"/>
      <w:szCs w:val="24"/>
    </w:rPr>
  </w:style>
  <w:style w:type="paragraph" w:styleId="13">
    <w:name w:val="heading 8"/>
    <w:basedOn w:val="1"/>
    <w:next w:val="1"/>
    <w:link w:val="62"/>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8"/>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95"/>
    <w:qFormat/>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74"/>
    <w:qFormat/>
    <w:uiPriority w:val="0"/>
    <w:pPr>
      <w:ind w:firstLine="420"/>
    </w:pPr>
    <w:rPr>
      <w:rFonts w:asciiTheme="minorHAnsi" w:hAnsiTheme="minorHAnsi" w:eastAsiaTheme="minorEastAsia" w:cstheme="minorBidi"/>
    </w:r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link w:val="65"/>
    <w:semiHidden/>
    <w:qFormat/>
    <w:uiPriority w:val="0"/>
    <w:pPr>
      <w:shd w:val="clear" w:color="auto" w:fill="000080"/>
    </w:pPr>
    <w:rPr>
      <w:rFonts w:asciiTheme="minorHAnsi" w:hAnsiTheme="minorHAnsi" w:cstheme="minorBidi"/>
    </w:rPr>
  </w:style>
  <w:style w:type="paragraph" w:styleId="18">
    <w:name w:val="annotation text"/>
    <w:basedOn w:val="1"/>
    <w:link w:val="83"/>
    <w:semiHidden/>
    <w:unhideWhenUsed/>
    <w:qFormat/>
    <w:uiPriority w:val="0"/>
    <w:pPr>
      <w:jc w:val="left"/>
    </w:pPr>
  </w:style>
  <w:style w:type="paragraph" w:styleId="19">
    <w:name w:val="Body Text 3"/>
    <w:basedOn w:val="1"/>
    <w:link w:val="99"/>
    <w:qFormat/>
    <w:uiPriority w:val="0"/>
    <w:rPr>
      <w:rFonts w:ascii="仿宋_GB2312" w:hAnsi="Arial" w:eastAsia="仿宋_GB2312"/>
      <w:sz w:val="32"/>
      <w:szCs w:val="32"/>
    </w:rPr>
  </w:style>
  <w:style w:type="paragraph" w:styleId="20">
    <w:name w:val="Body Text"/>
    <w:basedOn w:val="1"/>
    <w:link w:val="80"/>
    <w:unhideWhenUsed/>
    <w:qFormat/>
    <w:uiPriority w:val="0"/>
    <w:pPr>
      <w:spacing w:after="120"/>
    </w:p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cs="Courier New" w:eastAsiaTheme="minorEastAsia"/>
    </w:rPr>
  </w:style>
  <w:style w:type="paragraph" w:styleId="25">
    <w:name w:val="toc 8"/>
    <w:basedOn w:val="1"/>
    <w:next w:val="1"/>
    <w:semiHidden/>
    <w:qFormat/>
    <w:uiPriority w:val="0"/>
    <w:pPr>
      <w:ind w:left="1470"/>
      <w:jc w:val="left"/>
    </w:pPr>
  </w:style>
  <w:style w:type="paragraph" w:styleId="26">
    <w:name w:val="Date"/>
    <w:basedOn w:val="1"/>
    <w:next w:val="1"/>
    <w:link w:val="116"/>
    <w:qFormat/>
    <w:uiPriority w:val="0"/>
    <w:rPr>
      <w:sz w:val="24"/>
      <w:szCs w:val="24"/>
    </w:rPr>
  </w:style>
  <w:style w:type="paragraph" w:styleId="27">
    <w:name w:val="Body Text Indent 2"/>
    <w:basedOn w:val="1"/>
    <w:link w:val="79"/>
    <w:qFormat/>
    <w:uiPriority w:val="0"/>
    <w:pPr>
      <w:ind w:left="630" w:firstLine="645"/>
    </w:pPr>
    <w:rPr>
      <w:rFonts w:ascii="Arial" w:hAnsi="Arial" w:eastAsia="仿宋_GB2312" w:cs="Arial"/>
      <w:sz w:val="32"/>
      <w:szCs w:val="32"/>
    </w:rPr>
  </w:style>
  <w:style w:type="paragraph" w:styleId="28">
    <w:name w:val="Balloon Text"/>
    <w:basedOn w:val="1"/>
    <w:link w:val="94"/>
    <w:semiHidden/>
    <w:qFormat/>
    <w:uiPriority w:val="0"/>
    <w:rPr>
      <w:sz w:val="18"/>
      <w:szCs w:val="18"/>
    </w:rPr>
  </w:style>
  <w:style w:type="paragraph" w:styleId="29">
    <w:name w:val="footer"/>
    <w:basedOn w:val="1"/>
    <w:link w:val="54"/>
    <w:unhideWhenUsed/>
    <w:qFormat/>
    <w:uiPriority w:val="0"/>
    <w:pPr>
      <w:tabs>
        <w:tab w:val="center" w:pos="4153"/>
        <w:tab w:val="right" w:pos="8306"/>
      </w:tabs>
      <w:snapToGrid w:val="0"/>
      <w:jc w:val="left"/>
    </w:pPr>
    <w:rPr>
      <w:sz w:val="18"/>
      <w:szCs w:val="18"/>
    </w:rPr>
  </w:style>
  <w:style w:type="paragraph" w:styleId="30">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link w:val="11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link w:val="86"/>
    <w:qFormat/>
    <w:uiPriority w:val="0"/>
    <w:pPr>
      <w:widowControl/>
      <w:jc w:val="center"/>
    </w:pPr>
    <w:rPr>
      <w:rFonts w:ascii="楷体_GB2312" w:eastAsia="楷体_GB2312"/>
      <w:sz w:val="28"/>
      <w:szCs w:val="28"/>
    </w:rPr>
  </w:style>
  <w:style w:type="paragraph" w:styleId="40">
    <w:name w:val="Message Header"/>
    <w:basedOn w:val="1"/>
    <w:link w:val="7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8"/>
    <w:next w:val="18"/>
    <w:link w:val="84"/>
    <w:semiHidden/>
    <w:qFormat/>
    <w:uiPriority w:val="0"/>
    <w:rPr>
      <w:b/>
      <w:bCs/>
    </w:rPr>
  </w:style>
  <w:style w:type="paragraph" w:styleId="44">
    <w:name w:val="Body Text First Indent"/>
    <w:basedOn w:val="1"/>
    <w:link w:val="8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页眉 Char"/>
    <w:basedOn w:val="47"/>
    <w:link w:val="30"/>
    <w:qFormat/>
    <w:uiPriority w:val="99"/>
    <w:rPr>
      <w:sz w:val="18"/>
      <w:szCs w:val="18"/>
    </w:rPr>
  </w:style>
  <w:style w:type="character" w:customStyle="1" w:styleId="54">
    <w:name w:val="页脚 Char"/>
    <w:basedOn w:val="47"/>
    <w:link w:val="29"/>
    <w:qFormat/>
    <w:uiPriority w:val="0"/>
    <w:rPr>
      <w:sz w:val="18"/>
      <w:szCs w:val="18"/>
    </w:rPr>
  </w:style>
  <w:style w:type="character" w:customStyle="1" w:styleId="55">
    <w:name w:val="标题 1 Char"/>
    <w:basedOn w:val="47"/>
    <w:link w:val="5"/>
    <w:qFormat/>
    <w:uiPriority w:val="0"/>
    <w:rPr>
      <w:rFonts w:ascii="楷体_GB2312" w:hAnsi="Times New Roman" w:eastAsia="楷体_GB2312" w:cs="Times New Roman"/>
      <w:sz w:val="28"/>
      <w:szCs w:val="28"/>
    </w:rPr>
  </w:style>
  <w:style w:type="character" w:customStyle="1" w:styleId="56">
    <w:name w:val="标题 2 Char"/>
    <w:basedOn w:val="47"/>
    <w:link w:val="6"/>
    <w:qFormat/>
    <w:uiPriority w:val="0"/>
    <w:rPr>
      <w:rFonts w:ascii="Arial" w:hAnsi="Arial" w:eastAsia="幼圆" w:cs="Arial"/>
      <w:b/>
      <w:bCs/>
      <w:sz w:val="44"/>
      <w:szCs w:val="44"/>
    </w:rPr>
  </w:style>
  <w:style w:type="character" w:customStyle="1" w:styleId="57">
    <w:name w:val="标题 3 Char"/>
    <w:basedOn w:val="47"/>
    <w:link w:val="7"/>
    <w:qFormat/>
    <w:uiPriority w:val="0"/>
    <w:rPr>
      <w:rFonts w:ascii="Times New Roman" w:hAnsi="Times New Roman" w:eastAsia="宋体" w:cs="Times New Roman"/>
      <w:b/>
      <w:bCs/>
      <w:sz w:val="32"/>
      <w:szCs w:val="32"/>
    </w:rPr>
  </w:style>
  <w:style w:type="character" w:customStyle="1" w:styleId="58">
    <w:name w:val="标题 4 Char"/>
    <w:basedOn w:val="47"/>
    <w:link w:val="9"/>
    <w:qFormat/>
    <w:uiPriority w:val="0"/>
    <w:rPr>
      <w:rFonts w:ascii="Arial" w:hAnsi="Arial" w:eastAsia="黑体" w:cs="Arial"/>
      <w:b/>
      <w:bCs/>
      <w:sz w:val="28"/>
      <w:szCs w:val="28"/>
    </w:rPr>
  </w:style>
  <w:style w:type="character" w:customStyle="1" w:styleId="59">
    <w:name w:val="标题 5 Char"/>
    <w:basedOn w:val="47"/>
    <w:link w:val="10"/>
    <w:qFormat/>
    <w:uiPriority w:val="0"/>
    <w:rPr>
      <w:rFonts w:ascii="宋体" w:hAnsi="Times New Roman" w:eastAsia="宋体" w:cs="Times New Roman"/>
      <w:color w:val="000000"/>
      <w:kern w:val="0"/>
      <w:sz w:val="28"/>
      <w:szCs w:val="28"/>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宋体" w:cs="Times New Roman"/>
      <w:b/>
      <w:bCs/>
      <w:sz w:val="24"/>
      <w:szCs w:val="24"/>
    </w:rPr>
  </w:style>
  <w:style w:type="character" w:customStyle="1" w:styleId="62">
    <w:name w:val="标题 8 Char"/>
    <w:basedOn w:val="47"/>
    <w:link w:val="13"/>
    <w:qFormat/>
    <w:uiPriority w:val="0"/>
    <w:rPr>
      <w:rFonts w:ascii="Arial" w:hAnsi="Arial" w:eastAsia="黑体" w:cs="Times New Roman"/>
      <w:sz w:val="24"/>
      <w:szCs w:val="24"/>
    </w:rPr>
  </w:style>
  <w:style w:type="character" w:customStyle="1" w:styleId="63">
    <w:name w:val="标题 9 Char"/>
    <w:basedOn w:val="47"/>
    <w:link w:val="14"/>
    <w:qFormat/>
    <w:uiPriority w:val="0"/>
    <w:rPr>
      <w:rFonts w:ascii="Arial" w:hAnsi="Arial" w:eastAsia="黑体" w:cs="Times New Roman"/>
      <w:szCs w:val="21"/>
    </w:rPr>
  </w:style>
  <w:style w:type="character" w:customStyle="1" w:styleId="64">
    <w:name w:val="纯文本 Char1"/>
    <w:qFormat/>
    <w:uiPriority w:val="0"/>
    <w:rPr>
      <w:rFonts w:ascii="宋体" w:hAnsi="Courier New" w:cs="Courier New"/>
      <w:szCs w:val="21"/>
    </w:rPr>
  </w:style>
  <w:style w:type="character" w:customStyle="1" w:styleId="65">
    <w:name w:val="文档结构图 Char"/>
    <w:link w:val="17"/>
    <w:semiHidden/>
    <w:qFormat/>
    <w:uiPriority w:val="0"/>
    <w:rPr>
      <w:rFonts w:eastAsia="宋体"/>
      <w:szCs w:val="21"/>
      <w:shd w:val="clear" w:color="auto" w:fill="000080"/>
    </w:rPr>
  </w:style>
  <w:style w:type="character" w:customStyle="1" w:styleId="66">
    <w:name w:val="二级目录 Char"/>
    <w:link w:val="67"/>
    <w:qFormat/>
    <w:uiPriority w:val="0"/>
    <w:rPr>
      <w:b/>
      <w:sz w:val="30"/>
      <w:szCs w:val="28"/>
    </w:rPr>
  </w:style>
  <w:style w:type="paragraph" w:customStyle="1" w:styleId="67">
    <w:name w:val="二级目录"/>
    <w:next w:val="1"/>
    <w:link w:val="6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8">
    <w:name w:val="纯文本 Char"/>
    <w:link w:val="24"/>
    <w:qFormat/>
    <w:uiPriority w:val="0"/>
    <w:rPr>
      <w:rFonts w:ascii="宋体" w:hAnsi="Courier New" w:cs="Courier New"/>
      <w:szCs w:val="21"/>
    </w:rPr>
  </w:style>
  <w:style w:type="character" w:customStyle="1" w:styleId="69">
    <w:name w:val="Char Char Char Char Char"/>
    <w:link w:val="70"/>
    <w:uiPriority w:val="0"/>
    <w:rPr>
      <w:rFonts w:ascii="Tahoma" w:hAnsi="Tahoma" w:eastAsia="宋体"/>
      <w:sz w:val="24"/>
      <w:szCs w:val="24"/>
      <w:shd w:val="clear" w:color="auto" w:fill="000080"/>
    </w:rPr>
  </w:style>
  <w:style w:type="paragraph" w:customStyle="1" w:styleId="70">
    <w:name w:val="Char Char Char Char1"/>
    <w:basedOn w:val="17"/>
    <w:link w:val="69"/>
    <w:qFormat/>
    <w:uiPriority w:val="0"/>
    <w:pPr>
      <w:adjustRightInd w:val="0"/>
      <w:snapToGrid w:val="0"/>
      <w:spacing w:line="360" w:lineRule="auto"/>
    </w:pPr>
    <w:rPr>
      <w:rFonts w:ascii="Tahoma" w:hAnsi="Tahoma"/>
      <w:sz w:val="24"/>
      <w:szCs w:val="24"/>
    </w:rPr>
  </w:style>
  <w:style w:type="character" w:customStyle="1" w:styleId="71">
    <w:name w:val="font5 Char"/>
    <w:uiPriority w:val="0"/>
    <w:rPr>
      <w:rFonts w:ascii="宋体" w:hAnsi="宋体" w:eastAsia="宋体"/>
      <w:sz w:val="28"/>
      <w:szCs w:val="28"/>
      <w:lang w:val="en-US" w:eastAsia="zh-CN" w:bidi="ar-SA"/>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34"/>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缩进 Char"/>
    <w:link w:val="8"/>
    <w:uiPriority w:val="0"/>
    <w:rPr>
      <w:szCs w:val="21"/>
    </w:rPr>
  </w:style>
  <w:style w:type="paragraph" w:customStyle="1" w:styleId="75">
    <w:name w:val="table_lines"/>
    <w:basedOn w:val="1"/>
    <w:qFormat/>
    <w:uiPriority w:val="0"/>
    <w:pPr>
      <w:widowControl/>
      <w:jc w:val="left"/>
    </w:pPr>
    <w:rPr>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77">
    <w:name w:val="信息标题 Char"/>
    <w:basedOn w:val="47"/>
    <w:link w:val="40"/>
    <w:qFormat/>
    <w:uiPriority w:val="0"/>
    <w:rPr>
      <w:rFonts w:ascii="Cambria" w:hAnsi="Cambria" w:eastAsia="宋体" w:cs="Times New Roman"/>
      <w:sz w:val="24"/>
      <w:szCs w:val="21"/>
      <w:shd w:val="pct20" w:color="auto" w:fill="auto"/>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character" w:customStyle="1" w:styleId="79">
    <w:name w:val="正文文本缩进 2 Char"/>
    <w:basedOn w:val="47"/>
    <w:link w:val="27"/>
    <w:qFormat/>
    <w:uiPriority w:val="0"/>
    <w:rPr>
      <w:rFonts w:ascii="Arial" w:hAnsi="Arial" w:eastAsia="仿宋_GB2312" w:cs="Arial"/>
      <w:sz w:val="32"/>
      <w:szCs w:val="32"/>
    </w:rPr>
  </w:style>
  <w:style w:type="character" w:customStyle="1" w:styleId="80">
    <w:name w:val="正文文本 Char"/>
    <w:basedOn w:val="47"/>
    <w:link w:val="20"/>
    <w:semiHidden/>
    <w:qFormat/>
    <w:uiPriority w:val="99"/>
    <w:rPr>
      <w:rFonts w:ascii="Times New Roman" w:hAnsi="Times New Roman" w:eastAsia="宋体" w:cs="Times New Roman"/>
      <w:szCs w:val="21"/>
    </w:rPr>
  </w:style>
  <w:style w:type="character" w:customStyle="1" w:styleId="81">
    <w:name w:val="正文首行缩进 Char"/>
    <w:basedOn w:val="80"/>
    <w:link w:val="44"/>
    <w:qFormat/>
    <w:uiPriority w:val="0"/>
    <w:rPr>
      <w:rFonts w:ascii="仿宋_GB2312" w:hAnsi="Times New Roman" w:eastAsia="仿宋_GB2312" w:cs="Times New Roman"/>
      <w:sz w:val="30"/>
      <w:szCs w:val="30"/>
    </w:rPr>
  </w:style>
  <w:style w:type="paragraph" w:customStyle="1" w:styleId="82">
    <w:name w:val="xl2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83">
    <w:name w:val="批注文字 Char"/>
    <w:basedOn w:val="47"/>
    <w:link w:val="18"/>
    <w:semiHidden/>
    <w:qFormat/>
    <w:uiPriority w:val="99"/>
    <w:rPr>
      <w:rFonts w:ascii="Times New Roman" w:hAnsi="Times New Roman" w:eastAsia="宋体" w:cs="Times New Roman"/>
      <w:szCs w:val="21"/>
    </w:rPr>
  </w:style>
  <w:style w:type="character" w:customStyle="1" w:styleId="84">
    <w:name w:val="批注主题 Char"/>
    <w:basedOn w:val="83"/>
    <w:link w:val="43"/>
    <w:semiHidden/>
    <w:qFormat/>
    <w:uiPriority w:val="0"/>
    <w:rPr>
      <w:rFonts w:ascii="Times New Roman" w:hAnsi="Times New Roman" w:eastAsia="宋体" w:cs="Times New Roman"/>
      <w:b/>
      <w:bCs/>
      <w:szCs w:val="21"/>
    </w:rPr>
  </w:style>
  <w:style w:type="paragraph" w:customStyle="1" w:styleId="85">
    <w:name w:val="列表段落1"/>
    <w:basedOn w:val="1"/>
    <w:qFormat/>
    <w:uiPriority w:val="0"/>
    <w:pPr>
      <w:spacing w:beforeLines="25" w:afterLines="25" w:line="300" w:lineRule="auto"/>
      <w:ind w:firstLine="420"/>
    </w:pPr>
    <w:rPr>
      <w:rFonts w:cs="Calibri"/>
      <w:color w:val="000000"/>
    </w:rPr>
  </w:style>
  <w:style w:type="character" w:customStyle="1" w:styleId="86">
    <w:name w:val="正文文本 2 Char"/>
    <w:basedOn w:val="47"/>
    <w:link w:val="39"/>
    <w:qFormat/>
    <w:uiPriority w:val="0"/>
    <w:rPr>
      <w:rFonts w:ascii="楷体_GB2312" w:hAnsi="Times New Roman" w:eastAsia="楷体_GB2312" w:cs="Times New Roman"/>
      <w:sz w:val="28"/>
      <w:szCs w:val="28"/>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段"/>
    <w:next w:val="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正文 A"/>
    <w:next w:val="9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2">
    <w:name w:val="Char Char Char Char"/>
    <w:basedOn w:val="17"/>
    <w:qFormat/>
    <w:uiPriority w:val="0"/>
    <w:pPr>
      <w:adjustRightInd w:val="0"/>
      <w:snapToGrid w:val="0"/>
      <w:spacing w:line="360" w:lineRule="auto"/>
    </w:pPr>
    <w:rPr>
      <w:rFonts w:ascii="Tahoma" w:hAnsi="Tahoma"/>
      <w:sz w:val="24"/>
      <w:szCs w:val="24"/>
    </w:rPr>
  </w:style>
  <w:style w:type="paragraph" w:customStyle="1" w:styleId="93">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94">
    <w:name w:val="批注框文本 Char"/>
    <w:basedOn w:val="47"/>
    <w:link w:val="28"/>
    <w:semiHidden/>
    <w:uiPriority w:val="0"/>
    <w:rPr>
      <w:rFonts w:ascii="Times New Roman" w:hAnsi="Times New Roman" w:eastAsia="宋体" w:cs="Times New Roman"/>
      <w:sz w:val="18"/>
      <w:szCs w:val="18"/>
    </w:rPr>
  </w:style>
  <w:style w:type="character" w:customStyle="1" w:styleId="95">
    <w:name w:val="正文文本缩进 Char"/>
    <w:basedOn w:val="47"/>
    <w:link w:val="3"/>
    <w:qFormat/>
    <w:uiPriority w:val="0"/>
    <w:rPr>
      <w:rFonts w:ascii="楷体_GB2312" w:hAnsi="Times New Roman" w:eastAsia="楷体_GB2312" w:cs="Times New Roman"/>
      <w:sz w:val="32"/>
      <w:szCs w:val="32"/>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xl30"/>
    <w:basedOn w:val="1"/>
    <w:uiPriority w:val="0"/>
    <w:pPr>
      <w:widowControl/>
      <w:spacing w:before="100" w:beforeAutospacing="1" w:after="100" w:afterAutospacing="1"/>
      <w:jc w:val="center"/>
    </w:pPr>
    <w:rPr>
      <w:rFonts w:ascii="宋体" w:hAnsi="宋体"/>
      <w:b/>
      <w:bCs/>
      <w:kern w:val="0"/>
      <w:sz w:val="36"/>
      <w:szCs w:val="36"/>
    </w:rPr>
  </w:style>
  <w:style w:type="character" w:customStyle="1" w:styleId="98">
    <w:name w:val="正文首行缩进 2 Char"/>
    <w:basedOn w:val="95"/>
    <w:link w:val="2"/>
    <w:qFormat/>
    <w:uiPriority w:val="0"/>
    <w:rPr>
      <w:rFonts w:ascii="宋体" w:hAnsi="宋体" w:eastAsia="宋体" w:cs="Times New Roman"/>
      <w:sz w:val="32"/>
      <w:szCs w:val="20"/>
    </w:rPr>
  </w:style>
  <w:style w:type="character" w:customStyle="1" w:styleId="99">
    <w:name w:val="正文文本 3 Char"/>
    <w:basedOn w:val="47"/>
    <w:link w:val="19"/>
    <w:qFormat/>
    <w:uiPriority w:val="0"/>
    <w:rPr>
      <w:rFonts w:ascii="仿宋_GB2312" w:hAnsi="Arial" w:eastAsia="仿宋_GB2312" w:cs="Times New Roman"/>
      <w:sz w:val="32"/>
      <w:szCs w:val="32"/>
    </w:rPr>
  </w:style>
  <w:style w:type="paragraph" w:customStyle="1" w:styleId="1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101">
    <w:name w:val="文档结构图 Char1"/>
    <w:basedOn w:val="47"/>
    <w:semiHidden/>
    <w:qFormat/>
    <w:uiPriority w:val="99"/>
    <w:rPr>
      <w:rFonts w:ascii="宋体" w:hAnsi="Times New Roman" w:eastAsia="宋体" w:cs="Times New Roman"/>
      <w:sz w:val="18"/>
      <w:szCs w:val="18"/>
    </w:rPr>
  </w:style>
  <w:style w:type="paragraph" w:customStyle="1" w:styleId="10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Char"/>
    <w:basedOn w:val="17"/>
    <w:qFormat/>
    <w:uiPriority w:val="0"/>
    <w:rPr>
      <w:rFonts w:ascii="Tahoma" w:hAnsi="Tahoma"/>
      <w:sz w:val="24"/>
      <w:szCs w:val="24"/>
    </w:rPr>
  </w:style>
  <w:style w:type="paragraph" w:customStyle="1" w:styleId="104">
    <w:name w:val="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105">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1"/>
    <w:basedOn w:val="1"/>
    <w:uiPriority w:val="0"/>
    <w:pPr>
      <w:tabs>
        <w:tab w:val="left" w:pos="360"/>
      </w:tabs>
      <w:ind w:firstLine="200" w:firstLineChars="200"/>
    </w:pPr>
    <w:rPr>
      <w:sz w:val="28"/>
      <w:szCs w:val="30"/>
    </w:rPr>
  </w:style>
  <w:style w:type="paragraph" w:customStyle="1" w:styleId="107">
    <w:name w:val="Body Text(ch)"/>
    <w:basedOn w:val="1"/>
    <w:next w:val="20"/>
    <w:qFormat/>
    <w:uiPriority w:val="0"/>
    <w:pPr>
      <w:spacing w:after="120"/>
    </w:pPr>
    <w:rPr>
      <w:rFonts w:ascii="宋体" w:hAnsi="Arial"/>
      <w:bCs/>
      <w:iCs/>
      <w:szCs w:val="24"/>
    </w:rPr>
  </w:style>
  <w:style w:type="paragraph" w:customStyle="1" w:styleId="108">
    <w:name w:val="table_1stline"/>
    <w:basedOn w:val="1"/>
    <w:qFormat/>
    <w:uiPriority w:val="0"/>
    <w:pPr>
      <w:widowControl/>
      <w:spacing w:before="120"/>
      <w:jc w:val="left"/>
    </w:pPr>
    <w:rPr>
      <w:bCs/>
      <w:kern w:val="0"/>
      <w:sz w:val="20"/>
      <w:szCs w:val="20"/>
      <w:lang w:val="de-DE" w:eastAsia="de-DE"/>
    </w:rPr>
  </w:style>
  <w:style w:type="character" w:customStyle="1" w:styleId="109">
    <w:name w:val="纯文本 Char2"/>
    <w:basedOn w:val="47"/>
    <w:semiHidden/>
    <w:uiPriority w:val="99"/>
    <w:rPr>
      <w:rFonts w:ascii="宋体" w:hAnsi="Courier New" w:eastAsia="宋体" w:cs="Courier New"/>
      <w:szCs w:val="21"/>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1">
    <w:name w:val="正文文本缩进 3 Char"/>
    <w:basedOn w:val="47"/>
    <w:link w:val="35"/>
    <w:uiPriority w:val="0"/>
    <w:rPr>
      <w:rFonts w:ascii="Arial" w:hAnsi="Arial" w:eastAsia="仿宋_GB2312" w:cs="Arial"/>
      <w:color w:val="FFFF00"/>
      <w:sz w:val="32"/>
      <w:szCs w:val="32"/>
    </w:rPr>
  </w:style>
  <w:style w:type="paragraph" w:customStyle="1" w:styleId="112">
    <w:name w:val="Char Char Char Char Char Char Char Char Char Char"/>
    <w:basedOn w:val="1"/>
    <w:uiPriority w:val="0"/>
    <w:pPr>
      <w:adjustRightInd w:val="0"/>
      <w:spacing w:line="360" w:lineRule="auto"/>
    </w:pPr>
    <w:rPr>
      <w:kern w:val="0"/>
      <w:sz w:val="24"/>
      <w:szCs w:val="20"/>
    </w:rPr>
  </w:style>
  <w:style w:type="paragraph" w:customStyle="1" w:styleId="11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16">
    <w:name w:val="日期 Char"/>
    <w:basedOn w:val="47"/>
    <w:link w:val="26"/>
    <w:qFormat/>
    <w:uiPriority w:val="0"/>
    <w:rPr>
      <w:rFonts w:ascii="Times New Roman" w:hAnsi="Times New Roman" w:eastAsia="宋体" w:cs="Times New Roman"/>
      <w:sz w:val="24"/>
      <w:szCs w:val="24"/>
    </w:rPr>
  </w:style>
  <w:style w:type="paragraph" w:customStyle="1" w:styleId="11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附录1"/>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0">
    <w:name w:val="彩色列表 - 着色 1"/>
    <w:basedOn w:val="1"/>
    <w:qFormat/>
    <w:uiPriority w:val="34"/>
    <w:pPr>
      <w:widowControl/>
      <w:ind w:left="720"/>
      <w:contextualSpacing/>
      <w:jc w:val="left"/>
    </w:pPr>
    <w:rPr>
      <w:rFonts w:ascii="Calibri" w:hAnsi="Calibri"/>
      <w:kern w:val="0"/>
      <w:sz w:val="24"/>
      <w:szCs w:val="24"/>
      <w:lang w:eastAsia="en-US" w:bidi="en-US"/>
    </w:rPr>
  </w:style>
  <w:style w:type="paragraph" w:styleId="121">
    <w:name w:val="List Paragraph"/>
    <w:basedOn w:val="1"/>
    <w:qFormat/>
    <w:uiPriority w:val="34"/>
    <w:pPr>
      <w:ind w:firstLine="420" w:firstLineChars="200"/>
    </w:pPr>
  </w:style>
  <w:style w:type="character" w:customStyle="1" w:styleId="122">
    <w:name w:val="font01"/>
    <w:basedOn w:val="47"/>
    <w:qFormat/>
    <w:uiPriority w:val="0"/>
    <w:rPr>
      <w:rFonts w:hint="eastAsia" w:ascii="宋体" w:hAnsi="宋体" w:eastAsia="宋体" w:cs="宋体"/>
      <w:color w:val="FF0000"/>
      <w:sz w:val="22"/>
      <w:szCs w:val="22"/>
      <w:u w:val="none"/>
    </w:rPr>
  </w:style>
  <w:style w:type="character" w:customStyle="1" w:styleId="123">
    <w:name w:val="font51"/>
    <w:basedOn w:val="47"/>
    <w:qFormat/>
    <w:uiPriority w:val="0"/>
    <w:rPr>
      <w:rFonts w:hint="eastAsia" w:ascii="宋体" w:hAnsi="宋体" w:eastAsia="宋体" w:cs="宋体"/>
      <w:color w:val="000000"/>
      <w:sz w:val="22"/>
      <w:szCs w:val="22"/>
      <w:u w:val="none"/>
    </w:rPr>
  </w:style>
  <w:style w:type="character" w:customStyle="1" w:styleId="124">
    <w:name w:val="NormalCharacter"/>
    <w:qFormat/>
    <w:uiPriority w:val="0"/>
    <w:rPr>
      <w:kern w:val="2"/>
      <w:sz w:val="21"/>
      <w:szCs w:val="22"/>
      <w:lang w:val="en-US" w:eastAsia="zh-CN" w:bidi="ar-SA"/>
    </w:rPr>
  </w:style>
  <w:style w:type="paragraph" w:customStyle="1" w:styleId="125">
    <w:name w:val="纯文本1"/>
    <w:basedOn w:val="1"/>
    <w:qFormat/>
    <w:uiPriority w:val="0"/>
    <w:pPr>
      <w:adjustRightInd w:val="0"/>
    </w:pPr>
    <w:rPr>
      <w:rFonts w:ascii="宋体" w:hAnsi="Courier New" w:eastAsia="楷体_GB2312"/>
      <w:sz w:val="28"/>
      <w:szCs w:val="20"/>
    </w:rPr>
  </w:style>
  <w:style w:type="paragraph" w:customStyle="1" w:styleId="126">
    <w:name w:val="*正文"/>
    <w:basedOn w:val="1"/>
    <w:qFormat/>
    <w:uiPriority w:val="0"/>
    <w:pPr>
      <w:widowControl/>
      <w:spacing w:line="360" w:lineRule="auto"/>
      <w:ind w:firstLine="200" w:firstLineChars="200"/>
    </w:pPr>
    <w:rPr>
      <w:rFonts w:ascii="仿宋_GB2312" w:hAnsi="Calibri" w:eastAsia="仿宋_GB2312"/>
      <w:sz w:val="24"/>
      <w:szCs w:val="28"/>
    </w:rPr>
  </w:style>
  <w:style w:type="paragraph" w:customStyle="1" w:styleId="127">
    <w:name w:val="Default"/>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128">
    <w:name w:val="Andy_正文"/>
    <w:basedOn w:val="1"/>
    <w:qFormat/>
    <w:uiPriority w:val="0"/>
    <w:pPr>
      <w:spacing w:line="360" w:lineRule="auto"/>
      <w:ind w:firstLine="480" w:firstLineChars="200"/>
    </w:pPr>
    <w:rPr>
      <w:rFonts w:ascii="Calibri" w:hAnsi="Calibri"/>
      <w:kern w:val="0"/>
      <w:sz w:val="24"/>
      <w:szCs w:val="24"/>
    </w:rPr>
  </w:style>
  <w:style w:type="paragraph" w:customStyle="1" w:styleId="129">
    <w:name w:val="Plain Text1"/>
    <w:basedOn w:val="1"/>
    <w:qFormat/>
    <w:uiPriority w:val="0"/>
    <w:pPr>
      <w:adjustRightInd w:val="0"/>
    </w:pPr>
    <w:rPr>
      <w:rFonts w:ascii="宋体" w:hAnsi="Courier New"/>
      <w:szCs w:val="24"/>
    </w:rPr>
  </w:style>
  <w:style w:type="paragraph" w:customStyle="1" w:styleId="130">
    <w:name w:val="纯文本21"/>
    <w:basedOn w:val="1"/>
    <w:qFormat/>
    <w:uiPriority w:val="0"/>
    <w:pPr>
      <w:adjustRightInd w:val="0"/>
    </w:pPr>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3C6CB-3038-4113-8F65-EEEFC6742D7F}">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54</Pages>
  <Words>4517</Words>
  <Characters>25750</Characters>
  <Lines>214</Lines>
  <Paragraphs>60</Paragraphs>
  <TotalTime>1</TotalTime>
  <ScaleCrop>false</ScaleCrop>
  <LinksUpToDate>false</LinksUpToDate>
  <CharactersWithSpaces>30207</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2021-07-06T00:33:00Z</dcterms:created>
  <dc:creator>周</dc:creator>
  <cp:lastModifiedBy>L&amp;W</cp:lastModifiedBy>
  <dcterms:modified xsi:type="dcterms:W3CDTF">2021-07-06T10:29:24Z</dcterms:modified>
  <dc:title>城天平监理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B560067C31B44D618B351B29935EBB19</vt:lpwstr>
  </property>
</Properties>
</file>