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预防医学5+0专业妇产科学实训教学设备采购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SY2023-008-HW-XJ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07</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26</w:t>
      </w:r>
      <w:r>
        <w:rPr>
          <w:rFonts w:ascii="宋体" w:hAnsi="宋体"/>
          <w:color w:val="000000" w:themeColor="text1"/>
          <w:sz w:val="36"/>
          <w:szCs w:val="36"/>
          <w:highlight w:val="none"/>
          <w14:textFill>
            <w14:solidFill>
              <w14:schemeClr w14:val="tx1"/>
            </w14:solidFill>
          </w14:textFill>
        </w:rPr>
        <w:t>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6"/>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3"/>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江苏医药职业学院拟采取询价方式购买预防医学5+0专业妇产科学实训教学设备采购项目及相关服务，现就相关事宜公告如下：</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预防医学5+0专业妇产科学实训教学设备采购</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SY2023-008-HW-XJ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6.45万元</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五、合格的投标人</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八、询价文件售价：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pStyle w:val="20"/>
        <w:spacing w:before="0" w:beforeAutospacing="0" w:after="0" w:afterAutospacing="0" w:line="520" w:lineRule="exact"/>
        <w:ind w:firstLine="436"/>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九、投标登记：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十、投标文件递交方式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日15时</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00分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日15时3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与最终报价单（须单独密封，模版详见附件），且必须在递交投标文件截止时间前，将投标文件与最终报价单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十一、提醒</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对项目需求部分的询问、质疑请向项目联系人常老师（</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15161971120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）提出，由项目联系人负责答复；对项目招标文件其它部分的询问、质疑向采购人（刘老师0515-88550311）提出。</w:t>
      </w:r>
    </w:p>
    <w:p>
      <w:pPr>
        <w:pStyle w:val="3"/>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本次询价采用单项</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评标，即在报价文件满足询价文件全部实质性要求且单项报价最低的由对应的投标人中标。</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中标人确定后，采购人将通过学校招标网公示1天，公示期满无异议，中标人应在15日内与采购人签订采购合同，过期视为放弃中标。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8"/>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1025"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67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1"/>
        <w:spacing w:line="520" w:lineRule="exact"/>
        <w:ind w:firstLine="562"/>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 2 年后一次性无息付清。</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17"/>
        <w:spacing w:line="300" w:lineRule="exact"/>
        <w:outlineLvl w:val="0"/>
        <w:rPr>
          <w:color w:val="000000" w:themeColor="text1"/>
          <w:highlight w:val="none"/>
          <w14:textFill>
            <w14:solidFill>
              <w14:schemeClr w14:val="tx1"/>
            </w14:solidFill>
          </w14:textFill>
        </w:rPr>
      </w:pPr>
      <w:bookmarkStart w:id="49" w:name="_Toc141279399"/>
      <w:bookmarkStart w:id="50" w:name="_Toc119595837"/>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tbl>
      <w:tblPr>
        <w:tblStyle w:val="22"/>
        <w:tblpPr w:leftFromText="180" w:rightFromText="180" w:vertAnchor="text" w:horzAnchor="page" w:tblpX="1491" w:tblpY="763"/>
        <w:tblOverlap w:val="never"/>
        <w:tblW w:w="14125" w:type="dxa"/>
        <w:tblInd w:w="0" w:type="dxa"/>
        <w:tblLayout w:type="fixed"/>
        <w:tblCellMar>
          <w:top w:w="0" w:type="dxa"/>
          <w:left w:w="108" w:type="dxa"/>
          <w:bottom w:w="0" w:type="dxa"/>
          <w:right w:w="108" w:type="dxa"/>
        </w:tblCellMar>
      </w:tblPr>
      <w:tblGrid>
        <w:gridCol w:w="655"/>
        <w:gridCol w:w="735"/>
        <w:gridCol w:w="6373"/>
        <w:gridCol w:w="1382"/>
        <w:gridCol w:w="705"/>
        <w:gridCol w:w="720"/>
        <w:gridCol w:w="960"/>
        <w:gridCol w:w="960"/>
        <w:gridCol w:w="1635"/>
      </w:tblGrid>
      <w:tr>
        <w:tblPrEx>
          <w:tblCellMar>
            <w:top w:w="0" w:type="dxa"/>
            <w:left w:w="108" w:type="dxa"/>
            <w:bottom w:w="0" w:type="dxa"/>
            <w:right w:w="108" w:type="dxa"/>
          </w:tblCellMar>
        </w:tblPrEx>
        <w:trPr>
          <w:trHeight w:val="845"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货物名称</w:t>
            </w:r>
          </w:p>
        </w:tc>
        <w:tc>
          <w:tcPr>
            <w:tcW w:w="6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主要技术需求</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品牌</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总价（元）</w:t>
            </w:r>
          </w:p>
        </w:tc>
        <w:tc>
          <w:tcPr>
            <w:tcW w:w="96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项目联系人</w:t>
            </w:r>
          </w:p>
        </w:tc>
        <w:tc>
          <w:tcPr>
            <w:tcW w:w="163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联系电话</w:t>
            </w:r>
          </w:p>
        </w:tc>
      </w:tr>
      <w:tr>
        <w:tblPrEx>
          <w:tblCellMar>
            <w:top w:w="0" w:type="dxa"/>
            <w:left w:w="108" w:type="dxa"/>
            <w:bottom w:w="0" w:type="dxa"/>
            <w:right w:w="108" w:type="dxa"/>
          </w:tblCellMar>
        </w:tblPrEx>
        <w:trPr>
          <w:trHeight w:val="760"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女性骨盆盆底肌群模型</w:t>
            </w:r>
          </w:p>
        </w:tc>
        <w:tc>
          <w:tcPr>
            <w:tcW w:w="6373"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22" w:firstLineChars="200"/>
              <w:outlineLvl w:val="7"/>
              <w:rPr>
                <w:rFonts w:asciiTheme="minorHAnsi" w:hAnsiTheme="minorHAnsi" w:eastAsiaTheme="minorEastAsia" w:cstheme="minorBidi"/>
                <w:b/>
                <w:bCs/>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Cs w:val="21"/>
                <w:highlight w:val="none"/>
                <w14:textFill>
                  <w14:solidFill>
                    <w14:schemeClr w14:val="tx1"/>
                  </w14:solidFill>
                </w14:textFill>
              </w:rPr>
              <w:t>女性骨盆盆底肌群模型</w:t>
            </w:r>
          </w:p>
          <w:p>
            <w:pPr>
              <w:widowControl/>
              <w:spacing w:line="276" w:lineRule="auto"/>
              <w:ind w:firstLine="420" w:firstLineChars="200"/>
              <w:textAlignment w:val="bottom"/>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材质：优质PVC材料，手工组装而成；</w:t>
            </w:r>
          </w:p>
          <w:p>
            <w:pPr>
              <w:spacing w:line="276" w:lineRule="auto"/>
              <w:ind w:firstLine="420" w:firstLineChars="200"/>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尺寸大小：骨盆模型及内生殖器的大小与正常成年女性的大小一致，能给学生最真实的感受，不会误导学生；</w:t>
            </w:r>
          </w:p>
          <w:p>
            <w:pPr>
              <w:spacing w:line="276" w:lineRule="auto"/>
              <w:ind w:firstLine="420" w:firstLineChars="200"/>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骨盆模型的各个组成部分都可以拆下来，方便近距离观察；</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功能要求：能清晰地展示女性骨盆腔内生殖器官的位置；能清晰地展示女性骨盆的骨骼组成；能清晰地显示女性盆底肌群和韧带；</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7000</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常老师</w:t>
            </w:r>
          </w:p>
        </w:tc>
        <w:tc>
          <w:tcPr>
            <w:tcW w:w="16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15161971120</w:t>
            </w:r>
          </w:p>
        </w:tc>
      </w:tr>
      <w:tr>
        <w:tblPrEx>
          <w:tblCellMar>
            <w:top w:w="0" w:type="dxa"/>
            <w:left w:w="108" w:type="dxa"/>
            <w:bottom w:w="0" w:type="dxa"/>
            <w:right w:w="108" w:type="dxa"/>
          </w:tblCellMar>
        </w:tblPrEx>
        <w:trPr>
          <w:trHeight w:val="765" w:hRule="atLeast"/>
        </w:trPr>
        <w:tc>
          <w:tcPr>
            <w:tcW w:w="6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w:t>
            </w:r>
          </w:p>
        </w:tc>
        <w:tc>
          <w:tcPr>
            <w:tcW w:w="7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肛查、阴道检查训练模型</w:t>
            </w:r>
          </w:p>
        </w:tc>
        <w:tc>
          <w:tcPr>
            <w:tcW w:w="6373" w:type="dxa"/>
            <w:tcBorders>
              <w:top w:val="nil"/>
              <w:left w:val="nil"/>
              <w:bottom w:val="single" w:color="auto" w:sz="4" w:space="0"/>
              <w:right w:val="single" w:color="auto" w:sz="4" w:space="0"/>
            </w:tcBorders>
            <w:shd w:val="clear" w:color="auto" w:fill="auto"/>
            <w:vAlign w:val="center"/>
          </w:tcPr>
          <w:p>
            <w:pPr>
              <w:spacing w:line="276" w:lineRule="auto"/>
              <w:ind w:firstLine="482" w:firstLineChars="200"/>
              <w:jc w:val="left"/>
              <w:outlineLvl w:val="7"/>
              <w:rPr>
                <w:rFonts w:cstheme="minorBidi"/>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 w:val="24"/>
                <w:highlight w:val="none"/>
                <w14:textFill>
                  <w14:solidFill>
                    <w14:schemeClr w14:val="tx1"/>
                  </w14:solidFill>
                </w14:textFill>
              </w:rPr>
              <w:t>肛查、阴道检查训练模型</w:t>
            </w:r>
          </w:p>
          <w:p>
            <w:pPr>
              <w:widowControl/>
              <w:spacing w:line="276" w:lineRule="auto"/>
              <w:ind w:firstLine="420" w:firstLineChars="200"/>
              <w:jc w:val="left"/>
              <w:textAlignment w:val="bottom"/>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材质：环保PVC材料，材质柔软有弹性；</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模型大小：按正常女性的身体尺寸大小设计；</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外观和触感与真人的身体相似，给学生以临床真实病人的检查感受；</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模型构件：该模型为成年女性躯干下半部，由腹腔、盆腔两部分组成。可充气调整腹部隆起，可进行四步触诊法的训练与考核；</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（5）</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功能要求：能进行妇科双合诊检查、可进行阴道检查与肛门检查来确定胎位；骨盆大小与正常成年女性相似，能进行骨盆的外测量。</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37500</w:t>
            </w: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c>
          <w:tcPr>
            <w:tcW w:w="16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385" w:hRule="atLeast"/>
        </w:trPr>
        <w:tc>
          <w:tcPr>
            <w:tcW w:w="6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w:t>
            </w:r>
          </w:p>
        </w:tc>
        <w:tc>
          <w:tcPr>
            <w:tcW w:w="7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产前检查腹部触诊孕妇模型 </w:t>
            </w:r>
          </w:p>
        </w:tc>
        <w:tc>
          <w:tcPr>
            <w:tcW w:w="6373" w:type="dxa"/>
            <w:tcBorders>
              <w:top w:val="nil"/>
              <w:left w:val="nil"/>
              <w:bottom w:val="single" w:color="auto" w:sz="4" w:space="0"/>
              <w:right w:val="single" w:color="auto" w:sz="4" w:space="0"/>
            </w:tcBorders>
            <w:shd w:val="clear" w:color="auto" w:fill="auto"/>
            <w:vAlign w:val="center"/>
          </w:tcPr>
          <w:p>
            <w:pPr>
              <w:spacing w:line="276" w:lineRule="auto"/>
              <w:ind w:firstLine="422" w:firstLineChars="200"/>
              <w:jc w:val="left"/>
              <w:outlineLvl w:val="7"/>
              <w:rPr>
                <w:rFonts w:asciiTheme="minorHAnsi" w:hAnsiTheme="minorHAnsi" w:eastAsiaTheme="minorEastAsia" w:cstheme="minorBidi"/>
                <w:b/>
                <w:bCs/>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Cs w:val="21"/>
                <w:highlight w:val="none"/>
                <w14:textFill>
                  <w14:solidFill>
                    <w14:schemeClr w14:val="tx1"/>
                  </w14:solidFill>
                </w14:textFill>
              </w:rPr>
              <w:t>产前检查腹部触诊孕妇模型</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材质：环保PVC材料，材质柔软有弹性；</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模型大小：按标准孕妇的身体尺寸大小设计，骨盆大小与正常成年女性相似；</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外观和触感与真人的身体相似，给学生以临床真实病人的检查感受；</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技术要求：为了使用和管理简单化，可以通过外部皮球给予子宫内注入空气，随着充气的调节使它成为最接近于孕晚期腹部的状态；腹部测量和骨盆测量所需要的骨骼已造成形于模型内部；利用电脑芯片控制的声音合成器能听到真实的胎儿心音。胎儿心音的速度快慢及音量高低可随时调节；</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（5）</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功能要求：可进行四步触诊法的训练与考核；胎心音的听诊；骨盆外测量的训练与考核。</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nil"/>
              <w:left w:val="nil"/>
              <w:bottom w:val="single" w:color="auto" w:sz="4" w:space="0"/>
              <w:right w:val="single" w:color="auto" w:sz="4" w:space="0"/>
            </w:tcBorders>
            <w:shd w:val="clear" w:color="auto" w:fill="auto"/>
            <w:vAlign w:val="center"/>
          </w:tcPr>
          <w:p>
            <w:pPr>
              <w:widowControl/>
              <w:tabs>
                <w:tab w:val="center" w:pos="432"/>
                <w:tab w:val="right" w:pos="984"/>
              </w:tabs>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20000</w:t>
            </w: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c>
          <w:tcPr>
            <w:tcW w:w="16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r>
    </w:tbl>
    <w:p>
      <w:pPr>
        <w:pStyle w:val="2"/>
        <w:ind w:left="3360"/>
        <w:rPr>
          <w:color w:val="000000" w:themeColor="text1"/>
          <w:highlight w:val="none"/>
          <w14:textFill>
            <w14:solidFill>
              <w14:schemeClr w14:val="tx1"/>
            </w14:solidFill>
          </w14:textFill>
        </w:rPr>
      </w:pPr>
    </w:p>
    <w:p>
      <w:pPr>
        <w:widowControl/>
        <w:jc w:val="left"/>
        <w:rPr>
          <w:b/>
          <w:color w:val="000000" w:themeColor="text1"/>
          <w:sz w:val="28"/>
          <w:szCs w:val="28"/>
          <w:highlight w:val="none"/>
          <w14:textFill>
            <w14:solidFill>
              <w14:schemeClr w14:val="tx1"/>
            </w14:solidFill>
          </w14:textFill>
        </w:rPr>
      </w:pP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注：1、投标人所投设备的参数性能不得低于以上设备型号的参数性能且必须满足使用老师功能需求，否则不予认定。</w:t>
      </w: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2</w:t>
      </w:r>
      <w:r>
        <w:rPr>
          <w:rFonts w:hint="eastAsia"/>
          <w:b/>
          <w:color w:val="000000" w:themeColor="text1"/>
          <w:sz w:val="24"/>
          <w:highlight w:val="none"/>
          <w14:textFill>
            <w14:solidFill>
              <w14:schemeClr w14:val="tx1"/>
            </w14:solidFill>
          </w14:textFill>
        </w:rPr>
        <w:t>、投标人对参数及配置需求不明确的地方请咨</w:t>
      </w:r>
      <w:bookmarkStart w:id="56" w:name="_GoBack"/>
      <w:bookmarkEnd w:id="56"/>
      <w:r>
        <w:rPr>
          <w:rFonts w:hint="eastAsia"/>
          <w:b/>
          <w:color w:val="000000" w:themeColor="text1"/>
          <w:sz w:val="24"/>
          <w:highlight w:val="none"/>
          <w14:textFill>
            <w14:solidFill>
              <w14:schemeClr w14:val="tx1"/>
            </w14:solidFill>
          </w14:textFill>
        </w:rPr>
        <w:t>询常老师（15161971120），参与投标则视同所投设备的价格包含使用老师的功能需求。</w:t>
      </w:r>
    </w:p>
    <w:p>
      <w:pPr>
        <w:spacing w:line="288" w:lineRule="auto"/>
        <w:ind w:left="480"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b/>
          <w:color w:val="000000" w:themeColor="text1"/>
          <w:sz w:val="24"/>
          <w:highlight w:val="none"/>
          <w14:textFill>
            <w14:solidFill>
              <w14:schemeClr w14:val="tx1"/>
            </w14:solidFill>
          </w14:textFill>
        </w:rPr>
        <w:t>、以上设备采用不打包中标，满足要求的单项选择最低价中标。</w:t>
      </w:r>
    </w:p>
    <w:p>
      <w:pPr>
        <w:spacing w:line="288" w:lineRule="auto"/>
        <w:ind w:left="693" w:leftChars="50" w:hanging="588" w:hangingChars="244"/>
        <w:rPr>
          <w:b/>
          <w:color w:val="000000" w:themeColor="text1"/>
          <w:sz w:val="24"/>
          <w:highlight w:val="none"/>
          <w14:textFill>
            <w14:solidFill>
              <w14:schemeClr w14:val="tx1"/>
            </w14:solidFill>
          </w14:textFill>
        </w:rPr>
        <w:sectPr>
          <w:pgSz w:w="16838" w:h="11906" w:orient="landscape"/>
          <w:pgMar w:top="1418" w:right="1440" w:bottom="1644" w:left="1440" w:header="851" w:footer="992" w:gutter="0"/>
          <w:cols w:space="425" w:num="1"/>
          <w:titlePg/>
          <w:docGrid w:linePitch="312" w:charSpace="0"/>
        </w:sectPr>
      </w:pPr>
    </w:p>
    <w:p>
      <w:pPr>
        <w:jc w:val="center"/>
        <w:rPr>
          <w:b/>
          <w:bCs/>
          <w:color w:val="000000" w:themeColor="text1"/>
          <w:kern w:val="44"/>
          <w:sz w:val="44"/>
          <w:szCs w:val="44"/>
          <w:highlight w:val="none"/>
          <w14:textFill>
            <w14:solidFill>
              <w14:schemeClr w14:val="tx1"/>
            </w14:solidFill>
          </w14:textFill>
        </w:rPr>
      </w:pPr>
      <w:r>
        <w:rPr>
          <w:rFonts w:hint="eastAsia"/>
          <w:b/>
          <w:bCs/>
          <w:color w:val="000000" w:themeColor="text1"/>
          <w:kern w:val="44"/>
          <w:sz w:val="44"/>
          <w:szCs w:val="44"/>
          <w:highlight w:val="none"/>
          <w14:textFill>
            <w14:solidFill>
              <w14:schemeClr w14:val="tx1"/>
            </w14:solidFill>
          </w14:textFill>
        </w:rPr>
        <w:t>商务条款</w:t>
      </w:r>
    </w:p>
    <w:p>
      <w:pPr>
        <w:spacing w:line="420" w:lineRule="atLeast"/>
        <w:ind w:firstLine="551" w:firstLineChars="196"/>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420" w:lineRule="atLeas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1、交货期</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合同生效后15天内。</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2、交货地点</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江苏医药职业学院指定地点。</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3、付款方式</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 2 年后一次性无息付清。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4、质保期及售后服务</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（1）自验收合格日起免费质保</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u w:val="single"/>
          <w14:textFill>
            <w14:solidFill>
              <w14:schemeClr w14:val="tx1"/>
            </w14:solidFill>
          </w14:textFill>
        </w:rPr>
        <w:t xml:space="preserve">贰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年，质保期自愿延长不限；</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（2）质保期内，因货物质量问题导致的各种故障的技术服务及维修所产生的一切费用由卖方负责承担；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（3）卖方应针对货物的特点对买方有关人员在货物的性能、原理、操作要领、维修和保养等各个方面进行免费现场培训。必要时，卖方还应向买方提供免费培训名额至少2个，参加卖方举办的专门培训；</w:t>
      </w:r>
    </w:p>
    <w:p>
      <w:pPr>
        <w:spacing w:line="420" w:lineRule="atLeast"/>
        <w:ind w:firstLine="560"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（4）售后服务承诺书中承诺的其他条款。</w:t>
      </w:r>
    </w:p>
    <w:p>
      <w:pPr>
        <w:spacing w:line="420" w:lineRule="atLeas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5、安装、调试及验收要求</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（1）卖方应在买方的配合下，负责对货物的现场安装调试；</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（2）货物到达买方指定地点后，卖方应在收到买方通知后48小时内派遣合格的技术人员前往买方完成货物的安装、调试工作；</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（3）验收测试所需要的材料、设备和测试样品等均由卖方负责提供；</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（4）卖方应在规定的期限内完成安装调试工作，如因卖方责任而造成安装调试的延期，因延期而产生的所有费用由卖方承担；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（5）最终验收在买方使用现场进行，在货物达到验收标准，包括应满足中国安全标准和环境保护标准后，买卖双方共同签署验收合格报告；</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（6）卖方人员在买方安装调试期间所产生的一切费用由卖方承担。</w:t>
      </w:r>
    </w:p>
    <w:p>
      <w:pPr>
        <w:pStyle w:val="2"/>
        <w:ind w:left="3360"/>
        <w:rPr>
          <w:color w:val="000000" w:themeColor="text1"/>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3"/>
        <w:rPr>
          <w:color w:val="000000" w:themeColor="text1"/>
          <w:sz w:val="24"/>
          <w:highlight w:val="none"/>
          <w14:textFill>
            <w14:solidFill>
              <w14:schemeClr w14:val="tx1"/>
            </w14:solidFill>
          </w14:textFill>
        </w:rPr>
      </w:pPr>
      <w:bookmarkStart w:id="51" w:name="_Toc141279400"/>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52"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3"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2"/>
      <w:bookmarkEnd w:id="53"/>
    </w:p>
    <w:p>
      <w:pPr>
        <w:jc w:val="center"/>
        <w:rPr>
          <w:rFonts w:ascii="宋体" w:hAnsi="宋体"/>
          <w:b/>
          <w:bCs/>
          <w:color w:val="000000" w:themeColor="text1"/>
          <w:sz w:val="44"/>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2"/>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54"/>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2"/>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w:t>
      </w:r>
      <w:r>
        <w:rPr>
          <w:color w:val="000000" w:themeColor="text1"/>
          <w:sz w:val="24"/>
          <w:szCs w:val="24"/>
          <w:highlight w:val="none"/>
          <w14:textFill>
            <w14:solidFill>
              <w14:schemeClr w14:val="tx1"/>
            </w14:solidFill>
          </w14:textFill>
        </w:rPr>
        <w:t>SY2023-008-HW-XJ</w:t>
      </w:r>
      <w:r>
        <w:rPr>
          <w:rFonts w:hint="eastAsia"/>
          <w:color w:val="000000" w:themeColor="text1"/>
          <w:sz w:val="24"/>
          <w:szCs w:val="24"/>
          <w:highlight w:val="none"/>
          <w14:textFill>
            <w14:solidFill>
              <w14:schemeClr w14:val="tx1"/>
            </w14:solidFill>
          </w14:textFill>
        </w:rPr>
        <w:t>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p>
    <w:p>
      <w:pPr>
        <w:pStyle w:val="47"/>
        <w:spacing w:line="360" w:lineRule="auto"/>
        <w:ind w:firstLine="1200" w:firstLineChars="5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_______________________</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5"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5"/>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8"/>
        <w:gridCol w:w="480"/>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38"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4997"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预防医学5+0专业妇产科学实训教学设备采购</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t>SY2023-008-HW-XJ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19</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24</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1722"/>
    <w:rsid w:val="005A2A1F"/>
    <w:rsid w:val="005A48EC"/>
    <w:rsid w:val="005A7E1C"/>
    <w:rsid w:val="005B1014"/>
    <w:rsid w:val="005B10A4"/>
    <w:rsid w:val="005B226C"/>
    <w:rsid w:val="005B267E"/>
    <w:rsid w:val="005B5C39"/>
    <w:rsid w:val="005B5F7E"/>
    <w:rsid w:val="005B785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8C45664"/>
    <w:rsid w:val="090866F7"/>
    <w:rsid w:val="09B340CA"/>
    <w:rsid w:val="09EE0F32"/>
    <w:rsid w:val="10CC0B76"/>
    <w:rsid w:val="13496919"/>
    <w:rsid w:val="1448131A"/>
    <w:rsid w:val="15F07C4A"/>
    <w:rsid w:val="16184154"/>
    <w:rsid w:val="16205ADD"/>
    <w:rsid w:val="16AC5798"/>
    <w:rsid w:val="17956C4B"/>
    <w:rsid w:val="17AF075C"/>
    <w:rsid w:val="1A9A2AF8"/>
    <w:rsid w:val="1CA978FF"/>
    <w:rsid w:val="1D607CAB"/>
    <w:rsid w:val="1F8C5E4C"/>
    <w:rsid w:val="1FA20B74"/>
    <w:rsid w:val="2025037D"/>
    <w:rsid w:val="20436F19"/>
    <w:rsid w:val="211C2281"/>
    <w:rsid w:val="212F509A"/>
    <w:rsid w:val="220926BF"/>
    <w:rsid w:val="22A95594"/>
    <w:rsid w:val="22B479FE"/>
    <w:rsid w:val="22F807F1"/>
    <w:rsid w:val="276B1A67"/>
    <w:rsid w:val="28596F95"/>
    <w:rsid w:val="293D064A"/>
    <w:rsid w:val="29E559AF"/>
    <w:rsid w:val="2C425E38"/>
    <w:rsid w:val="2CB060E6"/>
    <w:rsid w:val="2D665D1E"/>
    <w:rsid w:val="2E4076F6"/>
    <w:rsid w:val="2F14770F"/>
    <w:rsid w:val="2F762DA3"/>
    <w:rsid w:val="2F8D1F5F"/>
    <w:rsid w:val="30F80FFA"/>
    <w:rsid w:val="33557A54"/>
    <w:rsid w:val="346C0227"/>
    <w:rsid w:val="36BD182A"/>
    <w:rsid w:val="37450ADB"/>
    <w:rsid w:val="379C49B7"/>
    <w:rsid w:val="39EE48F0"/>
    <w:rsid w:val="3ACD2F39"/>
    <w:rsid w:val="3BA71F91"/>
    <w:rsid w:val="3D2B1E37"/>
    <w:rsid w:val="3D727D5E"/>
    <w:rsid w:val="3EE35DE2"/>
    <w:rsid w:val="4136175B"/>
    <w:rsid w:val="4163240A"/>
    <w:rsid w:val="41A45839"/>
    <w:rsid w:val="421E0B0E"/>
    <w:rsid w:val="42460F98"/>
    <w:rsid w:val="42620BB8"/>
    <w:rsid w:val="42BC53BA"/>
    <w:rsid w:val="45CE0650"/>
    <w:rsid w:val="48750319"/>
    <w:rsid w:val="488D30A3"/>
    <w:rsid w:val="48B14E25"/>
    <w:rsid w:val="48C40477"/>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384E7D"/>
    <w:rsid w:val="5F603D0B"/>
    <w:rsid w:val="5FFC5DFF"/>
    <w:rsid w:val="604575DA"/>
    <w:rsid w:val="61903706"/>
    <w:rsid w:val="62731DFA"/>
    <w:rsid w:val="64B654D9"/>
    <w:rsid w:val="652D4423"/>
    <w:rsid w:val="67411BEA"/>
    <w:rsid w:val="676673EC"/>
    <w:rsid w:val="690F4654"/>
    <w:rsid w:val="6BE41BEC"/>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line="360" w:lineRule="auto"/>
      <w:jc w:val="center"/>
      <w:outlineLvl w:val="0"/>
    </w:pPr>
    <w:rPr>
      <w:b/>
      <w:bCs/>
      <w:kern w:val="44"/>
      <w:sz w:val="44"/>
      <w:szCs w:val="44"/>
    </w:rPr>
  </w:style>
  <w:style w:type="paragraph" w:styleId="4">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46"/>
    <w:qFormat/>
    <w:locked/>
    <w:uiPriority w:val="99"/>
    <w:pPr>
      <w:ind w:firstLine="420"/>
    </w:pPr>
    <w:rPr>
      <w:kern w:val="0"/>
      <w:sz w:val="20"/>
      <w:szCs w:val="20"/>
    </w:rPr>
  </w:style>
  <w:style w:type="paragraph" w:styleId="7">
    <w:name w:val="Document Map"/>
    <w:basedOn w:val="1"/>
    <w:link w:val="30"/>
    <w:semiHidden/>
    <w:qFormat/>
    <w:uiPriority w:val="99"/>
    <w:pPr>
      <w:shd w:val="clear" w:color="auto" w:fill="000080"/>
    </w:pPr>
    <w:rPr>
      <w:rFonts w:ascii="Calibri" w:hAnsi="Calibri"/>
      <w:kern w:val="0"/>
      <w:sz w:val="2"/>
      <w:szCs w:val="20"/>
    </w:rPr>
  </w:style>
  <w:style w:type="paragraph" w:styleId="8">
    <w:name w:val="Body Text"/>
    <w:basedOn w:val="1"/>
    <w:link w:val="31"/>
    <w:qFormat/>
    <w:uiPriority w:val="99"/>
    <w:pPr>
      <w:spacing w:after="120"/>
    </w:pPr>
    <w:rPr>
      <w:rFonts w:ascii="Calibri" w:hAnsi="Calibri"/>
      <w:sz w:val="24"/>
      <w:szCs w:val="20"/>
    </w:r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32"/>
    <w:qFormat/>
    <w:uiPriority w:val="0"/>
    <w:pPr>
      <w:jc w:val="left"/>
    </w:pPr>
    <w:rPr>
      <w:rFonts w:ascii="宋体" w:hAnsi="Courier New"/>
      <w:kern w:val="0"/>
      <w:szCs w:val="20"/>
    </w:rPr>
  </w:style>
  <w:style w:type="paragraph" w:styleId="12">
    <w:name w:val="Date"/>
    <w:basedOn w:val="1"/>
    <w:next w:val="1"/>
    <w:link w:val="33"/>
    <w:qFormat/>
    <w:uiPriority w:val="99"/>
    <w:pPr>
      <w:ind w:left="2500" w:leftChars="2500"/>
    </w:pPr>
    <w:rPr>
      <w:rFonts w:ascii="Calibri" w:hAnsi="Calibri" w:eastAsia="黑体"/>
      <w:kern w:val="0"/>
      <w:sz w:val="24"/>
      <w:szCs w:val="20"/>
    </w:rPr>
  </w:style>
  <w:style w:type="paragraph" w:styleId="13">
    <w:name w:val="Balloon Text"/>
    <w:basedOn w:val="1"/>
    <w:link w:val="34"/>
    <w:semiHidden/>
    <w:qFormat/>
    <w:uiPriority w:val="99"/>
    <w:rPr>
      <w:rFonts w:ascii="Calibri" w:hAnsi="Calibri"/>
      <w:sz w:val="18"/>
      <w:szCs w:val="20"/>
    </w:rPr>
  </w:style>
  <w:style w:type="paragraph" w:styleId="14">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9"/>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Char"/>
    <w:link w:val="4"/>
    <w:qFormat/>
    <w:locked/>
    <w:uiPriority w:val="99"/>
    <w:rPr>
      <w:rFonts w:ascii="Cambria" w:hAnsi="Cambria"/>
      <w:b/>
      <w:kern w:val="2"/>
      <w:sz w:val="24"/>
    </w:rPr>
  </w:style>
  <w:style w:type="character" w:customStyle="1" w:styleId="30">
    <w:name w:val="文档结构图 Char"/>
    <w:link w:val="7"/>
    <w:semiHidden/>
    <w:qFormat/>
    <w:locked/>
    <w:uiPriority w:val="99"/>
    <w:rPr>
      <w:rFonts w:cs="Times New Roman"/>
      <w:sz w:val="2"/>
    </w:rPr>
  </w:style>
  <w:style w:type="character" w:customStyle="1" w:styleId="31">
    <w:name w:val="正文文本 Char"/>
    <w:link w:val="8"/>
    <w:qFormat/>
    <w:locked/>
    <w:uiPriority w:val="99"/>
    <w:rPr>
      <w:rFonts w:cs="Times New Roman"/>
      <w:kern w:val="2"/>
      <w:sz w:val="24"/>
    </w:rPr>
  </w:style>
  <w:style w:type="character" w:customStyle="1" w:styleId="32">
    <w:name w:val="纯文本 Char"/>
    <w:link w:val="11"/>
    <w:qFormat/>
    <w:locked/>
    <w:uiPriority w:val="0"/>
    <w:rPr>
      <w:rFonts w:ascii="宋体" w:hAnsi="Courier New" w:cs="Times New Roman"/>
      <w:sz w:val="21"/>
    </w:rPr>
  </w:style>
  <w:style w:type="character" w:customStyle="1" w:styleId="33">
    <w:name w:val="日期 Char"/>
    <w:link w:val="12"/>
    <w:qFormat/>
    <w:locked/>
    <w:uiPriority w:val="99"/>
    <w:rPr>
      <w:rFonts w:eastAsia="黑体" w:cs="Times New Roman"/>
      <w:sz w:val="24"/>
    </w:rPr>
  </w:style>
  <w:style w:type="character" w:customStyle="1" w:styleId="34">
    <w:name w:val="批注框文本 Char"/>
    <w:link w:val="13"/>
    <w:semiHidden/>
    <w:qFormat/>
    <w:locked/>
    <w:uiPriority w:val="99"/>
    <w:rPr>
      <w:rFonts w:cs="Times New Roman"/>
      <w:kern w:val="2"/>
      <w:sz w:val="18"/>
    </w:rPr>
  </w:style>
  <w:style w:type="character" w:customStyle="1" w:styleId="35">
    <w:name w:val="页脚 Char"/>
    <w:link w:val="14"/>
    <w:qFormat/>
    <w:locked/>
    <w:uiPriority w:val="99"/>
    <w:rPr>
      <w:rFonts w:cs="Times New Roman"/>
      <w:kern w:val="2"/>
      <w:sz w:val="18"/>
    </w:rPr>
  </w:style>
  <w:style w:type="character" w:customStyle="1" w:styleId="36">
    <w:name w:val="页眉 Char"/>
    <w:link w:val="15"/>
    <w:qFormat/>
    <w:locked/>
    <w:uiPriority w:val="99"/>
    <w:rPr>
      <w:rFonts w:cs="Times New Roman"/>
      <w:kern w:val="2"/>
      <w:sz w:val="18"/>
    </w:rPr>
  </w:style>
  <w:style w:type="character" w:customStyle="1" w:styleId="37">
    <w:name w:val="HTML 预设格式 Char"/>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7"/>
    <w:qFormat/>
    <w:uiPriority w:val="99"/>
    <w:pPr>
      <w:adjustRightInd w:val="0"/>
      <w:snapToGrid w:val="0"/>
      <w:spacing w:line="360" w:lineRule="auto"/>
    </w:pPr>
    <w:rPr>
      <w:rFonts w:ascii="Tahoma" w:hAnsi="Tahoma"/>
      <w:sz w:val="24"/>
    </w:rPr>
  </w:style>
  <w:style w:type="character" w:customStyle="1" w:styleId="42">
    <w:name w:val="标题 1 Char"/>
    <w:basedOn w:val="24"/>
    <w:link w:val="3"/>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Char"/>
    <w:link w:val="6"/>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5C8E-766A-4755-BEF0-A8BC5E4167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2137</Words>
  <Characters>12187</Characters>
  <Lines>101</Lines>
  <Paragraphs>28</Paragraphs>
  <TotalTime>3</TotalTime>
  <ScaleCrop>false</ScaleCrop>
  <LinksUpToDate>false</LinksUpToDate>
  <CharactersWithSpaces>14296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2023-07-26T08:21:30Z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08F4CEEBBF354E74B67A96996DF9666A</vt:lpwstr>
  </property>
</Properties>
</file>