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江苏医药职业学院电瓶车棚消防喷淋系统建设</w:t>
      </w:r>
    </w:p>
    <w:p>
      <w:pPr>
        <w:snapToGrid w:val="0"/>
        <w:spacing w:line="300" w:lineRule="auto"/>
        <w:ind w:firstLine="472" w:firstLineChars="147"/>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项目编号</w:t>
      </w:r>
      <w:r>
        <w:rPr>
          <w:rFonts w:asciiTheme="majorEastAsia" w:hAnsiTheme="majorEastAsia" w:eastAsiaTheme="majorEastAsia"/>
          <w:b/>
          <w:bCs/>
          <w:sz w:val="32"/>
          <w:szCs w:val="32"/>
        </w:rPr>
        <w:t>: XJ2020-59号</w:t>
      </w: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sz w:val="36"/>
          <w:szCs w:val="36"/>
        </w:rPr>
      </w:pPr>
    </w:p>
    <w:p>
      <w:pPr>
        <w:pStyle w:val="2"/>
        <w:rPr>
          <w:color w:val="auto"/>
        </w:rPr>
      </w:pPr>
    </w:p>
    <w:p>
      <w:pPr>
        <w:pStyle w:val="2"/>
        <w:rPr>
          <w:color w:val="auto"/>
        </w:rPr>
      </w:pPr>
    </w:p>
    <w:p>
      <w:pPr>
        <w:snapToGrid w:val="0"/>
        <w:spacing w:before="120" w:after="120" w:line="300" w:lineRule="auto"/>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年10月7日</w:t>
      </w: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第一部分  询价公告</w:t>
      </w:r>
    </w:p>
    <w:p>
      <w:pPr>
        <w:pStyle w:val="2"/>
        <w:rPr>
          <w:rFonts w:asciiTheme="majorEastAsia" w:hAnsiTheme="majorEastAsia" w:eastAsiaTheme="majorEastAsia"/>
          <w:color w:val="auto"/>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hint="eastAsia" w:asciiTheme="majorEastAsia" w:hAnsiTheme="majorEastAsia" w:eastAsiaTheme="majorEastAsia"/>
          <w:bCs/>
          <w:spacing w:val="10"/>
          <w:kern w:val="15"/>
          <w:position w:val="2"/>
          <w:sz w:val="24"/>
        </w:rPr>
        <w:t>电瓶车棚消防喷淋系统建设项目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Cs/>
          <w:sz w:val="24"/>
        </w:rPr>
      </w:pPr>
      <w:r>
        <w:rPr>
          <w:rFonts w:hint="eastAsia" w:asciiTheme="majorEastAsia" w:hAnsiTheme="majorEastAsia" w:eastAsiaTheme="majorEastAsia"/>
          <w:bCs/>
          <w:sz w:val="24"/>
        </w:rPr>
        <w:t>项目名称：江苏医药职业学院电瓶车棚消防喷淋系统建设项目</w:t>
      </w:r>
    </w:p>
    <w:p>
      <w:pPr>
        <w:snapToGrid w:val="0"/>
        <w:spacing w:line="460" w:lineRule="exact"/>
        <w:ind w:firstLine="470" w:firstLineChars="196"/>
        <w:rPr>
          <w:rFonts w:asciiTheme="majorEastAsia" w:hAnsiTheme="majorEastAsia" w:eastAsiaTheme="majorEastAsia"/>
          <w:bCs/>
          <w:sz w:val="24"/>
        </w:rPr>
      </w:pPr>
      <w:r>
        <w:rPr>
          <w:rFonts w:hint="eastAsia" w:asciiTheme="majorEastAsia" w:hAnsiTheme="majorEastAsia" w:eastAsiaTheme="majorEastAsia"/>
          <w:bCs/>
          <w:sz w:val="24"/>
        </w:rPr>
        <w:t>项目编号：XJ2020-59号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55" w:firstLineChars="148"/>
        <w:rPr>
          <w:rFonts w:asciiTheme="majorEastAsia" w:hAnsiTheme="majorEastAsia" w:eastAsiaTheme="majorEastAsia"/>
          <w:bCs/>
          <w:sz w:val="24"/>
        </w:rPr>
      </w:pPr>
      <w:r>
        <w:rPr>
          <w:rFonts w:hint="eastAsia" w:asciiTheme="majorEastAsia" w:hAnsiTheme="majorEastAsia" w:eastAsiaTheme="majorEastAsia"/>
          <w:bCs/>
          <w:sz w:val="24"/>
        </w:rPr>
        <w:t>江苏医药职业学院电瓶车棚消防喷淋系统建设项目，</w:t>
      </w:r>
      <w:r>
        <w:rPr>
          <w:rFonts w:hint="eastAsia" w:asciiTheme="majorEastAsia" w:hAnsiTheme="majorEastAsia" w:eastAsiaTheme="majorEastAsia"/>
          <w:b/>
          <w:bCs/>
          <w:sz w:val="24"/>
        </w:rPr>
        <w:t>最高限价：13万元；</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1、申请人资质等级和范围：投标申请人应具有建设行政主管部门核发的</w:t>
      </w:r>
      <w:r>
        <w:rPr>
          <w:rFonts w:hint="eastAsia" w:asciiTheme="majorEastAsia" w:hAnsiTheme="majorEastAsia" w:eastAsiaTheme="majorEastAsia"/>
          <w:b/>
          <w:bCs/>
          <w:sz w:val="24"/>
        </w:rPr>
        <w:t>消防设施工程专业承包二级及以上</w:t>
      </w:r>
      <w:r>
        <w:rPr>
          <w:rFonts w:hint="eastAsia" w:asciiTheme="majorEastAsia" w:hAnsiTheme="majorEastAsia" w:eastAsiaTheme="majorEastAsia"/>
          <w:bCs/>
          <w:sz w:val="24"/>
        </w:rPr>
        <w:t>资质的独立法人，并取得安全生产许可证。</w:t>
      </w:r>
    </w:p>
    <w:p>
      <w:pPr>
        <w:snapToGrid w:val="0"/>
        <w:spacing w:line="460" w:lineRule="exact"/>
        <w:rPr>
          <w:rFonts w:asciiTheme="majorEastAsia" w:hAnsiTheme="majorEastAsia" w:eastAsiaTheme="majorEastAsia"/>
          <w:bCs/>
          <w:sz w:val="24"/>
        </w:rPr>
      </w:pPr>
      <w:r>
        <w:rPr>
          <w:rFonts w:hint="eastAsia" w:asciiTheme="majorEastAsia" w:hAnsiTheme="majorEastAsia" w:eastAsiaTheme="majorEastAsia"/>
          <w:bCs/>
          <w:sz w:val="24"/>
        </w:rPr>
        <w:t xml:space="preserve">    2、项目负责人资质类别和等级：项目负责人必须是投标人本单位正式职工，</w:t>
      </w:r>
      <w:r>
        <w:rPr>
          <w:rFonts w:asciiTheme="majorEastAsia" w:hAnsiTheme="majorEastAsia" w:eastAsiaTheme="majorEastAsia"/>
          <w:bCs/>
          <w:sz w:val="24"/>
        </w:rPr>
        <w:t>具有</w:t>
      </w:r>
      <w:r>
        <w:rPr>
          <w:rFonts w:hint="eastAsia" w:asciiTheme="majorEastAsia" w:hAnsiTheme="majorEastAsia" w:eastAsiaTheme="majorEastAsia"/>
          <w:b/>
          <w:bCs/>
          <w:sz w:val="24"/>
          <w:u w:val="single"/>
        </w:rPr>
        <w:t>机电工程专业</w:t>
      </w:r>
      <w:r>
        <w:rPr>
          <w:rFonts w:asciiTheme="majorEastAsia" w:hAnsiTheme="majorEastAsia" w:eastAsiaTheme="majorEastAsia"/>
          <w:bCs/>
          <w:sz w:val="24"/>
        </w:rPr>
        <w:t>的二级及以上建造师注册证书（或建造师临时执业证书），并取得安全生产考核合格证（B类</w:t>
      </w:r>
      <w:r>
        <w:rPr>
          <w:rFonts w:hint="eastAsia" w:asciiTheme="majorEastAsia" w:hAnsiTheme="majorEastAsia" w:eastAsiaTheme="majorEastAsia"/>
          <w:bCs/>
          <w:sz w:val="24"/>
        </w:rPr>
        <w:t>）</w:t>
      </w:r>
      <w:r>
        <w:rPr>
          <w:rFonts w:asciiTheme="majorEastAsia" w:hAnsiTheme="majorEastAsia" w:eastAsiaTheme="majorEastAsia"/>
          <w:bCs/>
          <w:sz w:val="24"/>
        </w:rPr>
        <w:t>。</w:t>
      </w:r>
    </w:p>
    <w:p>
      <w:pPr>
        <w:snapToGrid w:val="0"/>
        <w:spacing w:line="460" w:lineRule="exact"/>
        <w:rPr>
          <w:rFonts w:asciiTheme="majorEastAsia" w:hAnsiTheme="majorEastAsia" w:eastAsiaTheme="majorEastAsia"/>
          <w:bCs/>
          <w:sz w:val="24"/>
        </w:rPr>
      </w:pPr>
      <w:r>
        <w:rPr>
          <w:rFonts w:hint="eastAsia" w:asciiTheme="majorEastAsia" w:hAnsiTheme="majorEastAsia" w:eastAsiaTheme="majorEastAsia"/>
          <w:bCs/>
          <w:sz w:val="24"/>
        </w:rPr>
        <w:t xml:space="preserve">    3、项目负责人须为投标人本单位正式职工，从投标截止日当月向前连续6个月均在投标人本单位缴纳养老保险（例：如投标截止日期为2018年4月*日，则为2017年10月-2018年3月养老保险均在投标人本单位缴纳）。投标时无须提供证明材料，如有质疑或招标人要求，再按要求提供相关证明材料。</w:t>
      </w:r>
    </w:p>
    <w:p>
      <w:pPr>
        <w:snapToGrid w:val="0"/>
        <w:spacing w:line="460" w:lineRule="exact"/>
        <w:ind w:firstLine="240" w:firstLineChars="100"/>
        <w:rPr>
          <w:rFonts w:asciiTheme="majorEastAsia" w:hAnsiTheme="majorEastAsia" w:eastAsiaTheme="majorEastAsia"/>
          <w:bCs/>
          <w:sz w:val="24"/>
        </w:rPr>
      </w:pPr>
      <w:r>
        <w:rPr>
          <w:rFonts w:hint="eastAsia" w:asciiTheme="majorEastAsia" w:hAnsiTheme="majorEastAsia" w:eastAsiaTheme="majorEastAsia"/>
          <w:bCs/>
          <w:sz w:val="24"/>
        </w:rPr>
        <w:t>　4、未被</w:t>
      </w:r>
      <w:r>
        <w:rPr>
          <w:rFonts w:asciiTheme="majorEastAsia" w:hAnsiTheme="majorEastAsia" w:eastAsiaTheme="majorEastAsia"/>
          <w:bCs/>
          <w:sz w:val="24"/>
        </w:rPr>
        <w:t>“</w:t>
      </w:r>
      <w:r>
        <w:rPr>
          <w:rFonts w:hint="eastAsia" w:asciiTheme="majorEastAsia" w:hAnsiTheme="majorEastAsia" w:eastAsiaTheme="majorEastAsia"/>
          <w:bCs/>
          <w:sz w:val="24"/>
        </w:rPr>
        <w:t>信用中国</w:t>
      </w:r>
      <w:r>
        <w:rPr>
          <w:rFonts w:asciiTheme="majorEastAsia" w:hAnsiTheme="majorEastAsia" w:eastAsiaTheme="majorEastAsia"/>
          <w:bCs/>
          <w:sz w:val="24"/>
        </w:rPr>
        <w:t>”</w:t>
      </w:r>
      <w:r>
        <w:rPr>
          <w:rFonts w:hint="eastAsia" w:asciiTheme="majorEastAsia" w:hAnsiTheme="majorEastAsia" w:eastAsiaTheme="majorEastAsia"/>
          <w:bCs/>
          <w:sz w:val="24"/>
        </w:rPr>
        <w:t>网站（</w:t>
      </w:r>
      <w:r>
        <w:rPr>
          <w:rFonts w:asciiTheme="majorEastAsia" w:hAnsiTheme="majorEastAsia" w:eastAsiaTheme="majorEastAsia"/>
          <w:bCs/>
          <w:sz w:val="24"/>
        </w:rPr>
        <w:t>www.creditchina.gov.cn</w:t>
      </w:r>
      <w:r>
        <w:rPr>
          <w:rFonts w:hint="eastAsia" w:asciiTheme="majorEastAsia" w:hAnsiTheme="majorEastAsia" w:eastAsiaTheme="majorEastAsia"/>
          <w:bCs/>
          <w:sz w:val="24"/>
        </w:rPr>
        <w:t>）列入失信被执行人、重大税收违法案件当事人名单、政府采购严重失信行为记录名单。</w:t>
      </w:r>
    </w:p>
    <w:p>
      <w:pPr>
        <w:snapToGrid w:val="0"/>
        <w:spacing w:line="460" w:lineRule="exact"/>
        <w:rPr>
          <w:rFonts w:asciiTheme="majorEastAsia" w:hAnsiTheme="majorEastAsia" w:eastAsiaTheme="majorEastAsia"/>
          <w:bCs/>
          <w:sz w:val="24"/>
        </w:rPr>
      </w:pPr>
      <w:r>
        <w:rPr>
          <w:rFonts w:hint="eastAsia" w:asciiTheme="majorEastAsia" w:hAnsiTheme="majorEastAsia" w:eastAsiaTheme="majorEastAsia"/>
          <w:bCs/>
          <w:sz w:val="24"/>
        </w:rPr>
        <w:t>　　5、投标人没有被国家、江苏省省级有关部门及盐城市级有关部门暂停招投标或市场准入资格且在公示处罚期内；没有处于被责令停业、财产被接管、冻结、破产等状态。</w:t>
      </w:r>
    </w:p>
    <w:p>
      <w:pPr>
        <w:snapToGrid w:val="0"/>
        <w:spacing w:line="460" w:lineRule="exact"/>
        <w:rPr>
          <w:rFonts w:asciiTheme="majorEastAsia" w:hAnsiTheme="majorEastAsia" w:eastAsiaTheme="majorEastAsia"/>
          <w:bCs/>
          <w:sz w:val="24"/>
        </w:rPr>
      </w:pPr>
      <w:r>
        <w:rPr>
          <w:rFonts w:hint="eastAsia" w:asciiTheme="majorEastAsia" w:hAnsiTheme="majorEastAsia" w:eastAsiaTheme="majorEastAsia"/>
          <w:bCs/>
          <w:sz w:val="24"/>
        </w:rPr>
        <w:t>　　6、符合相关法律、法规规定的其他要求。</w:t>
      </w:r>
    </w:p>
    <w:p>
      <w:pPr>
        <w:snapToGrid w:val="0"/>
        <w:spacing w:line="460" w:lineRule="exact"/>
        <w:rPr>
          <w:rFonts w:asciiTheme="majorEastAsia" w:hAnsiTheme="majorEastAsia" w:eastAsiaTheme="majorEastAsia"/>
          <w:sz w:val="24"/>
        </w:rPr>
      </w:pPr>
      <w:r>
        <w:rPr>
          <w:rFonts w:hint="eastAsia" w:asciiTheme="majorEastAsia" w:hAnsiTheme="majorEastAsia" w:eastAsiaTheme="majorEastAsia"/>
          <w:sz w:val="24"/>
        </w:rPr>
        <w:t xml:space="preserve">   （三）本项目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rPr>
          <w:rFonts w:asciiTheme="majorEastAsia" w:hAnsiTheme="majorEastAsia" w:eastAsiaTheme="majorEastAsia"/>
          <w:sz w:val="24"/>
        </w:rPr>
      </w:pPr>
      <w:r>
        <w:rPr>
          <w:rFonts w:hint="eastAsia" w:asciiTheme="majorEastAsia" w:hAnsiTheme="majorEastAsia" w:eastAsiaTheme="majorEastAsia"/>
          <w:sz w:val="24"/>
        </w:rPr>
        <w:t xml:space="preserve">   （四）本项目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日3个工作日。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u w:val="single"/>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kern w:val="15"/>
          <w:position w:val="2"/>
          <w:sz w:val="24"/>
          <w:u w:val="single"/>
        </w:rPr>
        <w:t>2020</w:t>
      </w:r>
      <w:r>
        <w:rPr>
          <w:rFonts w:hint="eastAsia" w:asciiTheme="majorEastAsia" w:hAnsiTheme="majorEastAsia" w:eastAsiaTheme="majorEastAsia"/>
          <w:kern w:val="15"/>
          <w:position w:val="2"/>
          <w:sz w:val="24"/>
          <w:u w:val="single"/>
        </w:rPr>
        <w:t xml:space="preserve">年10月 </w:t>
      </w:r>
      <w:r>
        <w:rPr>
          <w:rFonts w:hint="eastAsia" w:asciiTheme="majorEastAsia" w:hAnsiTheme="majorEastAsia" w:eastAsiaTheme="majorEastAsia"/>
          <w:kern w:val="15"/>
          <w:position w:val="2"/>
          <w:sz w:val="24"/>
          <w:u w:val="single"/>
          <w:lang w:val="en-US" w:eastAsia="zh-CN"/>
        </w:rPr>
        <w:t>12</w:t>
      </w:r>
      <w:r>
        <w:rPr>
          <w:rFonts w:hint="eastAsia" w:asciiTheme="majorEastAsia" w:hAnsiTheme="majorEastAsia" w:eastAsiaTheme="majorEastAsia"/>
          <w:kern w:val="15"/>
          <w:position w:val="2"/>
          <w:sz w:val="24"/>
          <w:u w:val="single"/>
        </w:rPr>
        <w:t xml:space="preserve"> 日</w:t>
      </w:r>
      <w:r>
        <w:rPr>
          <w:rFonts w:hint="eastAsia" w:asciiTheme="majorEastAsia" w:hAnsiTheme="majorEastAsia" w:eastAsiaTheme="majorEastAsia"/>
          <w:b/>
          <w:kern w:val="15"/>
          <w:position w:val="2"/>
          <w:sz w:val="24"/>
          <w:u w:val="single"/>
        </w:rPr>
        <w:t>9</w:t>
      </w:r>
      <w:r>
        <w:rPr>
          <w:rFonts w:asciiTheme="majorEastAsia" w:hAnsiTheme="majorEastAsia" w:eastAsiaTheme="majorEastAsia"/>
          <w:b/>
          <w:kern w:val="15"/>
          <w:position w:val="2"/>
          <w:sz w:val="24"/>
          <w:u w:val="single"/>
        </w:rPr>
        <w:t>:</w:t>
      </w:r>
      <w:r>
        <w:rPr>
          <w:rFonts w:hint="eastAsia" w:asciiTheme="majorEastAsia" w:hAnsiTheme="majorEastAsia" w:eastAsiaTheme="majorEastAsia"/>
          <w:b/>
          <w:kern w:val="15"/>
          <w:position w:val="2"/>
          <w:sz w:val="24"/>
          <w:u w:val="single"/>
        </w:rPr>
        <w:t>3</w:t>
      </w:r>
      <w:r>
        <w:rPr>
          <w:rFonts w:asciiTheme="majorEastAsia" w:hAnsiTheme="majorEastAsia" w:eastAsiaTheme="majorEastAsia"/>
          <w:b/>
          <w:kern w:val="15"/>
          <w:position w:val="2"/>
          <w:sz w:val="24"/>
          <w:u w:val="single"/>
        </w:rPr>
        <w:t>0</w:t>
      </w:r>
      <w:r>
        <w:rPr>
          <w:rFonts w:hint="eastAsia" w:asciiTheme="majorEastAsia" w:hAnsiTheme="majorEastAsia" w:eastAsiaTheme="majorEastAsia"/>
          <w:b/>
          <w:kern w:val="15"/>
          <w:position w:val="2"/>
          <w:sz w:val="24"/>
          <w:u w:val="single"/>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r>
        <w:rPr>
          <w:rFonts w:hint="eastAsia" w:asciiTheme="majorEastAsia" w:hAnsiTheme="majorEastAsia" w:eastAsiaTheme="majorEastAsia"/>
          <w:spacing w:val="10"/>
          <w:kern w:val="15"/>
          <w:position w:val="2"/>
          <w:sz w:val="24"/>
          <w:u w:val="single"/>
        </w:rPr>
        <w:t>逾期送达的为无效文件</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 xml:space="preserve"> 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询价联系人：刘伟</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 xml:space="preserve">  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 xml:space="preserve">  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元，相关事宜请联系招标代理公司盐城市天平建设监理有限公司周雷明(15295318333)。投标人交纳的招标资料费，无论中标与否均不予退还。</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color w:val="auto"/>
        </w:rPr>
      </w:pPr>
    </w:p>
    <w:p>
      <w:pPr>
        <w:pStyle w:val="2"/>
        <w:rPr>
          <w:rFonts w:asciiTheme="majorEastAsia" w:hAnsiTheme="majorEastAsia" w:eastAsiaTheme="majorEastAsia"/>
          <w:color w:val="auto"/>
        </w:rPr>
      </w:pPr>
    </w:p>
    <w:p>
      <w:pPr>
        <w:snapToGrid w:val="0"/>
        <w:spacing w:line="440" w:lineRule="exact"/>
        <w:ind w:right="1080" w:firstLine="601"/>
        <w:jc w:val="right"/>
        <w:rPr>
          <w:rFonts w:asciiTheme="majorEastAsia" w:hAnsiTheme="majorEastAsia" w:eastAsiaTheme="majorEastAsia"/>
          <w:b/>
          <w:sz w:val="24"/>
        </w:rPr>
      </w:pPr>
      <w:r>
        <w:rPr>
          <w:rFonts w:hint="eastAsia" w:asciiTheme="majorEastAsia" w:hAnsiTheme="majorEastAsia" w:eastAsiaTheme="majorEastAsia"/>
          <w:b/>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2020</w:t>
      </w:r>
      <w:r>
        <w:rPr>
          <w:rFonts w:hint="eastAsia" w:asciiTheme="majorEastAsia" w:hAnsiTheme="majorEastAsia" w:eastAsiaTheme="majorEastAsia"/>
          <w:sz w:val="24"/>
        </w:rPr>
        <w:t>年10月7日</w:t>
      </w: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第二部分  报价人须知</w:t>
      </w:r>
    </w:p>
    <w:p>
      <w:pPr>
        <w:pStyle w:val="2"/>
        <w:rPr>
          <w:color w:val="auto"/>
        </w:rPr>
      </w:pPr>
    </w:p>
    <w:p>
      <w:pPr>
        <w:snapToGrid w:val="0"/>
        <w:spacing w:line="520" w:lineRule="exac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 xml:space="preserve">    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 xml:space="preserve">    二、对项目需求部分的如有询问、质疑，以书面形式向采购人提出，由使用部门负责解释。</w:t>
      </w:r>
    </w:p>
    <w:p>
      <w:pPr>
        <w:snapToGrid w:val="0"/>
        <w:spacing w:line="520" w:lineRule="exac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 xml:space="preserve">    三、报价要求：报价人须按询价文件的要求进行响应，报价文件一式三份，即正本一份，副本二份。不论报价人中标与否，报价文件均不退回。报价文件至少应包括：法定代表人授权书、报价单及有关承诺、说明和报价人营业执照、资质证书、安全生产许可证、项目负责人的建造师注册证书（或临时执业资格证书）、项目负责人的安全生产考核合格证（B类）证书等。报价单及有关承诺、说明须按要求进行盖章签字。同时还须提供询价文件中规定要求提供的其他证明材料和供应商认为需要提供的其他材料。</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四、成交供应商的确定：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五、如由于采购需求中对该采购商品要求不详细，请各报价人在报价时补充说明其详细规格型号。</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六、招标代理服务费：中标人须按发改价格[2011]534号文件中“工程类”招标收费标准50%的金额向盐城市天平建设监理有限公司支付招标代理服务费，不足3000元按3000元收取，并一次性付清，此项费用含在投标报价中不得单列，招标人不再另行支付。</w:t>
      </w:r>
    </w:p>
    <w:p>
      <w:pPr>
        <w:pStyle w:val="2"/>
        <w:spacing w:line="520" w:lineRule="exact"/>
        <w:rPr>
          <w:rFonts w:asciiTheme="majorEastAsia" w:hAnsiTheme="majorEastAsia" w:eastAsiaTheme="majorEastAsia"/>
          <w:color w:val="auto"/>
          <w:spacing w:val="10"/>
          <w:kern w:val="15"/>
          <w:position w:val="2"/>
        </w:rPr>
      </w:pPr>
    </w:p>
    <w:p>
      <w:pPr>
        <w:spacing w:line="520" w:lineRule="exact"/>
        <w:ind w:firstLine="482" w:firstLineChars="200"/>
        <w:rPr>
          <w:rFonts w:ascii="宋体"/>
          <w:b/>
          <w:kern w:val="15"/>
          <w:position w:val="2"/>
          <w:sz w:val="24"/>
        </w:rPr>
      </w:pPr>
      <w:r>
        <w:rPr>
          <w:rFonts w:hint="eastAsia" w:ascii="宋体" w:hAnsi="宋体"/>
          <w:b/>
          <w:kern w:val="15"/>
          <w:position w:val="2"/>
          <w:sz w:val="24"/>
        </w:rPr>
        <w:t>报价人须在</w:t>
      </w:r>
      <w:r>
        <w:rPr>
          <w:rFonts w:ascii="宋体" w:hAnsi="宋体"/>
          <w:b/>
          <w:kern w:val="15"/>
          <w:position w:val="2"/>
          <w:sz w:val="24"/>
          <w:u w:val="single"/>
        </w:rPr>
        <w:t>2020</w:t>
      </w:r>
      <w:r>
        <w:rPr>
          <w:rFonts w:hint="eastAsia" w:ascii="宋体" w:hAnsi="宋体"/>
          <w:b/>
          <w:kern w:val="15"/>
          <w:position w:val="2"/>
          <w:sz w:val="24"/>
          <w:u w:val="single"/>
        </w:rPr>
        <w:t xml:space="preserve">年10月 </w:t>
      </w:r>
      <w:r>
        <w:rPr>
          <w:rFonts w:hint="eastAsia" w:ascii="宋体" w:hAnsi="宋体"/>
          <w:b/>
          <w:kern w:val="15"/>
          <w:position w:val="2"/>
          <w:sz w:val="24"/>
          <w:u w:val="single"/>
          <w:lang w:val="en-US" w:eastAsia="zh-CN"/>
        </w:rPr>
        <w:t>12</w:t>
      </w:r>
      <w:r>
        <w:rPr>
          <w:rFonts w:hint="eastAsia" w:ascii="宋体" w:hAnsi="宋体"/>
          <w:b/>
          <w:kern w:val="15"/>
          <w:position w:val="2"/>
          <w:sz w:val="24"/>
          <w:u w:val="single"/>
        </w:rPr>
        <w:t xml:space="preserve"> 日</w:t>
      </w:r>
      <w:r>
        <w:rPr>
          <w:rFonts w:ascii="宋体" w:hAnsi="宋体"/>
          <w:b/>
          <w:kern w:val="15"/>
          <w:position w:val="2"/>
          <w:sz w:val="24"/>
          <w:u w:val="single"/>
        </w:rPr>
        <w:t xml:space="preserve"> 9</w:t>
      </w:r>
      <w:r>
        <w:rPr>
          <w:rFonts w:hint="eastAsia" w:ascii="宋体" w:hAnsi="宋体"/>
          <w:b/>
          <w:kern w:val="15"/>
          <w:position w:val="2"/>
          <w:sz w:val="24"/>
          <w:u w:val="single"/>
        </w:rPr>
        <w:t>：</w:t>
      </w:r>
      <w:r>
        <w:rPr>
          <w:rFonts w:ascii="宋体" w:hAnsi="宋体"/>
          <w:b/>
          <w:kern w:val="15"/>
          <w:position w:val="2"/>
          <w:sz w:val="24"/>
          <w:u w:val="single"/>
        </w:rPr>
        <w:t xml:space="preserve">30 </w:t>
      </w:r>
      <w:r>
        <w:rPr>
          <w:rFonts w:hint="eastAsia" w:ascii="宋体" w:hAnsi="宋体"/>
          <w:b/>
          <w:kern w:val="15"/>
          <w:position w:val="2"/>
          <w:sz w:val="24"/>
          <w:u w:val="single"/>
        </w:rPr>
        <w:t>前</w:t>
      </w:r>
      <w:r>
        <w:rPr>
          <w:rFonts w:hint="eastAsia" w:ascii="宋体" w:hAnsi="宋体"/>
          <w:b/>
          <w:kern w:val="15"/>
          <w:position w:val="2"/>
          <w:sz w:val="24"/>
        </w:rPr>
        <w:t>时将投标文件提交给询价单位。</w:t>
      </w:r>
    </w:p>
    <w:p>
      <w:pPr>
        <w:spacing w:line="520" w:lineRule="exact"/>
        <w:ind w:firstLine="482" w:firstLineChars="200"/>
        <w:rPr>
          <w:rFonts w:ascii="宋体"/>
          <w:b/>
          <w:kern w:val="15"/>
          <w:position w:val="2"/>
          <w:sz w:val="24"/>
        </w:rPr>
      </w:pPr>
      <w:r>
        <w:rPr>
          <w:rFonts w:hint="eastAsia" w:ascii="宋体" w:hAnsi="宋体"/>
          <w:b/>
          <w:kern w:val="15"/>
          <w:position w:val="2"/>
          <w:sz w:val="24"/>
        </w:rPr>
        <w:t>送交地点：</w:t>
      </w:r>
      <w:r>
        <w:rPr>
          <w:rFonts w:hint="eastAsia" w:ascii="宋体" w:hAnsi="宋体"/>
          <w:b/>
          <w:bCs/>
          <w:kern w:val="15"/>
          <w:position w:val="2"/>
          <w:sz w:val="24"/>
        </w:rPr>
        <w:t>江苏医药职业学院解放校区行政楼</w:t>
      </w:r>
      <w:r>
        <w:rPr>
          <w:rFonts w:ascii="宋体" w:hAnsi="宋体"/>
          <w:b/>
          <w:bCs/>
          <w:kern w:val="15"/>
          <w:position w:val="2"/>
          <w:sz w:val="24"/>
        </w:rPr>
        <w:t>208</w:t>
      </w:r>
      <w:r>
        <w:rPr>
          <w:rFonts w:hint="eastAsia" w:ascii="宋体" w:hAnsi="宋体"/>
          <w:b/>
          <w:bCs/>
          <w:kern w:val="15"/>
          <w:position w:val="2"/>
          <w:sz w:val="24"/>
        </w:rPr>
        <w:t>室</w:t>
      </w:r>
    </w:p>
    <w:p>
      <w:pPr>
        <w:spacing w:line="520" w:lineRule="exact"/>
        <w:ind w:firstLine="482" w:firstLineChars="200"/>
        <w:rPr>
          <w:rFonts w:ascii="宋体"/>
          <w:b/>
          <w:kern w:val="15"/>
          <w:position w:val="2"/>
          <w:sz w:val="24"/>
        </w:rPr>
      </w:pPr>
      <w:r>
        <w:rPr>
          <w:rFonts w:hint="eastAsia" w:ascii="宋体" w:hAnsi="宋体"/>
          <w:b/>
          <w:kern w:val="15"/>
          <w:position w:val="2"/>
          <w:sz w:val="24"/>
        </w:rPr>
        <w:t>联系人：刘伟，联系电话：</w:t>
      </w:r>
      <w:r>
        <w:rPr>
          <w:rFonts w:ascii="宋体" w:hAnsi="宋体"/>
          <w:b/>
          <w:kern w:val="15"/>
          <w:position w:val="2"/>
          <w:sz w:val="24"/>
        </w:rPr>
        <w:t>0515-88550311</w:t>
      </w:r>
      <w:r>
        <w:rPr>
          <w:rFonts w:hint="eastAsia" w:ascii="宋体" w:hAnsi="宋体"/>
          <w:b/>
          <w:kern w:val="15"/>
          <w:position w:val="2"/>
          <w:sz w:val="24"/>
        </w:rPr>
        <w:t>。</w:t>
      </w: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第三部分  合同条款及格式</w:t>
      </w:r>
      <w:bookmarkStart w:id="0" w:name="_Toc20823315"/>
      <w:bookmarkStart w:id="1" w:name="_Toc16938559"/>
      <w:bookmarkStart w:id="2" w:name="_Toc513029243"/>
    </w:p>
    <w:p>
      <w:pPr>
        <w:pStyle w:val="2"/>
        <w:rPr>
          <w:color w:val="auto"/>
        </w:rPr>
      </w:pPr>
    </w:p>
    <w:bookmarkEnd w:id="0"/>
    <w:bookmarkEnd w:id="1"/>
    <w:bookmarkEnd w:id="2"/>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1、投标承诺的项目负责人及项目组成员必须全部到场，投标中标的项目负责人必须到现场组织指挥施工，否则，按违约处理。</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2、质量：国家“合格”标准且满足招标人要求。</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3、工期：20日历天</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4、安全施工：此工程必须确保安全，若因中标人原因发生的不安全问题，由中标人自行负责处理并承担一切责任。</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5、付款：本项目按形象进度付款，具体付款幅度如下：</w:t>
      </w:r>
    </w:p>
    <w:p>
      <w:pPr>
        <w:pStyle w:val="2"/>
        <w:spacing w:line="520" w:lineRule="exact"/>
        <w:ind w:firstLine="520" w:firstLineChars="2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项目验收合格后无质量问题支付合同价的70%款项</w:t>
      </w:r>
      <w:r>
        <w:rPr>
          <w:rFonts w:asciiTheme="majorEastAsia" w:hAnsiTheme="majorEastAsia" w:eastAsiaTheme="majorEastAsia"/>
          <w:color w:val="auto"/>
          <w:spacing w:val="10"/>
          <w:kern w:val="15"/>
          <w:position w:val="2"/>
        </w:rPr>
        <w:t>；</w:t>
      </w:r>
      <w:r>
        <w:rPr>
          <w:rFonts w:hint="eastAsia" w:asciiTheme="majorEastAsia" w:hAnsiTheme="majorEastAsia" w:eastAsiaTheme="majorEastAsia"/>
          <w:color w:val="auto"/>
          <w:spacing w:val="10"/>
          <w:kern w:val="15"/>
          <w:position w:val="2"/>
        </w:rPr>
        <w:t>审计合格后付至审计价的90%；余</w:t>
      </w:r>
      <w:r>
        <w:rPr>
          <w:rFonts w:asciiTheme="majorEastAsia" w:hAnsiTheme="majorEastAsia" w:eastAsiaTheme="majorEastAsia"/>
          <w:color w:val="auto"/>
          <w:spacing w:val="10"/>
          <w:kern w:val="15"/>
          <w:position w:val="2"/>
        </w:rPr>
        <w:t>款在质保期结束后一次性付清。</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以上付款均以人民币通过银行支付, 付款前需提供我院财务处认可的正规发票。</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6、工程结算：</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6.1 本工程采用限定总价审计结算方法，按合同以中标单价和实际工作量计算总价，经审计后确认合同审计总价，但合同审计总价不得高于中标总价（不包含签证变更部分）。</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6.2 结算总价=合同审计总价+签证变更的审计总价。</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6.3 工程竣工验收合格后乙方应提交工程结算资料，要求资料齐全，计算准确，要求与最终审计差距不得超出10%，若乙方的结算与最终审计超出10%，本工程审计费用全部由乙方承担。</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7、保修：本工程质保期2年。质量保修期从工程竣工验收合格之日起计算，具体保修范围、保修期限、保修责任、保修金的支付、返还应按《建设工程质量管理条例》和《房屋建筑工程质量保修办法》及双方约定执行。</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8、分包：招标人不允许中标人将工程转包和违法分包给任何第三方，如发现转包或违法分包行为，限令改正，否则招标人有权立即中止合同，扣除履约担保，中标人负违约责任。</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9、违约责任：按《合同法》执行。</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10、不可抗力事件处理</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10</w:t>
      </w:r>
      <w:r>
        <w:rPr>
          <w:rFonts w:asciiTheme="majorEastAsia" w:hAnsiTheme="majorEastAsia" w:eastAsiaTheme="majorEastAsia"/>
          <w:color w:val="auto"/>
          <w:spacing w:val="10"/>
          <w:kern w:val="15"/>
          <w:position w:val="2"/>
        </w:rPr>
        <w:t xml:space="preserve">.1 </w:t>
      </w:r>
      <w:r>
        <w:rPr>
          <w:rFonts w:hint="eastAsia" w:asciiTheme="majorEastAsia" w:hAnsiTheme="majorEastAsia" w:eastAsiaTheme="majorEastAsia"/>
          <w:color w:val="auto"/>
          <w:spacing w:val="10"/>
          <w:kern w:val="15"/>
          <w:position w:val="2"/>
        </w:rPr>
        <w:t>在合同有效期内，任何一方因不可抗力事件导致不能履行合同，则合同履行期可延长，其延长期与不可抗力影响期相同。</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w:t>
      </w:r>
      <w:r>
        <w:rPr>
          <w:rFonts w:asciiTheme="majorEastAsia" w:hAnsiTheme="majorEastAsia" w:eastAsiaTheme="majorEastAsia"/>
          <w:color w:val="auto"/>
          <w:spacing w:val="10"/>
          <w:kern w:val="15"/>
          <w:position w:val="2"/>
        </w:rPr>
        <w:t>1</w:t>
      </w:r>
      <w:r>
        <w:rPr>
          <w:rFonts w:hint="eastAsia" w:asciiTheme="majorEastAsia" w:hAnsiTheme="majorEastAsia" w:eastAsiaTheme="majorEastAsia"/>
          <w:color w:val="auto"/>
          <w:spacing w:val="10"/>
          <w:kern w:val="15"/>
          <w:position w:val="2"/>
        </w:rPr>
        <w:t>0</w:t>
      </w:r>
      <w:r>
        <w:rPr>
          <w:rFonts w:asciiTheme="majorEastAsia" w:hAnsiTheme="majorEastAsia" w:eastAsiaTheme="majorEastAsia"/>
          <w:color w:val="auto"/>
          <w:spacing w:val="10"/>
          <w:kern w:val="15"/>
          <w:position w:val="2"/>
        </w:rPr>
        <w:t xml:space="preserve">.2 </w:t>
      </w:r>
      <w:r>
        <w:rPr>
          <w:rFonts w:hint="eastAsia" w:asciiTheme="majorEastAsia" w:hAnsiTheme="majorEastAsia" w:eastAsiaTheme="majorEastAsia"/>
          <w:color w:val="auto"/>
          <w:spacing w:val="10"/>
          <w:kern w:val="15"/>
          <w:position w:val="2"/>
        </w:rPr>
        <w:t>不可抗力事件发生后，应立即通知对方，并寄送有关权威机构出具的证明。</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w:t>
      </w:r>
      <w:r>
        <w:rPr>
          <w:rFonts w:asciiTheme="majorEastAsia" w:hAnsiTheme="majorEastAsia" w:eastAsiaTheme="majorEastAsia"/>
          <w:color w:val="auto"/>
          <w:spacing w:val="10"/>
          <w:kern w:val="15"/>
          <w:position w:val="2"/>
        </w:rPr>
        <w:t>1</w:t>
      </w:r>
      <w:r>
        <w:rPr>
          <w:rFonts w:hint="eastAsia" w:asciiTheme="majorEastAsia" w:hAnsiTheme="majorEastAsia" w:eastAsiaTheme="majorEastAsia"/>
          <w:color w:val="auto"/>
          <w:spacing w:val="10"/>
          <w:kern w:val="15"/>
          <w:position w:val="2"/>
        </w:rPr>
        <w:t>0</w:t>
      </w:r>
      <w:r>
        <w:rPr>
          <w:rFonts w:asciiTheme="majorEastAsia" w:hAnsiTheme="majorEastAsia" w:eastAsiaTheme="majorEastAsia"/>
          <w:color w:val="auto"/>
          <w:spacing w:val="10"/>
          <w:kern w:val="15"/>
          <w:position w:val="2"/>
        </w:rPr>
        <w:t xml:space="preserve">.3 </w:t>
      </w:r>
      <w:r>
        <w:rPr>
          <w:rFonts w:hint="eastAsia" w:asciiTheme="majorEastAsia" w:hAnsiTheme="majorEastAsia" w:eastAsiaTheme="majorEastAsia"/>
          <w:color w:val="auto"/>
          <w:spacing w:val="10"/>
          <w:kern w:val="15"/>
          <w:position w:val="2"/>
        </w:rPr>
        <w:t>不可抗力事件延续</w:t>
      </w:r>
      <w:r>
        <w:rPr>
          <w:rFonts w:asciiTheme="majorEastAsia" w:hAnsiTheme="majorEastAsia" w:eastAsiaTheme="majorEastAsia"/>
          <w:color w:val="auto"/>
          <w:spacing w:val="10"/>
          <w:kern w:val="15"/>
          <w:position w:val="2"/>
        </w:rPr>
        <w:t>120</w:t>
      </w:r>
      <w:r>
        <w:rPr>
          <w:rFonts w:hint="eastAsia" w:asciiTheme="majorEastAsia" w:hAnsiTheme="majorEastAsia" w:eastAsiaTheme="majorEastAsia"/>
          <w:color w:val="auto"/>
          <w:spacing w:val="10"/>
          <w:kern w:val="15"/>
          <w:position w:val="2"/>
        </w:rPr>
        <w:t>天以上，双方应通过友好协商，确定是否继续履行合同。</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11、诉讼</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w:t>
      </w:r>
      <w:r>
        <w:rPr>
          <w:rFonts w:asciiTheme="majorEastAsia" w:hAnsiTheme="majorEastAsia" w:eastAsiaTheme="majorEastAsia"/>
          <w:color w:val="auto"/>
          <w:spacing w:val="10"/>
          <w:kern w:val="15"/>
          <w:position w:val="2"/>
        </w:rPr>
        <w:t>1</w:t>
      </w:r>
      <w:r>
        <w:rPr>
          <w:rFonts w:hint="eastAsia" w:asciiTheme="majorEastAsia" w:hAnsiTheme="majorEastAsia" w:eastAsiaTheme="majorEastAsia"/>
          <w:color w:val="auto"/>
          <w:spacing w:val="10"/>
          <w:kern w:val="15"/>
          <w:position w:val="2"/>
        </w:rPr>
        <w:t>1</w:t>
      </w:r>
      <w:r>
        <w:rPr>
          <w:rFonts w:asciiTheme="majorEastAsia" w:hAnsiTheme="majorEastAsia" w:eastAsiaTheme="majorEastAsia"/>
          <w:color w:val="auto"/>
          <w:spacing w:val="10"/>
          <w:kern w:val="15"/>
          <w:position w:val="2"/>
        </w:rPr>
        <w:t xml:space="preserve">.1 </w:t>
      </w:r>
      <w:r>
        <w:rPr>
          <w:rFonts w:hint="eastAsia" w:asciiTheme="majorEastAsia" w:hAnsiTheme="majorEastAsia" w:eastAsiaTheme="majorEastAsia"/>
          <w:color w:val="auto"/>
          <w:spacing w:val="10"/>
          <w:kern w:val="15"/>
          <w:position w:val="2"/>
        </w:rPr>
        <w:t>双方在执行合同中所发生的一切争议，应通过协商解决。如协商不成，可向合同签订地法院起诉，合同签订地在此约定为盐城市</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12、特别说明</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12.1 该工程施工过程中项目负责人和投标时确认的项目部人员必须常驻现场实施施工管理，并参与建设单位的日常考勤。中途项目负责人和项目部人员需离岗必须履行书面请假手续并经招标人同意。若未经招标人同意而擅自离岗的，将处以每人每天 500 元的违约金，在支付工程款时从应付的工程款中扣除。若擅自离岗连续达7 天以上的，经招标人提出仍未改正的，招标人有权终止合同，因此给招标人造成损失的，招标人将依法追偿。</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12.2 中标人在选择材料、设备时，应在满足本项目设计标准、质量和使用要求的前提下，选用同档次的优质优价的产品。</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12.3 中标人已对现场进行了充分勘察，并将临时施工便道考虑在投标报价中，费用包干，中标人提出与此有关费用的索赔招标人不予支付。</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12.4 中标人已进行现场勘察，并将从招标人指定的水、电接口接至施工现场的电缆、水管等材料及施工费用考虑在投标报价中，费用包干；施工过程中所用水、电向建设单位协调，费用交建设单位。水电费损耗按所用水、电量占总用水、电量比率分摊。</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12.5 中标人在投标时已充分考虑在施工期间必须设置醒目的交通安全标志、标牌及警示灯，同时保证道路正常通行。</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12.6 中标人必须到现场进行勘察向招标人了解施工现状，充分考虑本工程施工中可预见或不可预见的情况，各项事宜必须服从招标人安排和管理。</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12.7 工程价款一律通过银行非现金结算。</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13、合同生效及其它</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w:t>
      </w:r>
      <w:r>
        <w:rPr>
          <w:rFonts w:asciiTheme="majorEastAsia" w:hAnsiTheme="majorEastAsia" w:eastAsiaTheme="majorEastAsia"/>
          <w:color w:val="auto"/>
          <w:spacing w:val="10"/>
          <w:kern w:val="15"/>
          <w:position w:val="2"/>
        </w:rPr>
        <w:t>1</w:t>
      </w:r>
      <w:r>
        <w:rPr>
          <w:rFonts w:hint="eastAsia" w:asciiTheme="majorEastAsia" w:hAnsiTheme="majorEastAsia" w:eastAsiaTheme="majorEastAsia"/>
          <w:color w:val="auto"/>
          <w:spacing w:val="10"/>
          <w:kern w:val="15"/>
          <w:position w:val="2"/>
        </w:rPr>
        <w:t>3</w:t>
      </w:r>
      <w:r>
        <w:rPr>
          <w:rFonts w:asciiTheme="majorEastAsia" w:hAnsiTheme="majorEastAsia" w:eastAsiaTheme="majorEastAsia"/>
          <w:color w:val="auto"/>
          <w:spacing w:val="10"/>
          <w:kern w:val="15"/>
          <w:position w:val="2"/>
        </w:rPr>
        <w:t xml:space="preserve">.1 </w:t>
      </w:r>
      <w:r>
        <w:rPr>
          <w:rFonts w:hint="eastAsia" w:asciiTheme="majorEastAsia" w:hAnsiTheme="majorEastAsia" w:eastAsiaTheme="majorEastAsia"/>
          <w:color w:val="auto"/>
          <w:spacing w:val="10"/>
          <w:kern w:val="15"/>
          <w:position w:val="2"/>
        </w:rPr>
        <w:t>合同经双方法定代表人或授权委托代表人签字并加盖单位公章，并经采购中心见证盖章后生效。</w:t>
      </w:r>
    </w:p>
    <w:p>
      <w:pPr>
        <w:pStyle w:val="2"/>
        <w:spacing w:line="520" w:lineRule="exact"/>
        <w:ind w:firstLine="260" w:firstLineChars="1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w:t>
      </w:r>
      <w:r>
        <w:rPr>
          <w:rFonts w:asciiTheme="majorEastAsia" w:hAnsiTheme="majorEastAsia" w:eastAsiaTheme="majorEastAsia"/>
          <w:color w:val="auto"/>
          <w:spacing w:val="10"/>
          <w:kern w:val="15"/>
          <w:position w:val="2"/>
        </w:rPr>
        <w:t>1</w:t>
      </w:r>
      <w:r>
        <w:rPr>
          <w:rFonts w:hint="eastAsia" w:asciiTheme="majorEastAsia" w:hAnsiTheme="majorEastAsia" w:eastAsiaTheme="majorEastAsia"/>
          <w:color w:val="auto"/>
          <w:spacing w:val="10"/>
          <w:kern w:val="15"/>
          <w:position w:val="2"/>
        </w:rPr>
        <w:t>3</w:t>
      </w:r>
      <w:r>
        <w:rPr>
          <w:rFonts w:asciiTheme="majorEastAsia" w:hAnsiTheme="majorEastAsia" w:eastAsiaTheme="majorEastAsia"/>
          <w:color w:val="auto"/>
          <w:spacing w:val="10"/>
          <w:kern w:val="15"/>
          <w:position w:val="2"/>
        </w:rPr>
        <w:t>.</w:t>
      </w:r>
      <w:r>
        <w:rPr>
          <w:rFonts w:hint="eastAsia" w:asciiTheme="majorEastAsia" w:hAnsiTheme="majorEastAsia" w:eastAsiaTheme="majorEastAsia"/>
          <w:color w:val="auto"/>
          <w:spacing w:val="10"/>
          <w:kern w:val="15"/>
          <w:position w:val="2"/>
        </w:rPr>
        <w:t>2</w:t>
      </w:r>
      <w:r>
        <w:rPr>
          <w:rFonts w:asciiTheme="majorEastAsia" w:hAnsiTheme="majorEastAsia" w:eastAsiaTheme="majorEastAsia"/>
          <w:color w:val="auto"/>
          <w:spacing w:val="10"/>
          <w:kern w:val="15"/>
          <w:position w:val="2"/>
        </w:rPr>
        <w:t xml:space="preserve"> </w:t>
      </w:r>
      <w:r>
        <w:rPr>
          <w:rFonts w:hint="eastAsia" w:asciiTheme="majorEastAsia" w:hAnsiTheme="majorEastAsia" w:eastAsiaTheme="majorEastAsia"/>
          <w:color w:val="auto"/>
          <w:spacing w:val="10"/>
          <w:kern w:val="15"/>
          <w:position w:val="2"/>
        </w:rPr>
        <w:t>本合同正本一式四份，具有同等法律效力，甲方、乙方各执二份。</w:t>
      </w:r>
    </w:p>
    <w:p>
      <w:pPr>
        <w:pStyle w:val="2"/>
        <w:spacing w:line="520" w:lineRule="exact"/>
        <w:rPr>
          <w:rFonts w:asciiTheme="majorEastAsia" w:hAnsiTheme="majorEastAsia" w:eastAsiaTheme="majorEastAsia"/>
          <w:color w:val="auto"/>
          <w:spacing w:val="10"/>
          <w:kern w:val="15"/>
          <w:position w:val="2"/>
        </w:rPr>
      </w:pP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甲方：                                 乙方：</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地址：                                 地址：</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法定代表人或授权代表：                 法定代表人或授权代表：</w:t>
      </w:r>
    </w:p>
    <w:p>
      <w:pPr>
        <w:pStyle w:val="2"/>
        <w:spacing w:line="52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联系电话：                             联系电话：</w:t>
      </w:r>
    </w:p>
    <w:p>
      <w:pPr>
        <w:pStyle w:val="2"/>
        <w:spacing w:line="520" w:lineRule="exact"/>
        <w:rPr>
          <w:rFonts w:asciiTheme="majorEastAsia" w:hAnsiTheme="majorEastAsia" w:eastAsiaTheme="majorEastAsia"/>
          <w:color w:val="auto"/>
          <w:spacing w:val="10"/>
          <w:kern w:val="15"/>
          <w:position w:val="2"/>
        </w:rPr>
      </w:pPr>
    </w:p>
    <w:p>
      <w:pPr>
        <w:pStyle w:val="2"/>
        <w:spacing w:line="520" w:lineRule="exact"/>
        <w:rPr>
          <w:rFonts w:asciiTheme="majorEastAsia" w:hAnsiTheme="majorEastAsia" w:eastAsiaTheme="majorEastAsia"/>
          <w:color w:val="auto"/>
          <w:spacing w:val="10"/>
          <w:kern w:val="15"/>
          <w:position w:val="2"/>
        </w:rPr>
      </w:pPr>
    </w:p>
    <w:p>
      <w:pPr>
        <w:pStyle w:val="2"/>
        <w:spacing w:line="520" w:lineRule="exact"/>
        <w:rPr>
          <w:rFonts w:asciiTheme="majorEastAsia" w:hAnsiTheme="majorEastAsia" w:eastAsiaTheme="majorEastAsia"/>
          <w:color w:val="auto"/>
          <w:spacing w:val="10"/>
          <w:kern w:val="15"/>
          <w:position w:val="2"/>
        </w:rPr>
        <w:sectPr>
          <w:headerReference r:id="rId4" w:type="first"/>
          <w:footerReference r:id="rId7"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pPr>
      <w:r>
        <w:rPr>
          <w:rFonts w:hint="eastAsia" w:asciiTheme="majorEastAsia" w:hAnsiTheme="majorEastAsia" w:eastAsiaTheme="majorEastAsia"/>
          <w:color w:val="auto"/>
          <w:spacing w:val="10"/>
          <w:kern w:val="15"/>
          <w:position w:val="2"/>
        </w:rPr>
        <w:t xml:space="preserve">签订日期：   年   月 </w:t>
      </w:r>
      <w:r>
        <w:rPr>
          <w:rFonts w:hint="eastAsia" w:asciiTheme="majorEastAsia" w:hAnsiTheme="majorEastAsia" w:eastAsiaTheme="majorEastAsia"/>
          <w:color w:val="auto"/>
          <w:spacing w:val="10"/>
          <w:kern w:val="15"/>
          <w:position w:val="2"/>
          <w:lang w:val="en-US" w:eastAsia="zh-CN"/>
        </w:rPr>
        <w:t xml:space="preserve"> </w:t>
      </w:r>
      <w:r>
        <w:rPr>
          <w:rFonts w:hint="eastAsia" w:asciiTheme="majorEastAsia" w:hAnsiTheme="majorEastAsia" w:eastAsiaTheme="majorEastAsia"/>
          <w:color w:val="auto"/>
          <w:spacing w:val="10"/>
          <w:kern w:val="15"/>
          <w:position w:val="2"/>
        </w:rPr>
        <w:t xml:space="preserve"> 日</w:t>
      </w: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第四部分  项目任务需求</w:t>
      </w:r>
    </w:p>
    <w:p>
      <w:pPr>
        <w:pStyle w:val="2"/>
        <w:rPr>
          <w:color w:val="auto"/>
        </w:rPr>
      </w:pPr>
    </w:p>
    <w:p>
      <w:pPr>
        <w:pStyle w:val="2"/>
        <w:spacing w:line="520" w:lineRule="exact"/>
        <w:ind w:firstLine="600" w:firstLineChars="250"/>
        <w:rPr>
          <w:rFonts w:asciiTheme="majorEastAsia" w:hAnsiTheme="majorEastAsia" w:eastAsiaTheme="majorEastAsia"/>
          <w:color w:val="auto"/>
        </w:rPr>
      </w:pPr>
      <w:r>
        <w:rPr>
          <w:rFonts w:asciiTheme="majorEastAsia" w:hAnsiTheme="majorEastAsia" w:eastAsiaTheme="majorEastAsia"/>
          <w:color w:val="auto"/>
        </w:rPr>
        <w:t>我校拟为解放校区现有的4个通电电瓶车棚配建消防系统，车棚分别位于行政楼停车场前、1号宿舍楼、2号宿舍楼和</w:t>
      </w:r>
      <w:r>
        <w:rPr>
          <w:rFonts w:hint="eastAsia" w:asciiTheme="majorEastAsia" w:hAnsiTheme="majorEastAsia" w:eastAsiaTheme="majorEastAsia"/>
          <w:color w:val="auto"/>
        </w:rPr>
        <w:t>5</w:t>
      </w:r>
      <w:r>
        <w:rPr>
          <w:rFonts w:asciiTheme="majorEastAsia" w:hAnsiTheme="majorEastAsia" w:eastAsiaTheme="majorEastAsia"/>
          <w:color w:val="auto"/>
        </w:rPr>
        <w:t>号宿舍楼周边，各投标人需</w:t>
      </w:r>
      <w:r>
        <w:rPr>
          <w:rFonts w:hint="eastAsia" w:asciiTheme="majorEastAsia" w:hAnsiTheme="majorEastAsia" w:eastAsiaTheme="majorEastAsia"/>
          <w:color w:val="auto"/>
        </w:rPr>
        <w:t>实地勘察，核实实际的工作量，根据参考清单，进行投标报价。</w:t>
      </w:r>
    </w:p>
    <w:p>
      <w:pPr>
        <w:pStyle w:val="2"/>
        <w:spacing w:line="520" w:lineRule="exact"/>
        <w:ind w:firstLine="360" w:firstLineChars="150"/>
        <w:rPr>
          <w:rFonts w:asciiTheme="majorEastAsia" w:hAnsiTheme="majorEastAsia" w:eastAsiaTheme="majorEastAsia"/>
          <w:color w:val="auto"/>
        </w:rPr>
      </w:pPr>
      <w:r>
        <w:rPr>
          <w:rFonts w:hint="eastAsia" w:asciiTheme="majorEastAsia" w:hAnsiTheme="majorEastAsia" w:eastAsiaTheme="majorEastAsia"/>
          <w:color w:val="auto"/>
        </w:rPr>
        <w:t>参考清单详见附件。</w:t>
      </w:r>
    </w:p>
    <w:p>
      <w:pPr>
        <w:pStyle w:val="2"/>
        <w:rPr>
          <w:color w:val="auto"/>
        </w:rPr>
        <w:sectPr>
          <w:pgSz w:w="11907" w:h="16840"/>
          <w:pgMar w:top="1440" w:right="1701" w:bottom="1440" w:left="1701" w:header="720" w:footer="720" w:gutter="0"/>
          <w:cols w:space="720" w:num="1"/>
          <w:titlePg/>
          <w:docGrid w:linePitch="380" w:charSpace="0"/>
        </w:sectPr>
      </w:pP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Style w:val="3"/>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w:t>
      </w:r>
      <w:r>
        <w:rPr>
          <w:rFonts w:hint="eastAsia" w:asciiTheme="majorEastAsia" w:hAnsiTheme="majorEastAsia" w:eastAsiaTheme="majorEastAsia"/>
          <w:bCs/>
          <w:sz w:val="24"/>
          <w:lang w:val="en-US" w:eastAsia="zh-CN"/>
        </w:rPr>
        <w:t xml:space="preserve">  </w:t>
      </w:r>
      <w:r>
        <w:rPr>
          <w:rFonts w:hint="eastAsia" w:asciiTheme="majorEastAsia" w:hAnsiTheme="majorEastAsia" w:eastAsiaTheme="majorEastAsia"/>
          <w:bCs/>
          <w:sz w:val="24"/>
        </w:rPr>
        <w:t>月</w:t>
      </w:r>
      <w:r>
        <w:rPr>
          <w:rFonts w:hint="eastAsia" w:asciiTheme="majorEastAsia" w:hAnsiTheme="majorEastAsia" w:eastAsiaTheme="majorEastAsia"/>
          <w:bCs/>
          <w:sz w:val="24"/>
          <w:lang w:val="en-US" w:eastAsia="zh-CN"/>
        </w:rPr>
        <w:t xml:space="preserve">  </w:t>
      </w:r>
      <w:r>
        <w:rPr>
          <w:rFonts w:hint="eastAsia" w:asciiTheme="majorEastAsia" w:hAnsiTheme="majorEastAsia" w:eastAsiaTheme="majorEastAsia"/>
          <w:bCs/>
          <w:sz w:val="24"/>
        </w:rPr>
        <w:t>日</w:t>
      </w:r>
    </w:p>
    <w:p>
      <w:pPr>
        <w:pStyle w:val="3"/>
        <w:keepNext w:val="0"/>
        <w:keepLines w:val="0"/>
        <w:pageBreakBefore/>
        <w:spacing w:before="0" w:after="0" w:line="440" w:lineRule="exact"/>
        <w:jc w:val="center"/>
        <w:rPr>
          <w:rFonts w:asciiTheme="majorEastAsia" w:hAnsiTheme="majorEastAsia" w:eastAsiaTheme="majorEastAsia"/>
          <w:b w:val="0"/>
          <w:bCs w:val="0"/>
          <w:sz w:val="44"/>
          <w:szCs w:val="44"/>
        </w:rPr>
      </w:pPr>
      <w:r>
        <w:rPr>
          <w:rFonts w:hint="eastAsia" w:asciiTheme="majorEastAsia" w:hAnsiTheme="majorEastAsia" w:eastAsiaTheme="majorEastAsia"/>
          <w:sz w:val="28"/>
          <w:szCs w:val="28"/>
        </w:rPr>
        <w:t>参加政府采购活动前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年内在经营活动中没有重大违法记录的书面声明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sz w:val="24"/>
        </w:rPr>
      </w:pPr>
    </w:p>
    <w:p>
      <w:pPr>
        <w:spacing w:line="440" w:lineRule="exact"/>
        <w:jc w:val="left"/>
        <w:rPr>
          <w:rFonts w:asciiTheme="majorEastAsia" w:hAnsiTheme="majorEastAsia" w:eastAsiaTheme="majorEastAsia"/>
          <w:bCs/>
          <w:sz w:val="24"/>
        </w:rPr>
      </w:pPr>
    </w:p>
    <w:p>
      <w:pPr>
        <w:spacing w:line="440" w:lineRule="exact"/>
        <w:jc w:val="lef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hint="eastAsia" w:asciiTheme="majorEastAsia" w:hAnsiTheme="majorEastAsia" w:eastAsiaTheme="majorEastAsia"/>
          <w:bCs/>
          <w:sz w:val="24"/>
          <w:lang w:val="en-US" w:eastAsia="zh-CN"/>
        </w:rPr>
        <w:t xml:space="preserve">    </w:t>
      </w:r>
      <w:bookmarkStart w:id="6" w:name="_GoBack"/>
      <w:bookmarkEnd w:id="6"/>
      <w:r>
        <w:rPr>
          <w:rFonts w:hint="eastAsia" w:asciiTheme="majorEastAsia" w:hAnsiTheme="majorEastAsia" w:eastAsiaTheme="majorEastAsia"/>
          <w:bCs/>
          <w:sz w:val="24"/>
        </w:rPr>
        <w:t>年</w:t>
      </w:r>
      <w:r>
        <w:rPr>
          <w:rFonts w:hint="eastAsia" w:asciiTheme="majorEastAsia" w:hAnsiTheme="majorEastAsia" w:eastAsiaTheme="majorEastAsia"/>
          <w:bCs/>
          <w:sz w:val="24"/>
          <w:lang w:val="en-US" w:eastAsia="zh-CN"/>
        </w:rPr>
        <w:t xml:space="preserve">  </w:t>
      </w:r>
      <w:r>
        <w:rPr>
          <w:rFonts w:hint="eastAsia" w:asciiTheme="majorEastAsia" w:hAnsiTheme="majorEastAsia" w:eastAsiaTheme="majorEastAsia"/>
          <w:bCs/>
          <w:sz w:val="24"/>
        </w:rPr>
        <w:t>月</w:t>
      </w:r>
      <w:r>
        <w:rPr>
          <w:rFonts w:hint="eastAsia" w:asciiTheme="majorEastAsia" w:hAnsiTheme="majorEastAsia" w:eastAsiaTheme="majorEastAsia"/>
          <w:bCs/>
          <w:sz w:val="24"/>
          <w:lang w:val="en-US" w:eastAsia="zh-CN"/>
        </w:rPr>
        <w:t xml:space="preserve">  </w:t>
      </w:r>
      <w:r>
        <w:rPr>
          <w:rFonts w:hint="eastAsia" w:asciiTheme="majorEastAsia" w:hAnsiTheme="majorEastAsia" w:eastAsiaTheme="majorEastAsia"/>
          <w:bCs/>
          <w:sz w:val="24"/>
        </w:rPr>
        <w:t>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pStyle w:val="3"/>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职务代表本公司授权（被授权人的姓名）</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r>
        <w:rPr>
          <w:rFonts w:asciiTheme="majorEastAsia" w:hAnsiTheme="majorEastAsia" w:eastAsiaTheme="majorEastAsia"/>
          <w:sz w:val="24"/>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hint="eastAsia" w:asciiTheme="majorEastAsia" w:hAnsiTheme="majorEastAsia" w:eastAsiaTheme="majorEastAsia"/>
          <w:sz w:val="24"/>
        </w:rPr>
      </w:pPr>
    </w:p>
    <w:p>
      <w:pPr>
        <w:spacing w:line="440" w:lineRule="exact"/>
        <w:outlineLvl w:val="0"/>
        <w:rPr>
          <w:rFonts w:hint="eastAsia" w:asciiTheme="majorEastAsia" w:hAnsiTheme="majorEastAsia" w:eastAsiaTheme="majorEastAsia"/>
          <w:sz w:val="24"/>
        </w:rPr>
      </w:pPr>
    </w:p>
    <w:p>
      <w:pPr>
        <w:spacing w:line="440" w:lineRule="exact"/>
        <w:ind w:firstLine="5280" w:firstLineChars="2200"/>
        <w:outlineLvl w:val="0"/>
        <w:rPr>
          <w:rFonts w:asciiTheme="majorEastAsia" w:hAnsiTheme="majorEastAsia" w:eastAsiaTheme="majorEastAsia"/>
          <w:sz w:val="24"/>
        </w:rPr>
      </w:pPr>
      <w:r>
        <w:rPr>
          <w:rFonts w:hint="eastAsia" w:asciiTheme="majorEastAsia" w:hAnsiTheme="majorEastAsia" w:eastAsiaTheme="majorEastAsia"/>
          <w:sz w:val="24"/>
        </w:rPr>
        <w:t>日期：  年  月  日</w:t>
      </w:r>
    </w:p>
    <w:p>
      <w:pPr>
        <w:spacing w:line="440" w:lineRule="exact"/>
        <w:ind w:firstLine="480"/>
        <w:rPr>
          <w:rFonts w:asciiTheme="majorEastAsia" w:hAnsiTheme="majorEastAsia" w:eastAsiaTheme="majorEastAsia"/>
          <w:sz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Hlt26671380"/>
      <w:bookmarkEnd w:id="3"/>
      <w:bookmarkStart w:id="4" w:name="_格式3__银行出具的资信证明"/>
      <w:bookmarkEnd w:id="4"/>
      <w:bookmarkStart w:id="5" w:name="_Hlt26955070"/>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rPr>
          <w:color w:val="auto"/>
        </w:rPr>
      </w:pPr>
    </w:p>
    <w:p>
      <w:pPr>
        <w:pStyle w:val="2"/>
        <w:rPr>
          <w:color w:val="auto"/>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投标承诺书</w:t>
      </w:r>
    </w:p>
    <w:p>
      <w:pPr>
        <w:pStyle w:val="2"/>
        <w:rPr>
          <w:rFonts w:asciiTheme="majorEastAsia" w:hAnsiTheme="majorEastAsia" w:eastAsiaTheme="majorEastAsia"/>
          <w:color w:val="auto"/>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hint="eastAsia" w:cs="宋体" w:asciiTheme="majorEastAsia" w:hAnsiTheme="majorEastAsia" w:eastAsiaTheme="majorEastAsia"/>
          <w:kern w:val="0"/>
          <w:sz w:val="24"/>
          <w:u w:val="single"/>
          <w:shd w:val="clear" w:color="auto" w:fill="FFFFFF"/>
        </w:rPr>
        <w:t xml:space="preserve">）           </w:t>
      </w:r>
      <w:r>
        <w:rPr>
          <w:rFonts w:cs="宋体" w:asciiTheme="majorEastAsia" w:hAnsiTheme="majorEastAsia" w:eastAsiaTheme="majorEastAsia"/>
          <w:kern w:val="0"/>
          <w:sz w:val="24"/>
          <w:u w:val="single"/>
          <w:shd w:val="clear" w:color="auto" w:fill="FFFFFF"/>
        </w:rPr>
        <w:t>¥</w:t>
      </w:r>
      <w:r>
        <w:rPr>
          <w:rFonts w:hint="eastAsia" w:cs="宋体" w:asciiTheme="majorEastAsia" w:hAnsiTheme="majorEastAsia" w:eastAsiaTheme="majorEastAsia"/>
          <w:kern w:val="0"/>
          <w:sz w:val="24"/>
          <w:u w:val="single"/>
          <w:shd w:val="clear" w:color="auto" w:fill="FFFFFF"/>
        </w:rPr>
        <w:t>：      的</w:t>
      </w:r>
      <w:r>
        <w:rPr>
          <w:rFonts w:hint="eastAsia" w:cs="宋体" w:asciiTheme="majorEastAsia" w:hAnsiTheme="majorEastAsia" w:eastAsiaTheme="majorEastAsia"/>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w:t>
      </w:r>
      <w:r>
        <w:rPr>
          <w:rFonts w:hint="eastAsia" w:cs="宋体" w:asciiTheme="majorEastAsia" w:hAnsiTheme="majorEastAsia" w:eastAsiaTheme="majorEastAsia"/>
          <w:kern w:val="0"/>
          <w:sz w:val="24"/>
          <w:u w:val="single"/>
          <w:shd w:val="clear" w:color="auto" w:fill="FFFFFF"/>
        </w:rPr>
        <w:t xml:space="preserve">        （</w:t>
      </w:r>
      <w:r>
        <w:rPr>
          <w:rFonts w:hint="eastAsia" w:cs="宋体" w:asciiTheme="majorEastAsia" w:hAnsiTheme="majorEastAsia" w:eastAsiaTheme="majorEastAsia"/>
          <w:kern w:val="0"/>
          <w:sz w:val="24"/>
          <w:shd w:val="clear" w:color="auto" w:fill="FFFFFF"/>
        </w:rPr>
        <w:t>项目负责人姓名）作为项目负责人。</w:t>
      </w:r>
      <w:r>
        <w:rPr>
          <w:rFonts w:cs="宋体" w:asciiTheme="majorEastAsia" w:hAnsiTheme="majorEastAsia" w:eastAsiaTheme="majorEastAsia"/>
          <w:kern w:val="0"/>
          <w:sz w:val="18"/>
          <w:szCs w:val="18"/>
        </w:rPr>
        <w:t xml:space="preserve"> </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开户银行帐号：</w:t>
      </w:r>
    </w:p>
    <w:p>
      <w:pPr>
        <w:widowControl/>
        <w:shd w:val="clear" w:color="auto" w:fill="FFFFFF"/>
        <w:snapToGrid w:val="0"/>
        <w:spacing w:line="420" w:lineRule="atLeast"/>
        <w:ind w:firstLine="720" w:firstLineChars="300"/>
        <w:jc w:val="left"/>
        <w:rPr>
          <w:rFonts w:hint="eastAsia" w:cs="宋体" w:asciiTheme="majorEastAsia" w:hAnsiTheme="majorEastAsia" w:eastAsiaTheme="majorEastAsia"/>
          <w:kern w:val="0"/>
          <w:sz w:val="24"/>
          <w:shd w:val="clear" w:color="auto" w:fill="FFFFFF"/>
        </w:rPr>
      </w:pPr>
    </w:p>
    <w:p>
      <w:pPr>
        <w:widowControl/>
        <w:shd w:val="clear" w:color="auto" w:fill="FFFFFF"/>
        <w:snapToGrid w:val="0"/>
        <w:spacing w:line="420" w:lineRule="atLeast"/>
        <w:ind w:firstLine="720" w:firstLineChars="300"/>
        <w:jc w:val="left"/>
        <w:rPr>
          <w:rFonts w:hint="eastAsia" w:cs="宋体" w:asciiTheme="majorEastAsia" w:hAnsiTheme="majorEastAsia" w:eastAsiaTheme="majorEastAsia"/>
          <w:kern w:val="0"/>
          <w:sz w:val="24"/>
          <w:shd w:val="clear" w:color="auto" w:fill="FFFFFF"/>
        </w:rPr>
      </w:pPr>
    </w:p>
    <w:p>
      <w:pPr>
        <w:widowControl/>
        <w:shd w:val="clear" w:color="auto" w:fill="FFFFFF"/>
        <w:snapToGrid w:val="0"/>
        <w:spacing w:line="420" w:lineRule="atLeast"/>
        <w:ind w:firstLine="5280" w:firstLineChars="2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日期：   年  月  日</w:t>
      </w:r>
    </w:p>
    <w:p>
      <w:pPr>
        <w:pStyle w:val="4"/>
        <w:ind w:firstLine="0"/>
        <w:rPr>
          <w:rFonts w:asciiTheme="majorEastAsia" w:hAnsiTheme="majorEastAsia" w:eastAsiaTheme="majorEastAsia"/>
          <w:bCs/>
          <w:sz w:val="24"/>
        </w:rPr>
      </w:pPr>
    </w:p>
    <w:sectPr>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w:t>
    </w:r>
    <w:r>
      <w:rPr>
        <w:lang w:val="zh-CN"/>
      </w:rPr>
      <w:fldChar w:fldCharType="end"/>
    </w:r>
  </w:p>
  <w:p>
    <w:pPr>
      <w:tabs>
        <w:tab w:val="left" w:pos="7890"/>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4"/>
      </w:rPr>
    </w:pPr>
    <w:r>
      <w:rPr>
        <w:rFonts w:hint="eastAsia"/>
        <w:sz w:val="24"/>
      </w:rPr>
      <w:t>本询价函共</w:t>
    </w:r>
    <w:r>
      <w:rPr>
        <w:sz w:val="24"/>
      </w:rPr>
      <w:t>6</w:t>
    </w:r>
    <w:r>
      <w:rPr>
        <w:rFonts w:hint="eastAsia"/>
        <w:sz w:val="24"/>
      </w:rPr>
      <w:t>页，第</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docPartObj>
        <w:docPartGallery w:val="AutoText"/>
      </w:docPartObj>
    </w:sdtPr>
    <w:sdtContent>
      <w:p>
        <w:pPr>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2B53"/>
    <w:rsid w:val="000661BC"/>
    <w:rsid w:val="00073022"/>
    <w:rsid w:val="000772E2"/>
    <w:rsid w:val="00082A00"/>
    <w:rsid w:val="00091BBD"/>
    <w:rsid w:val="0009213C"/>
    <w:rsid w:val="00095F1B"/>
    <w:rsid w:val="000A4344"/>
    <w:rsid w:val="000A65C9"/>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202"/>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D0239"/>
    <w:rsid w:val="001D2248"/>
    <w:rsid w:val="001D3758"/>
    <w:rsid w:val="001D465A"/>
    <w:rsid w:val="001E4148"/>
    <w:rsid w:val="00204066"/>
    <w:rsid w:val="0020556C"/>
    <w:rsid w:val="00212DCF"/>
    <w:rsid w:val="002130F3"/>
    <w:rsid w:val="0021646E"/>
    <w:rsid w:val="00234A6A"/>
    <w:rsid w:val="00236EB2"/>
    <w:rsid w:val="00243236"/>
    <w:rsid w:val="002512CE"/>
    <w:rsid w:val="0025265F"/>
    <w:rsid w:val="00253060"/>
    <w:rsid w:val="0025707E"/>
    <w:rsid w:val="00264A0D"/>
    <w:rsid w:val="00281EFE"/>
    <w:rsid w:val="00283206"/>
    <w:rsid w:val="0028790C"/>
    <w:rsid w:val="0029202C"/>
    <w:rsid w:val="00294C66"/>
    <w:rsid w:val="00296536"/>
    <w:rsid w:val="00297FEA"/>
    <w:rsid w:val="002A0F22"/>
    <w:rsid w:val="002A2CFF"/>
    <w:rsid w:val="002A3B0F"/>
    <w:rsid w:val="002A546B"/>
    <w:rsid w:val="002C4D6E"/>
    <w:rsid w:val="002C5678"/>
    <w:rsid w:val="002E29D3"/>
    <w:rsid w:val="002E423C"/>
    <w:rsid w:val="002E60D0"/>
    <w:rsid w:val="002F31D5"/>
    <w:rsid w:val="002F3234"/>
    <w:rsid w:val="002F373E"/>
    <w:rsid w:val="0032180C"/>
    <w:rsid w:val="0032241B"/>
    <w:rsid w:val="0032384E"/>
    <w:rsid w:val="0034794D"/>
    <w:rsid w:val="00350039"/>
    <w:rsid w:val="003555EF"/>
    <w:rsid w:val="00357D1F"/>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D0A67"/>
    <w:rsid w:val="003E20B6"/>
    <w:rsid w:val="003F5396"/>
    <w:rsid w:val="003F6116"/>
    <w:rsid w:val="00407621"/>
    <w:rsid w:val="00415718"/>
    <w:rsid w:val="00415A2A"/>
    <w:rsid w:val="0042424C"/>
    <w:rsid w:val="0042688B"/>
    <w:rsid w:val="0043746F"/>
    <w:rsid w:val="00437978"/>
    <w:rsid w:val="00440FAF"/>
    <w:rsid w:val="00443B46"/>
    <w:rsid w:val="00453543"/>
    <w:rsid w:val="0046416A"/>
    <w:rsid w:val="00465FA8"/>
    <w:rsid w:val="0048028F"/>
    <w:rsid w:val="004907A0"/>
    <w:rsid w:val="00490E8B"/>
    <w:rsid w:val="004910B0"/>
    <w:rsid w:val="004915C1"/>
    <w:rsid w:val="004A3F92"/>
    <w:rsid w:val="004B0575"/>
    <w:rsid w:val="004B4D41"/>
    <w:rsid w:val="004B52E6"/>
    <w:rsid w:val="004C028A"/>
    <w:rsid w:val="004C7E61"/>
    <w:rsid w:val="004D6F2C"/>
    <w:rsid w:val="004E0537"/>
    <w:rsid w:val="004E0672"/>
    <w:rsid w:val="00500996"/>
    <w:rsid w:val="00501323"/>
    <w:rsid w:val="00502595"/>
    <w:rsid w:val="00507521"/>
    <w:rsid w:val="00517EAA"/>
    <w:rsid w:val="005333FC"/>
    <w:rsid w:val="005456B7"/>
    <w:rsid w:val="00547401"/>
    <w:rsid w:val="00550F7A"/>
    <w:rsid w:val="00551CB9"/>
    <w:rsid w:val="00563BBC"/>
    <w:rsid w:val="00580B15"/>
    <w:rsid w:val="00581A78"/>
    <w:rsid w:val="00581B2A"/>
    <w:rsid w:val="00597511"/>
    <w:rsid w:val="00597683"/>
    <w:rsid w:val="005A0274"/>
    <w:rsid w:val="005A18FC"/>
    <w:rsid w:val="005A440D"/>
    <w:rsid w:val="005A5776"/>
    <w:rsid w:val="005B3632"/>
    <w:rsid w:val="005B5AFE"/>
    <w:rsid w:val="005B67C7"/>
    <w:rsid w:val="005C2BBA"/>
    <w:rsid w:val="005C3357"/>
    <w:rsid w:val="005C34B1"/>
    <w:rsid w:val="005C69BB"/>
    <w:rsid w:val="005D0F6B"/>
    <w:rsid w:val="005D406F"/>
    <w:rsid w:val="005E3337"/>
    <w:rsid w:val="005F142A"/>
    <w:rsid w:val="00600122"/>
    <w:rsid w:val="00601733"/>
    <w:rsid w:val="006032C2"/>
    <w:rsid w:val="0061005B"/>
    <w:rsid w:val="006134B3"/>
    <w:rsid w:val="0063421F"/>
    <w:rsid w:val="006348C8"/>
    <w:rsid w:val="006400D2"/>
    <w:rsid w:val="0064016D"/>
    <w:rsid w:val="00640FE5"/>
    <w:rsid w:val="00645A07"/>
    <w:rsid w:val="0065272A"/>
    <w:rsid w:val="006723F9"/>
    <w:rsid w:val="006767C7"/>
    <w:rsid w:val="006814C0"/>
    <w:rsid w:val="006828C0"/>
    <w:rsid w:val="006829AB"/>
    <w:rsid w:val="00690D6B"/>
    <w:rsid w:val="00694BF9"/>
    <w:rsid w:val="006A5795"/>
    <w:rsid w:val="006B1E30"/>
    <w:rsid w:val="006B3273"/>
    <w:rsid w:val="006B3CD6"/>
    <w:rsid w:val="006B653D"/>
    <w:rsid w:val="006C0EE7"/>
    <w:rsid w:val="006C2A23"/>
    <w:rsid w:val="006C4F2C"/>
    <w:rsid w:val="006C552E"/>
    <w:rsid w:val="006C5731"/>
    <w:rsid w:val="006D0C5C"/>
    <w:rsid w:val="006D3EAA"/>
    <w:rsid w:val="006F5C68"/>
    <w:rsid w:val="00701311"/>
    <w:rsid w:val="00716059"/>
    <w:rsid w:val="007207A2"/>
    <w:rsid w:val="007210A0"/>
    <w:rsid w:val="00733B83"/>
    <w:rsid w:val="007406DB"/>
    <w:rsid w:val="007428A7"/>
    <w:rsid w:val="00745336"/>
    <w:rsid w:val="0074633F"/>
    <w:rsid w:val="00757BD0"/>
    <w:rsid w:val="007643F7"/>
    <w:rsid w:val="007646F2"/>
    <w:rsid w:val="00773D49"/>
    <w:rsid w:val="00774C18"/>
    <w:rsid w:val="00791634"/>
    <w:rsid w:val="00791F2B"/>
    <w:rsid w:val="00796776"/>
    <w:rsid w:val="007A04B6"/>
    <w:rsid w:val="007A1CE4"/>
    <w:rsid w:val="007A53DC"/>
    <w:rsid w:val="007A5FF1"/>
    <w:rsid w:val="007A6250"/>
    <w:rsid w:val="007B4A5F"/>
    <w:rsid w:val="007B75DB"/>
    <w:rsid w:val="007C76C3"/>
    <w:rsid w:val="007D2D18"/>
    <w:rsid w:val="007D3385"/>
    <w:rsid w:val="007E1D90"/>
    <w:rsid w:val="007E387B"/>
    <w:rsid w:val="007F1758"/>
    <w:rsid w:val="00802170"/>
    <w:rsid w:val="00810022"/>
    <w:rsid w:val="00813F0A"/>
    <w:rsid w:val="00827BB7"/>
    <w:rsid w:val="00830101"/>
    <w:rsid w:val="0083361E"/>
    <w:rsid w:val="008354F2"/>
    <w:rsid w:val="00842E06"/>
    <w:rsid w:val="0084382F"/>
    <w:rsid w:val="00844CD5"/>
    <w:rsid w:val="00857196"/>
    <w:rsid w:val="00861C15"/>
    <w:rsid w:val="00863657"/>
    <w:rsid w:val="00867F1B"/>
    <w:rsid w:val="00870A77"/>
    <w:rsid w:val="008711D4"/>
    <w:rsid w:val="008817BB"/>
    <w:rsid w:val="00885D90"/>
    <w:rsid w:val="00887344"/>
    <w:rsid w:val="0089066F"/>
    <w:rsid w:val="00891082"/>
    <w:rsid w:val="0089170E"/>
    <w:rsid w:val="00892F81"/>
    <w:rsid w:val="00893985"/>
    <w:rsid w:val="00894152"/>
    <w:rsid w:val="0089627F"/>
    <w:rsid w:val="008A3293"/>
    <w:rsid w:val="008C2A39"/>
    <w:rsid w:val="008C3C9B"/>
    <w:rsid w:val="008D28E6"/>
    <w:rsid w:val="008D3971"/>
    <w:rsid w:val="008D6B23"/>
    <w:rsid w:val="008E62CC"/>
    <w:rsid w:val="009044D6"/>
    <w:rsid w:val="00906735"/>
    <w:rsid w:val="00911F19"/>
    <w:rsid w:val="0091300A"/>
    <w:rsid w:val="00915589"/>
    <w:rsid w:val="009179CC"/>
    <w:rsid w:val="00923A37"/>
    <w:rsid w:val="00934D01"/>
    <w:rsid w:val="00945F85"/>
    <w:rsid w:val="0094774C"/>
    <w:rsid w:val="00950F48"/>
    <w:rsid w:val="009575B7"/>
    <w:rsid w:val="009638DC"/>
    <w:rsid w:val="00967F86"/>
    <w:rsid w:val="00971972"/>
    <w:rsid w:val="009723F7"/>
    <w:rsid w:val="00975C09"/>
    <w:rsid w:val="00976B85"/>
    <w:rsid w:val="009826D3"/>
    <w:rsid w:val="00984C3D"/>
    <w:rsid w:val="00995733"/>
    <w:rsid w:val="009A42AB"/>
    <w:rsid w:val="009A72C8"/>
    <w:rsid w:val="009B2849"/>
    <w:rsid w:val="009B3AC4"/>
    <w:rsid w:val="009B3F90"/>
    <w:rsid w:val="009C0041"/>
    <w:rsid w:val="009C044D"/>
    <w:rsid w:val="009C1FCD"/>
    <w:rsid w:val="009C2DE5"/>
    <w:rsid w:val="009D17A4"/>
    <w:rsid w:val="009D6EB3"/>
    <w:rsid w:val="009E18DD"/>
    <w:rsid w:val="009E4FB0"/>
    <w:rsid w:val="009E66D9"/>
    <w:rsid w:val="009E69B0"/>
    <w:rsid w:val="009E704C"/>
    <w:rsid w:val="009E753E"/>
    <w:rsid w:val="009F071B"/>
    <w:rsid w:val="009F07DF"/>
    <w:rsid w:val="009F52B3"/>
    <w:rsid w:val="00A11517"/>
    <w:rsid w:val="00A129C8"/>
    <w:rsid w:val="00A22776"/>
    <w:rsid w:val="00A33B38"/>
    <w:rsid w:val="00A368AE"/>
    <w:rsid w:val="00A602F8"/>
    <w:rsid w:val="00A64656"/>
    <w:rsid w:val="00A700BE"/>
    <w:rsid w:val="00A82CC1"/>
    <w:rsid w:val="00A8371B"/>
    <w:rsid w:val="00A853D9"/>
    <w:rsid w:val="00A9207D"/>
    <w:rsid w:val="00A93AE2"/>
    <w:rsid w:val="00A9584D"/>
    <w:rsid w:val="00AA67F8"/>
    <w:rsid w:val="00AB1DBE"/>
    <w:rsid w:val="00AB316B"/>
    <w:rsid w:val="00AB4AA0"/>
    <w:rsid w:val="00AB6FD8"/>
    <w:rsid w:val="00AB720D"/>
    <w:rsid w:val="00AC2279"/>
    <w:rsid w:val="00AC4DA3"/>
    <w:rsid w:val="00AC614E"/>
    <w:rsid w:val="00AC61D8"/>
    <w:rsid w:val="00AD1EE8"/>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293B"/>
    <w:rsid w:val="00B75D76"/>
    <w:rsid w:val="00B778E1"/>
    <w:rsid w:val="00B7792F"/>
    <w:rsid w:val="00B81BE8"/>
    <w:rsid w:val="00B83801"/>
    <w:rsid w:val="00B84C71"/>
    <w:rsid w:val="00B87532"/>
    <w:rsid w:val="00B95B84"/>
    <w:rsid w:val="00BC2C6A"/>
    <w:rsid w:val="00BC62E1"/>
    <w:rsid w:val="00BD3E3E"/>
    <w:rsid w:val="00BD5774"/>
    <w:rsid w:val="00BE5902"/>
    <w:rsid w:val="00BE5C2A"/>
    <w:rsid w:val="00C0345E"/>
    <w:rsid w:val="00C05ADB"/>
    <w:rsid w:val="00C27645"/>
    <w:rsid w:val="00C33356"/>
    <w:rsid w:val="00C355AF"/>
    <w:rsid w:val="00C37470"/>
    <w:rsid w:val="00C41B3F"/>
    <w:rsid w:val="00C51ADB"/>
    <w:rsid w:val="00C65D17"/>
    <w:rsid w:val="00C65D63"/>
    <w:rsid w:val="00C750AA"/>
    <w:rsid w:val="00C77ED6"/>
    <w:rsid w:val="00C8003A"/>
    <w:rsid w:val="00C802CE"/>
    <w:rsid w:val="00C8754E"/>
    <w:rsid w:val="00C91F88"/>
    <w:rsid w:val="00C96B2C"/>
    <w:rsid w:val="00CA4A0F"/>
    <w:rsid w:val="00CB73AE"/>
    <w:rsid w:val="00CC0408"/>
    <w:rsid w:val="00CC56DE"/>
    <w:rsid w:val="00CC6FE1"/>
    <w:rsid w:val="00CD4378"/>
    <w:rsid w:val="00CD7BC2"/>
    <w:rsid w:val="00CE16E2"/>
    <w:rsid w:val="00CE3AD6"/>
    <w:rsid w:val="00CF55CA"/>
    <w:rsid w:val="00CF6438"/>
    <w:rsid w:val="00CF65F8"/>
    <w:rsid w:val="00D01F58"/>
    <w:rsid w:val="00D031CE"/>
    <w:rsid w:val="00D03CF5"/>
    <w:rsid w:val="00D0706D"/>
    <w:rsid w:val="00D105C1"/>
    <w:rsid w:val="00D1101E"/>
    <w:rsid w:val="00D128F4"/>
    <w:rsid w:val="00D20C7F"/>
    <w:rsid w:val="00D21215"/>
    <w:rsid w:val="00D264DD"/>
    <w:rsid w:val="00D3680B"/>
    <w:rsid w:val="00D423B8"/>
    <w:rsid w:val="00D42474"/>
    <w:rsid w:val="00D445C4"/>
    <w:rsid w:val="00D44686"/>
    <w:rsid w:val="00D454A8"/>
    <w:rsid w:val="00D50471"/>
    <w:rsid w:val="00D520F3"/>
    <w:rsid w:val="00D56760"/>
    <w:rsid w:val="00D5794F"/>
    <w:rsid w:val="00D60729"/>
    <w:rsid w:val="00D6184A"/>
    <w:rsid w:val="00D61E63"/>
    <w:rsid w:val="00D67D69"/>
    <w:rsid w:val="00D73347"/>
    <w:rsid w:val="00D74C54"/>
    <w:rsid w:val="00D76E34"/>
    <w:rsid w:val="00D776EA"/>
    <w:rsid w:val="00D77C9D"/>
    <w:rsid w:val="00D94440"/>
    <w:rsid w:val="00DA0602"/>
    <w:rsid w:val="00DA1752"/>
    <w:rsid w:val="00DA348F"/>
    <w:rsid w:val="00DB5FE7"/>
    <w:rsid w:val="00DD54E0"/>
    <w:rsid w:val="00DE2E85"/>
    <w:rsid w:val="00DE36A6"/>
    <w:rsid w:val="00DE3F4C"/>
    <w:rsid w:val="00DE62F1"/>
    <w:rsid w:val="00DF4A2D"/>
    <w:rsid w:val="00DF5B40"/>
    <w:rsid w:val="00E14FC6"/>
    <w:rsid w:val="00E21CCC"/>
    <w:rsid w:val="00E23F11"/>
    <w:rsid w:val="00E2676C"/>
    <w:rsid w:val="00E32044"/>
    <w:rsid w:val="00E40071"/>
    <w:rsid w:val="00E419C0"/>
    <w:rsid w:val="00E42BB0"/>
    <w:rsid w:val="00E4380B"/>
    <w:rsid w:val="00E51915"/>
    <w:rsid w:val="00E60F39"/>
    <w:rsid w:val="00E623E3"/>
    <w:rsid w:val="00E66A9B"/>
    <w:rsid w:val="00E72C07"/>
    <w:rsid w:val="00E74FF7"/>
    <w:rsid w:val="00E806B0"/>
    <w:rsid w:val="00E8287E"/>
    <w:rsid w:val="00E82FE9"/>
    <w:rsid w:val="00E84727"/>
    <w:rsid w:val="00E853EB"/>
    <w:rsid w:val="00E8580E"/>
    <w:rsid w:val="00E86369"/>
    <w:rsid w:val="00E86820"/>
    <w:rsid w:val="00E97042"/>
    <w:rsid w:val="00EB0E19"/>
    <w:rsid w:val="00EB1FB1"/>
    <w:rsid w:val="00EB35EE"/>
    <w:rsid w:val="00EB3F3C"/>
    <w:rsid w:val="00EC0334"/>
    <w:rsid w:val="00EC2659"/>
    <w:rsid w:val="00EC291F"/>
    <w:rsid w:val="00EC6488"/>
    <w:rsid w:val="00ED1FBE"/>
    <w:rsid w:val="00ED3982"/>
    <w:rsid w:val="00ED7F41"/>
    <w:rsid w:val="00EE2C5D"/>
    <w:rsid w:val="00EF05CF"/>
    <w:rsid w:val="00EF2809"/>
    <w:rsid w:val="00EF531D"/>
    <w:rsid w:val="00EF6465"/>
    <w:rsid w:val="00F05497"/>
    <w:rsid w:val="00F117BE"/>
    <w:rsid w:val="00F13932"/>
    <w:rsid w:val="00F15DC5"/>
    <w:rsid w:val="00F16DD7"/>
    <w:rsid w:val="00F22E4D"/>
    <w:rsid w:val="00F2686D"/>
    <w:rsid w:val="00F26D28"/>
    <w:rsid w:val="00F36620"/>
    <w:rsid w:val="00F41950"/>
    <w:rsid w:val="00F43EFA"/>
    <w:rsid w:val="00F460A8"/>
    <w:rsid w:val="00F65A9E"/>
    <w:rsid w:val="00F66E8A"/>
    <w:rsid w:val="00F74D8E"/>
    <w:rsid w:val="00F81879"/>
    <w:rsid w:val="00F827CF"/>
    <w:rsid w:val="00F932B1"/>
    <w:rsid w:val="00FA134B"/>
    <w:rsid w:val="00FA2958"/>
    <w:rsid w:val="00FA34EC"/>
    <w:rsid w:val="00FA6D55"/>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BD34DC2"/>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3"/>
    <w:qFormat/>
    <w:uiPriority w:val="99"/>
    <w:pPr>
      <w:keepNext/>
      <w:keepLines/>
      <w:spacing w:before="260" w:after="260" w:line="416" w:lineRule="auto"/>
      <w:outlineLvl w:val="2"/>
    </w:pPr>
    <w:rPr>
      <w:b/>
      <w:bCs/>
      <w:kern w:val="0"/>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2"/>
    <w:qFormat/>
    <w:uiPriority w:val="99"/>
    <w:pPr>
      <w:ind w:firstLine="420"/>
    </w:pPr>
    <w:rPr>
      <w:szCs w:val="20"/>
    </w:rPr>
  </w:style>
  <w:style w:type="paragraph" w:styleId="5">
    <w:name w:val="Document Map"/>
    <w:basedOn w:val="1"/>
    <w:link w:val="14"/>
    <w:semiHidden/>
    <w:qFormat/>
    <w:uiPriority w:val="99"/>
    <w:pPr>
      <w:shd w:val="clear" w:color="auto" w:fill="000080"/>
    </w:pPr>
    <w:rPr>
      <w:kern w:val="0"/>
      <w:sz w:val="2"/>
      <w:szCs w:val="20"/>
    </w:rPr>
  </w:style>
  <w:style w:type="paragraph" w:styleId="6">
    <w:name w:val="Plain Text"/>
    <w:basedOn w:val="1"/>
    <w:link w:val="15"/>
    <w:qFormat/>
    <w:uiPriority w:val="99"/>
    <w:rPr>
      <w:rFonts w:ascii="宋体" w:hAnsi="Courier New"/>
      <w:kern w:val="0"/>
      <w:szCs w:val="21"/>
    </w:rPr>
  </w:style>
  <w:style w:type="paragraph" w:styleId="7">
    <w:name w:val="Balloon Text"/>
    <w:basedOn w:val="1"/>
    <w:link w:val="16"/>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20"/>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uiPriority w:val="99"/>
    <w:rPr>
      <w:rFonts w:cs="Times New Roman"/>
    </w:rPr>
  </w:style>
  <w:style w:type="character" w:customStyle="1" w:styleId="13">
    <w:name w:val="标题 3 Char"/>
    <w:link w:val="3"/>
    <w:semiHidden/>
    <w:qFormat/>
    <w:locked/>
    <w:uiPriority w:val="99"/>
    <w:rPr>
      <w:rFonts w:ascii="Times New Roman" w:hAnsi="Times New Roman" w:cs="Times New Roman"/>
      <w:b/>
      <w:sz w:val="32"/>
    </w:rPr>
  </w:style>
  <w:style w:type="character" w:customStyle="1" w:styleId="14">
    <w:name w:val="文档结构图 Char"/>
    <w:link w:val="5"/>
    <w:semiHidden/>
    <w:qFormat/>
    <w:locked/>
    <w:uiPriority w:val="99"/>
    <w:rPr>
      <w:rFonts w:ascii="Times New Roman" w:hAnsi="Times New Roman" w:cs="Times New Roman"/>
      <w:sz w:val="2"/>
    </w:rPr>
  </w:style>
  <w:style w:type="character" w:customStyle="1" w:styleId="15">
    <w:name w:val="纯文本 Char"/>
    <w:link w:val="6"/>
    <w:semiHidden/>
    <w:qFormat/>
    <w:locked/>
    <w:uiPriority w:val="99"/>
    <w:rPr>
      <w:rFonts w:ascii="宋体" w:hAnsi="Courier New" w:cs="Times New Roman"/>
      <w:sz w:val="21"/>
    </w:rPr>
  </w:style>
  <w:style w:type="character" w:customStyle="1" w:styleId="16">
    <w:name w:val="批注框文本 Char"/>
    <w:link w:val="7"/>
    <w:qFormat/>
    <w:locked/>
    <w:uiPriority w:val="99"/>
    <w:rPr>
      <w:rFonts w:cs="Times New Roman"/>
      <w:kern w:val="2"/>
      <w:sz w:val="18"/>
    </w:rPr>
  </w:style>
  <w:style w:type="character" w:customStyle="1" w:styleId="17">
    <w:name w:val="页脚 Char"/>
    <w:link w:val="8"/>
    <w:qFormat/>
    <w:locked/>
    <w:uiPriority w:val="99"/>
    <w:rPr>
      <w:rFonts w:ascii="Times New Roman" w:hAnsi="Times New Roman" w:eastAsia="宋体" w:cs="Times New Roman"/>
      <w:kern w:val="2"/>
      <w:sz w:val="18"/>
    </w:rPr>
  </w:style>
  <w:style w:type="character" w:customStyle="1" w:styleId="18">
    <w:name w:val="页眉 Char"/>
    <w:link w:val="9"/>
    <w:qFormat/>
    <w:locked/>
    <w:uiPriority w:val="99"/>
    <w:rPr>
      <w:rFonts w:ascii="Times New Roman" w:hAnsi="Times New Roman" w:cs="Times New Roman"/>
      <w:sz w:val="18"/>
    </w:rPr>
  </w:style>
  <w:style w:type="paragraph" w:customStyle="1" w:styleId="19">
    <w:name w:val="Char"/>
    <w:basedOn w:val="1"/>
    <w:qFormat/>
    <w:uiPriority w:val="99"/>
    <w:pPr>
      <w:tabs>
        <w:tab w:val="left" w:pos="360"/>
      </w:tabs>
      <w:ind w:firstLine="200" w:firstLineChars="200"/>
    </w:pPr>
    <w:rPr>
      <w:sz w:val="28"/>
      <w:szCs w:val="30"/>
    </w:rPr>
  </w:style>
  <w:style w:type="character" w:customStyle="1" w:styleId="20">
    <w:name w:val="font31"/>
    <w:qFormat/>
    <w:uiPriority w:val="99"/>
    <w:rPr>
      <w:rFonts w:ascii="宋体" w:hAnsi="宋体" w:eastAsia="宋体"/>
      <w:color w:val="000000"/>
      <w:sz w:val="22"/>
      <w:u w:val="none"/>
    </w:rPr>
  </w:style>
  <w:style w:type="character" w:customStyle="1" w:styleId="21">
    <w:name w:val="font51"/>
    <w:qFormat/>
    <w:uiPriority w:val="99"/>
    <w:rPr>
      <w:rFonts w:ascii="宋体" w:hAnsi="宋体" w:eastAsia="宋体" w:cs="宋体"/>
      <w:b/>
      <w:color w:val="000000"/>
      <w:sz w:val="22"/>
      <w:szCs w:val="22"/>
      <w:u w:val="none"/>
    </w:rPr>
  </w:style>
  <w:style w:type="character" w:customStyle="1" w:styleId="22">
    <w:name w:val="font21"/>
    <w:qFormat/>
    <w:uiPriority w:val="99"/>
    <w:rPr>
      <w:rFonts w:ascii="宋体" w:hAnsi="宋体" w:eastAsia="宋体"/>
      <w:color w:val="000000"/>
      <w:sz w:val="22"/>
      <w:u w:val="none"/>
    </w:rPr>
  </w:style>
  <w:style w:type="character" w:customStyle="1" w:styleId="23">
    <w:name w:val="font01"/>
    <w:qFormat/>
    <w:uiPriority w:val="99"/>
    <w:rPr>
      <w:rFonts w:ascii="宋体" w:hAnsi="宋体" w:eastAsia="宋体"/>
      <w:b/>
      <w:color w:val="000000"/>
      <w:sz w:val="22"/>
      <w:u w:val="none"/>
    </w:rPr>
  </w:style>
  <w:style w:type="character" w:customStyle="1" w:styleId="24">
    <w:name w:val="ask-title2"/>
    <w:qFormat/>
    <w:uiPriority w:val="99"/>
  </w:style>
  <w:style w:type="character" w:customStyle="1" w:styleId="25">
    <w:name w:val="纯文本 Char_0_0"/>
    <w:link w:val="26"/>
    <w:qFormat/>
    <w:locked/>
    <w:uiPriority w:val="99"/>
    <w:rPr>
      <w:rFonts w:ascii="宋体" w:hAnsi="Courier New"/>
      <w:kern w:val="2"/>
      <w:sz w:val="21"/>
    </w:rPr>
  </w:style>
  <w:style w:type="paragraph" w:customStyle="1" w:styleId="26">
    <w:name w:val="纯文本_0_0"/>
    <w:basedOn w:val="27"/>
    <w:link w:val="25"/>
    <w:qFormat/>
    <w:uiPriority w:val="99"/>
    <w:rPr>
      <w:rFonts w:ascii="宋体" w:hAnsi="Courier New"/>
      <w:szCs w:val="20"/>
    </w:rPr>
  </w:style>
  <w:style w:type="paragraph" w:customStyle="1" w:styleId="27">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6_0"/>
    <w:qFormat/>
    <w:uiPriority w:val="99"/>
    <w:rPr>
      <w:rFonts w:ascii="黑体" w:hAnsi="黑体" w:eastAsia="黑体" w:cs="Times New Roman"/>
      <w:b/>
      <w:sz w:val="32"/>
      <w:szCs w:val="24"/>
      <w:lang w:val="en-US" w:eastAsia="zh-CN" w:bidi="ar-SA"/>
    </w:rPr>
  </w:style>
  <w:style w:type="paragraph" w:customStyle="1" w:styleId="32">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_17_0"/>
    <w:qFormat/>
    <w:uiPriority w:val="99"/>
    <w:rPr>
      <w:rFonts w:ascii="黑体" w:hAnsi="黑体" w:eastAsia="黑体" w:cs="Times New Roman"/>
      <w:b/>
      <w:sz w:val="32"/>
      <w:szCs w:val="24"/>
      <w:lang w:val="en-US" w:eastAsia="zh-CN" w:bidi="ar-SA"/>
    </w:rPr>
  </w:style>
  <w:style w:type="paragraph" w:customStyle="1" w:styleId="34">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_18_0"/>
    <w:qFormat/>
    <w:uiPriority w:val="99"/>
    <w:rPr>
      <w:rFonts w:ascii="黑体" w:hAnsi="黑体" w:eastAsia="黑体" w:cs="Times New Roman"/>
      <w:b/>
      <w:sz w:val="32"/>
      <w:szCs w:val="24"/>
      <w:lang w:val="en-US" w:eastAsia="zh-CN" w:bidi="ar-SA"/>
    </w:rPr>
  </w:style>
  <w:style w:type="paragraph" w:customStyle="1" w:styleId="37">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2_0"/>
    <w:qFormat/>
    <w:uiPriority w:val="99"/>
    <w:rPr>
      <w:rFonts w:ascii="黑体" w:hAnsi="黑体" w:eastAsia="黑体" w:cs="Times New Roman"/>
      <w:b/>
      <w:sz w:val="32"/>
      <w:szCs w:val="24"/>
      <w:lang w:val="en-US" w:eastAsia="zh-CN" w:bidi="ar-SA"/>
    </w:rPr>
  </w:style>
  <w:style w:type="paragraph" w:customStyle="1" w:styleId="39">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Normal_14_0"/>
    <w:qFormat/>
    <w:uiPriority w:val="99"/>
    <w:rPr>
      <w:rFonts w:ascii="黑体" w:hAnsi="黑体" w:eastAsia="黑体" w:cs="Times New Roman"/>
      <w:b/>
      <w:sz w:val="32"/>
      <w:szCs w:val="24"/>
      <w:lang w:val="en-US" w:eastAsia="zh-CN" w:bidi="ar-SA"/>
    </w:rPr>
  </w:style>
  <w:style w:type="paragraph" w:customStyle="1" w:styleId="41">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0_0"/>
    <w:qFormat/>
    <w:uiPriority w:val="99"/>
    <w:rPr>
      <w:rFonts w:ascii="黑体" w:hAnsi="黑体" w:eastAsia="黑体" w:cs="Times New Roman"/>
      <w:b/>
      <w:sz w:val="32"/>
      <w:szCs w:val="24"/>
      <w:lang w:val="en-US" w:eastAsia="zh-CN" w:bidi="ar-SA"/>
    </w:rPr>
  </w:style>
  <w:style w:type="paragraph" w:customStyle="1" w:styleId="47">
    <w:name w:val="Normal_13_0"/>
    <w:qFormat/>
    <w:uiPriority w:val="99"/>
    <w:rPr>
      <w:rFonts w:ascii="黑体" w:hAnsi="黑体" w:eastAsia="黑体" w:cs="Times New Roman"/>
      <w:b/>
      <w:sz w:val="32"/>
      <w:szCs w:val="24"/>
      <w:lang w:val="en-US" w:eastAsia="zh-CN" w:bidi="ar-SA"/>
    </w:rPr>
  </w:style>
  <w:style w:type="paragraph" w:customStyle="1" w:styleId="48">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15_0"/>
    <w:qFormat/>
    <w:uiPriority w:val="99"/>
    <w:rPr>
      <w:rFonts w:ascii="黑体" w:hAnsi="黑体" w:eastAsia="黑体" w:cs="Times New Roman"/>
      <w:b/>
      <w:sz w:val="32"/>
      <w:szCs w:val="24"/>
      <w:lang w:val="en-US" w:eastAsia="zh-CN" w:bidi="ar-SA"/>
    </w:rPr>
  </w:style>
  <w:style w:type="paragraph" w:customStyle="1" w:styleId="50">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0_1"/>
    <w:qFormat/>
    <w:uiPriority w:val="99"/>
    <w:rPr>
      <w:rFonts w:ascii="黑体" w:hAnsi="黑体" w:eastAsia="黑体" w:cs="Times New Roman"/>
      <w:b/>
      <w:sz w:val="32"/>
      <w:szCs w:val="24"/>
      <w:lang w:val="en-US" w:eastAsia="zh-CN" w:bidi="ar-SA"/>
    </w:rPr>
  </w:style>
  <w:style w:type="paragraph" w:customStyle="1" w:styleId="55">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6_0"/>
    <w:qFormat/>
    <w:uiPriority w:val="99"/>
    <w:rPr>
      <w:rFonts w:ascii="黑体" w:hAnsi="黑体" w:eastAsia="黑体" w:cs="Times New Roman"/>
      <w:b/>
      <w:sz w:val="32"/>
      <w:szCs w:val="24"/>
      <w:lang w:val="en-US" w:eastAsia="zh-CN" w:bidi="ar-SA"/>
    </w:rPr>
  </w:style>
  <w:style w:type="paragraph" w:customStyle="1" w:styleId="59">
    <w:name w:val="Normal_4_0"/>
    <w:qFormat/>
    <w:uiPriority w:val="99"/>
    <w:rPr>
      <w:rFonts w:ascii="黑体" w:hAnsi="黑体" w:eastAsia="黑体" w:cs="Times New Roman"/>
      <w:b/>
      <w:sz w:val="32"/>
      <w:szCs w:val="24"/>
      <w:lang w:val="en-US" w:eastAsia="zh-CN" w:bidi="ar-SA"/>
    </w:rPr>
  </w:style>
  <w:style w:type="paragraph" w:customStyle="1" w:styleId="60">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_1"/>
    <w:qFormat/>
    <w:uiPriority w:val="99"/>
    <w:rPr>
      <w:rFonts w:ascii="黑体" w:hAnsi="黑体" w:eastAsia="黑体" w:cs="Times New Roman"/>
      <w:b/>
      <w:sz w:val="32"/>
      <w:szCs w:val="24"/>
      <w:lang w:val="en-US" w:eastAsia="zh-CN" w:bidi="ar-SA"/>
    </w:rPr>
  </w:style>
  <w:style w:type="paragraph" w:customStyle="1" w:styleId="62">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8_0"/>
    <w:qFormat/>
    <w:uiPriority w:val="99"/>
    <w:rPr>
      <w:rFonts w:ascii="黑体" w:hAnsi="黑体" w:eastAsia="黑体" w:cs="Times New Roman"/>
      <w:b/>
      <w:sz w:val="32"/>
      <w:szCs w:val="24"/>
      <w:lang w:val="en-US" w:eastAsia="zh-CN" w:bidi="ar-SA"/>
    </w:rPr>
  </w:style>
  <w:style w:type="paragraph" w:customStyle="1" w:styleId="64">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Normal_7_0"/>
    <w:qFormat/>
    <w:uiPriority w:val="99"/>
    <w:rPr>
      <w:rFonts w:ascii="黑体" w:hAnsi="黑体" w:eastAsia="黑体" w:cs="Times New Roman"/>
      <w:b/>
      <w:sz w:val="32"/>
      <w:szCs w:val="24"/>
      <w:lang w:val="en-US" w:eastAsia="zh-CN" w:bidi="ar-SA"/>
    </w:rPr>
  </w:style>
  <w:style w:type="paragraph" w:customStyle="1" w:styleId="66">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1_0"/>
    <w:qFormat/>
    <w:uiPriority w:val="99"/>
    <w:rPr>
      <w:rFonts w:ascii="黑体" w:hAnsi="黑体" w:eastAsia="黑体" w:cs="Times New Roman"/>
      <w:b/>
      <w:sz w:val="32"/>
      <w:szCs w:val="24"/>
      <w:lang w:val="en-US" w:eastAsia="zh-CN" w:bidi="ar-SA"/>
    </w:rPr>
  </w:style>
  <w:style w:type="paragraph" w:customStyle="1" w:styleId="70">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2_0"/>
    <w:qFormat/>
    <w:uiPriority w:val="99"/>
    <w:rPr>
      <w:rFonts w:ascii="黑体" w:hAnsi="黑体" w:eastAsia="黑体" w:cs="Times New Roman"/>
      <w:b/>
      <w:sz w:val="32"/>
      <w:szCs w:val="24"/>
      <w:lang w:val="en-US" w:eastAsia="zh-CN" w:bidi="ar-SA"/>
    </w:rPr>
  </w:style>
  <w:style w:type="paragraph" w:customStyle="1" w:styleId="72">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5_0"/>
    <w:qFormat/>
    <w:uiPriority w:val="99"/>
    <w:rPr>
      <w:rFonts w:ascii="黑体" w:hAnsi="黑体" w:eastAsia="黑体" w:cs="Times New Roman"/>
      <w:b/>
      <w:sz w:val="32"/>
      <w:szCs w:val="24"/>
      <w:lang w:val="en-US" w:eastAsia="zh-CN" w:bidi="ar-SA"/>
    </w:rPr>
  </w:style>
  <w:style w:type="paragraph" w:customStyle="1" w:styleId="74">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3_0"/>
    <w:qFormat/>
    <w:uiPriority w:val="99"/>
    <w:rPr>
      <w:rFonts w:ascii="黑体" w:hAnsi="黑体" w:eastAsia="黑体" w:cs="Times New Roman"/>
      <w:b/>
      <w:sz w:val="32"/>
      <w:szCs w:val="24"/>
      <w:lang w:val="en-US" w:eastAsia="zh-CN" w:bidi="ar-SA"/>
    </w:rPr>
  </w:style>
  <w:style w:type="paragraph" w:customStyle="1" w:styleId="77">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_9_0"/>
    <w:qFormat/>
    <w:uiPriority w:val="99"/>
    <w:rPr>
      <w:rFonts w:ascii="Times New Roman" w:hAnsi="Times New Roman" w:eastAsia="宋体" w:cs="Times New Roman"/>
      <w:sz w:val="24"/>
      <w:szCs w:val="24"/>
      <w:lang w:val="en-US" w:eastAsia="zh-CN" w:bidi="ar-SA"/>
    </w:rPr>
  </w:style>
  <w:style w:type="paragraph" w:customStyle="1" w:styleId="81">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Char Char2"/>
    <w:qFormat/>
    <w:uiPriority w:val="99"/>
    <w:rPr>
      <w:b/>
      <w:kern w:val="2"/>
      <w:sz w:val="32"/>
    </w:rPr>
  </w:style>
  <w:style w:type="paragraph" w:customStyle="1" w:styleId="8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5">
    <w:name w:val="p16"/>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794</Words>
  <Characters>4527</Characters>
  <Lines>37</Lines>
  <Paragraphs>10</Paragraphs>
  <TotalTime>84</TotalTime>
  <ScaleCrop>false</ScaleCrop>
  <LinksUpToDate>false</LinksUpToDate>
  <CharactersWithSpaces>5311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2020-10-07T07:32:04Z</dcterms:modified>
  <dc:title>询 价 文 件</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