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ind w:firstLine="0"/>
        <w:jc w:val="center"/>
        <w:rPr>
          <w:rFonts w:ascii="宋体" w:hAnsi="宋体" w:cs="宋体"/>
          <w:b/>
          <w:bCs/>
          <w:sz w:val="28"/>
          <w:szCs w:val="28"/>
        </w:rPr>
      </w:pPr>
      <w:r>
        <w:rPr>
          <w:rFonts w:ascii="宋体" w:hAnsi="宋体" w:cs="宋体"/>
          <w:b/>
          <w:color w:val="000000"/>
          <w:sz w:val="28"/>
          <w:szCs w:val="28"/>
        </w:rPr>
        <w:drawing>
          <wp:anchor distT="0" distB="0" distL="114300" distR="114300" simplePos="0" relativeHeight="251659264" behindDoc="1" locked="0" layoutInCell="1" allowOverlap="1">
            <wp:simplePos x="0" y="0"/>
            <wp:positionH relativeFrom="column">
              <wp:posOffset>3748405</wp:posOffset>
            </wp:positionH>
            <wp:positionV relativeFrom="paragraph">
              <wp:posOffset>-1045210</wp:posOffset>
            </wp:positionV>
            <wp:extent cx="2019300" cy="1744345"/>
            <wp:effectExtent l="0" t="0" r="0" b="8255"/>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7" cstate="print"/>
                    <a:srcRect r="7275"/>
                    <a:stretch>
                      <a:fillRect/>
                    </a:stretch>
                  </pic:blipFill>
                  <pic:spPr>
                    <a:xfrm>
                      <a:off x="0" y="0"/>
                      <a:ext cx="2019300" cy="1744345"/>
                    </a:xfrm>
                    <a:prstGeom prst="rect">
                      <a:avLst/>
                    </a:prstGeom>
                    <a:noFill/>
                    <a:ln w="9525" cmpd="sng">
                      <a:noFill/>
                      <a:miter lim="800000"/>
                      <a:headEnd/>
                      <a:tailEnd/>
                    </a:ln>
                  </pic:spPr>
                </pic:pic>
              </a:graphicData>
            </a:graphic>
          </wp:anchor>
        </w:drawing>
      </w: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-1088390</wp:posOffset>
                </wp:positionH>
                <wp:positionV relativeFrom="paragraph">
                  <wp:posOffset>-1216660</wp:posOffset>
                </wp:positionV>
                <wp:extent cx="2752725" cy="2762250"/>
                <wp:effectExtent l="0" t="0" r="9525" b="0"/>
                <wp:wrapNone/>
                <wp:docPr id="39" name="椭圆 39"/>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alpha val="59999"/>
                              </a:srgbClr>
                            </a:gs>
                          </a:gsLst>
                          <a:lin ang="5400000" scaled="1"/>
                          <a:tileRect/>
                        </a:gradFill>
                        <a:ln>
                          <a:noFill/>
                        </a:ln>
                        <a:effectLst/>
                      </wps:spPr>
                      <wps:txbx>
                        <w:txbxContent>
                          <w:p>
                            <w:pPr>
                              <w:jc w:val="center"/>
                            </w:pPr>
                          </w:p>
                        </w:txbxContent>
                      </wps:txbx>
                      <wps:bodyPr upright="1"/>
                    </wps:wsp>
                  </a:graphicData>
                </a:graphic>
              </wp:anchor>
            </w:drawing>
          </mc:Choice>
          <mc:Fallback>
            <w:pict>
              <v:shape id="_x0000_s1026" o:spid="_x0000_s1026" o:spt="3" type="#_x0000_t3" style="position:absolute;left:0pt;margin-left:-85.7pt;margin-top:-95.8pt;height:217.5pt;width:216.75pt;z-index:251660288;mso-width-relative:page;mso-height-relative:page;" fillcolor="#C00000" filled="t" stroked="f" coordsize="21600,21600" o:gfxdata="UEsDBAoAAAAAAIdO4kAAAAAAAAAAAAAAAAAEAAAAZHJzL1BLAwQUAAAACACHTuJAOjK5EtwAAAAN&#10;AQAADwAAAGRycy9kb3ducmV2LnhtbE2PwU7DMAyG70i8Q2QkbluSUhVamu6ABENCQmMgAbesCW2h&#10;caom7ba3xzvB7bf86ffncnVwPZvtGDqPCuRSALNYe9Nho+Dt9X5xAyxEjUb3Hq2Cow2wqs7PSl0Y&#10;v8cXO29jw6gEQ6EVtDEOBeehbq3TYekHi7T78qPTkcax4WbUeyp3PU+EyLjTHdKFVg/2rrX1z3Zy&#10;Ct6fhu85X3/m4Xl62BzX/jF14kOpywspboFFe4h/MJz0SR0qctr5CU1gvYKFvJYpsaeUywwYMUmW&#10;SGA7CulVCrwq+f8vql9QSwMEFAAAAAgAh07iQCRggygUAgAAVAQAAA4AAABkcnMvZTJvRG9jLnht&#10;bK1UzY7TMBC+I/EOlu80baBbNmq6h63KBcGKBXF2HSex5D953DZ9AZ6CI1ceC56DsZ12S7nsAR/c&#10;8Yz9zXzfTLq8G7Qie+FBWlPT2WRKiTDcNtJ0Nf3yefPqLSUQmGmYskbU9CiA3q1evlgeXCVK21vV&#10;CE8QxEB1cDXtQ3BVUQDvhWYwsU4YDLbWaxbw6Lui8eyA6FoV5XR6Uxysb5y3XACgd52DdET0zwG0&#10;bSu5WFu+08KEjOqFYgEpQS8d0FWqtm0FDx/bFkQgqqbINKQdk6C9jXuxWrKq88z1ko8lsOeUcMVJ&#10;M2kw6RlqzQIjOy//gdKSewu2DRNudZGJJEWQxWx6pc1jz5xIXFBqcGfR4f/B8g/7B09kU9PXt5QY&#10;prHjv3/8/PX9G0EHqnNwUOGlR/fgxxOgGakOrdfxF0mQISl6PCsqhkA4OsvFvFyUc0o4xsrFTVnO&#10;k+bF03PnIbwTVpNo1FQohQ2MrFnF9u8hYFa8fbo1atxspFLE2/BVhj7JFFOnIOCbbBBnUansBt9t&#10;75Une4aDcD+NK6dQrmfZeypsvJrSdnAJNXt69xfeJq1rvPktrighln+Nia7uVKiShrD48c3fZHwC&#10;nCmBLZnl8QxSiU84yRkKhzWxj4UpE3djoxo5mj0iTf4oXuxg7lm0wrAd8Go0t7Y5YvN3zsuuR+lT&#10;uiJGcNgy/fxhxGm+PKN9+Wew+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MrkS3AAAAA0BAAAP&#10;AAAAAAAAAAEAIAAAACIAAABkcnMvZG93bnJldi54bWxQSwECFAAUAAAACACHTuJAJGCDKBQCAABU&#10;BAAADgAAAAAAAAABACAAAAArAQAAZHJzL2Uyb0RvYy54bWxQSwUGAAAAAAYABgBZAQAAsQUAAAAA&#10;">
                <v:fill type="gradient" on="t" color2="#FFFFFF" opacity="0f" o:opacity2="39320f" focus="100%" focussize="0,0"/>
                <v:stroke on="f"/>
                <v:imagedata o:title=""/>
                <o:lock v:ext="edit" aspectratio="f"/>
                <v:textbox>
                  <w:txbxContent>
                    <w:p>
                      <w:pPr>
                        <w:jc w:val="center"/>
                      </w:pPr>
                    </w:p>
                  </w:txbxContent>
                </v:textbox>
              </v:shape>
            </w:pict>
          </mc:Fallback>
        </mc:AlternateContent>
      </w:r>
    </w:p>
    <w:p>
      <w:pPr>
        <w:ind w:leftChars="-695" w:hanging="1459" w:hangingChars="695"/>
        <w:jc w:val="right"/>
        <w:rPr>
          <w:rFonts w:ascii="宋体" w:hAnsi="宋体" w:cs="宋体"/>
          <w:b/>
          <w:bCs/>
          <w:sz w:val="44"/>
          <w:szCs w:val="44"/>
          <w:lang w:val="zh-CN"/>
        </w:rPr>
      </w:pPr>
      <w:r>
        <w:rPr>
          <w:rFonts w:ascii="宋体" w:hAnsi="宋体" w:cs="宋体"/>
        </w:rPr>
        <mc:AlternateContent>
          <mc:Choice Requires="wps">
            <w:drawing>
              <wp:anchor distT="0" distB="0" distL="114300" distR="114300" simplePos="0" relativeHeight="251668480" behindDoc="0" locked="0" layoutInCell="1" allowOverlap="1">
                <wp:simplePos x="0" y="0"/>
                <wp:positionH relativeFrom="column">
                  <wp:posOffset>-320040</wp:posOffset>
                </wp:positionH>
                <wp:positionV relativeFrom="paragraph">
                  <wp:posOffset>229235</wp:posOffset>
                </wp:positionV>
                <wp:extent cx="6354445" cy="91503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354445" cy="915035"/>
                        </a:xfrm>
                        <a:prstGeom prst="rect">
                          <a:avLst/>
                        </a:prstGeom>
                        <a:noFill/>
                        <a:ln>
                          <a:noFill/>
                        </a:ln>
                        <a:effectLst/>
                      </wps:spPr>
                      <wps:txbx>
                        <w:txbxContent>
                          <w:p>
                            <w:pPr>
                              <w:jc w:val="center"/>
                              <w:rPr>
                                <w:rFonts w:asciiTheme="minorEastAsia" w:hAnsiTheme="minorEastAsia" w:eastAsiaTheme="minorEastAsia" w:cstheme="minorEastAsia"/>
                                <w:b/>
                                <w:kern w:val="24"/>
                                <w:sz w:val="44"/>
                                <w:szCs w:val="44"/>
                              </w:rPr>
                            </w:pPr>
                            <w:r>
                              <w:rPr>
                                <w:rFonts w:hint="eastAsia" w:asciiTheme="minorEastAsia" w:hAnsiTheme="minorEastAsia" w:eastAsiaTheme="minorEastAsia" w:cstheme="minorEastAsia"/>
                                <w:b/>
                                <w:kern w:val="24"/>
                                <w:sz w:val="44"/>
                                <w:szCs w:val="44"/>
                              </w:rPr>
                              <w:t>江苏医药职业学院</w:t>
                            </w:r>
                          </w:p>
                          <w:p>
                            <w:pPr>
                              <w:jc w:val="center"/>
                              <w:rPr>
                                <w:rFonts w:asciiTheme="minorEastAsia" w:hAnsiTheme="minorEastAsia" w:eastAsiaTheme="minorEastAsia" w:cstheme="minorEastAsia"/>
                                <w:b/>
                                <w:kern w:val="24"/>
                                <w:sz w:val="44"/>
                                <w:szCs w:val="44"/>
                              </w:rPr>
                            </w:pPr>
                            <w:r>
                              <w:rPr>
                                <w:rFonts w:hint="eastAsia" w:asciiTheme="minorEastAsia" w:hAnsiTheme="minorEastAsia" w:eastAsiaTheme="minorEastAsia" w:cstheme="minorEastAsia"/>
                                <w:b/>
                                <w:kern w:val="24"/>
                                <w:sz w:val="44"/>
                                <w:szCs w:val="44"/>
                              </w:rPr>
                              <w:t>校内护理设备及新生儿复苏力反馈教学系统采购</w:t>
                            </w:r>
                          </w:p>
                        </w:txbxContent>
                      </wps:txbx>
                      <wps:bodyPr wrap="square" rtlCol="0">
                        <a:noAutofit/>
                      </wps:bodyPr>
                    </wps:wsp>
                  </a:graphicData>
                </a:graphic>
              </wp:anchor>
            </w:drawing>
          </mc:Choice>
          <mc:Fallback>
            <w:pict>
              <v:shape id="_x0000_s1026" o:spid="_x0000_s1026" o:spt="202" type="#_x0000_t202" style="position:absolute;left:0pt;margin-left:-25.2pt;margin-top:18.05pt;height:72.05pt;width:500.35pt;z-index:251668480;mso-width-relative:page;mso-height-relative:page;" filled="f" stroked="f" coordsize="21600,21600" o:gfxdata="UEsDBAoAAAAAAIdO4kAAAAAAAAAAAAAAAAAEAAAAZHJzL1BLAwQUAAAACACHTuJAJsdCGtcAAAAK&#10;AQAADwAAAGRycy9kb3ducmV2LnhtbE2Py27CMBBF95X4B2sqsQM7QBCEOCyouqUqfUjsTDwkUeNx&#10;FBuS/n2nq3Y5ukf3nsn3o2vFHfvQeNKQzBUIpNLbhioN72/Psw2IEA1Z03pCDd8YYF9MHnKTWT/Q&#10;K95PsRJcQiEzGuoYu0zKUNboTJj7Domzq++diXz2lbS9GbjctXKh1Fo60xAv1KbDQ43l1+nmNHwc&#10;r+fPlXqpnlzaDX5UktxWaj19TNQORMQx/sHwq8/qULDTxd/IBtFqmKVqxaiG5ToBwcA2VUsQFyY3&#10;agGyyOX/F4ofUEsDBBQAAAAIAIdO4kD/hkg8xwEAAIUDAAAOAAAAZHJzL2Uyb0RvYy54bWytU82O&#10;0zAQviPxDpbvNOluu4Ko6QqolgsCpIUHcB27sRR7jMdt0heAN+DEhTvP1efYsZPtwnLZAxfH8/d5&#10;vm8mq+vBduygAhpwNZ/PSs6Uk9AYt6v5l883L15yhlG4RnTgVM2PCvn1+vmzVe8rdQEtdI0KjEAc&#10;Vr2veRujr4oCZauswBl45SioIVgRyQy7ogmiJ3TbFRdleVX0EBofQCpE8m7GIJ8Qw1MAQWsj1Qbk&#10;3ioXR9SgOhGJErbGI1/nbrVWMn7UGlVkXc2JacwnPUL3bTqL9UpUuyB8a+TUgnhKC484WWEcPXqG&#10;2ogo2D6Yf6CskQEQdJxJsMVIJCtCLOblI21uW+FV5kJSoz+Ljv8PVn44fArMNLQJc86csDTx04/v&#10;p5+/T7++MfKRQL3HivJuPWXG4Q0MlHzvR3Im3oMONn2JEaM4yXs8y6uGyCQ5ry6Xi8ViyZmk2Kv5&#10;srxcJpjiodoHjO8UWJYuNQ80vqyqOLzHOKbep6THHNyYrssj7NxfDsIcPSrvwFSdiIwNp1sctsPE&#10;bgvNkcj1tAc1x697ERRnIXZvIa/NCP16H0Gb3EYqH2uo/WTQdDKRaZPS+P+0c9bD37O+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bHQhrXAAAACgEAAA8AAAAAAAAAAQAgAAAAIgAAAGRycy9kb3du&#10;cmV2LnhtbFBLAQIUABQAAAAIAIdO4kD/hkg8xwEAAIUDAAAOAAAAAAAAAAEAIAAAACYBAABkcnMv&#10;ZTJvRG9jLnhtbFBLBQYAAAAABgAGAFkBAABfBQAAAAA=&#10;">
                <v:fill on="f" focussize="0,0"/>
                <v:stroke on="f"/>
                <v:imagedata o:title=""/>
                <o:lock v:ext="edit" aspectratio="f"/>
                <v:textbox>
                  <w:txbxContent>
                    <w:p>
                      <w:pPr>
                        <w:jc w:val="center"/>
                        <w:rPr>
                          <w:rFonts w:asciiTheme="minorEastAsia" w:hAnsiTheme="minorEastAsia" w:eastAsiaTheme="minorEastAsia" w:cstheme="minorEastAsia"/>
                          <w:b/>
                          <w:kern w:val="24"/>
                          <w:sz w:val="44"/>
                          <w:szCs w:val="44"/>
                        </w:rPr>
                      </w:pPr>
                      <w:r>
                        <w:rPr>
                          <w:rFonts w:hint="eastAsia" w:asciiTheme="minorEastAsia" w:hAnsiTheme="minorEastAsia" w:eastAsiaTheme="minorEastAsia" w:cstheme="minorEastAsia"/>
                          <w:b/>
                          <w:kern w:val="24"/>
                          <w:sz w:val="44"/>
                          <w:szCs w:val="44"/>
                        </w:rPr>
                        <w:t>江苏医药职业学院</w:t>
                      </w:r>
                    </w:p>
                    <w:p>
                      <w:pPr>
                        <w:jc w:val="center"/>
                        <w:rPr>
                          <w:rFonts w:asciiTheme="minorEastAsia" w:hAnsiTheme="minorEastAsia" w:eastAsiaTheme="minorEastAsia" w:cstheme="minorEastAsia"/>
                          <w:b/>
                          <w:kern w:val="24"/>
                          <w:sz w:val="44"/>
                          <w:szCs w:val="44"/>
                        </w:rPr>
                      </w:pPr>
                      <w:r>
                        <w:rPr>
                          <w:rFonts w:hint="eastAsia" w:asciiTheme="minorEastAsia" w:hAnsiTheme="minorEastAsia" w:eastAsiaTheme="minorEastAsia" w:cstheme="minorEastAsia"/>
                          <w:b/>
                          <w:kern w:val="24"/>
                          <w:sz w:val="44"/>
                          <w:szCs w:val="44"/>
                        </w:rPr>
                        <w:t>校内护理设备及新生儿复苏力反馈教学系统采购</w:t>
                      </w:r>
                    </w:p>
                  </w:txbxContent>
                </v:textbox>
              </v:shape>
            </w:pict>
          </mc:Fallback>
        </mc:AlternateContent>
      </w:r>
      <w:r>
        <w:rPr>
          <w:rFonts w:ascii="宋体" w:hAnsi="宋体" w:cs="宋体"/>
        </w:rPr>
        <mc:AlternateContent>
          <mc:Choice Requires="wps">
            <w:drawing>
              <wp:anchor distT="0" distB="0" distL="114300" distR="114300" simplePos="0" relativeHeight="251674624" behindDoc="0" locked="0" layoutInCell="1" allowOverlap="1">
                <wp:simplePos x="0" y="0"/>
                <wp:positionH relativeFrom="column">
                  <wp:posOffset>3300730</wp:posOffset>
                </wp:positionH>
                <wp:positionV relativeFrom="paragraph">
                  <wp:posOffset>5857875</wp:posOffset>
                </wp:positionV>
                <wp:extent cx="2752725" cy="2762250"/>
                <wp:effectExtent l="0" t="0" r="9525" b="0"/>
                <wp:wrapNone/>
                <wp:docPr id="41" name="椭圆 41"/>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gs>
                          </a:gsLst>
                          <a:lin ang="5400000" scaled="1"/>
                          <a:tileRect/>
                        </a:gradFill>
                        <a:ln>
                          <a:noFill/>
                        </a:ln>
                        <a:effectLst/>
                      </wps:spPr>
                      <wps:txbx>
                        <w:txbxContent>
                          <w:p/>
                        </w:txbxContent>
                      </wps:txbx>
                      <wps:bodyPr upright="1"/>
                    </wps:wsp>
                  </a:graphicData>
                </a:graphic>
              </wp:anchor>
            </w:drawing>
          </mc:Choice>
          <mc:Fallback>
            <w:pict>
              <v:shape id="_x0000_s1026" o:spid="_x0000_s1026" o:spt="3" type="#_x0000_t3" style="position:absolute;left:0pt;margin-left:259.9pt;margin-top:461.25pt;height:217.5pt;width:216.75pt;z-index:251674624;mso-width-relative:page;mso-height-relative:page;" fillcolor="#C00000" filled="t" stroked="f" coordsize="21600,21600" o:gfxdata="UEsDBAoAAAAAAIdO4kAAAAAAAAAAAAAAAAAEAAAAZHJzL1BLAwQUAAAACACHTuJA9NJTktkAAAAM&#10;AQAADwAAAGRycy9kb3ducmV2LnhtbE2Py07DMBBF90j8gzVI7KidRAaSxqkAKRISLKDQvRtP4wg/&#10;Ittpy99jVrAc3aN7z7SbszXkiCFO3gkoVgwIusGryY0CPj/6m3sgMUmnpPEOBXxjhE13edHKRvmT&#10;e8fjNo0kl7jYSAE6pbmhNA4arYwrP6PL2cEHK1M+w0hVkKdcbg0tGbulVk4uL2g545PG4Wu7WAFL&#10;73X/9sge8PmAMwtm9/oyFEJcXxVsDSThOf3B8Kuf1aHLTnu/OBWJEcCLOqsnAXVZciCZqHlVAdln&#10;tOJ3HGjX0v9PdD9QSwMEFAAAAAgAh07iQMOBqLMLAgAAMwQAAA4AAABkcnMvZTJvRG9jLnhtbK1T&#10;zY7TMBC+I/EOlu80bbTdRVHTPWxVLghWLIjz1HESS45tedw2fQGegiNXHgueg7Gd7ZblsgdycMbz&#10;/30zXt2Og2YH6VFZU/PFbM6ZNMI2ynQ1//J5++YtZxjANKCtkTU/SeS369evVkdXydL2VjfSM0pi&#10;sDq6mvchuKooUPRyAJxZJw0ZW+sHCHT1XdF4OFL2QRflfH5dHK1vnLdCIpJ2k418yuhfktC2rRJy&#10;Y8V+kCbkrF5qCAQJe+WQr1O3bStF+Ni2KAPTNSekIZ1UhORdPIv1CqrOg+uVmFqAl7TwDNMAylDR&#10;c6oNBGB7r/5JNSjhLdo2zIQdigwkMUIoFvNn3Dz04GTCQlSjO5OO/y+t+HC490w1Nb9acGZgoIn/&#10;/vHz1/dvjBTEztFhRU4P7t5PNyQxQh1bP8Q/gWBjYvR0ZlSOgQlSljfL8qZccibIVt5cl+UycV48&#10;hTuP4Z20A4tCzaXWNMCIGio4vMdAVcn70WviuNkqrZm34asKfaIplk5GpJgsMGeJqaxG3+3utGcH&#10;oEW4m8cvl9Cuh6x9bGxyTWU7vEy1eIr7K982fZEt6jSGpN/Uh1aGQXxby6sczlCAlsR44heqoLT8&#10;RIs6hXtI4GJdbeJpbASbrVkj02JP3MQB5ZFEKYy7kVyjuLPNiWa7d151PTGbyhXRQruUe8x7H5f1&#10;8k7y5V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00lOS2QAAAAwBAAAPAAAAAAAAAAEAIAAA&#10;ACIAAABkcnMvZG93bnJldi54bWxQSwECFAAUAAAACACHTuJAw4GoswsCAAAzBAAADgAAAAAAAAAB&#10;ACAAAAAoAQAAZHJzL2Uyb0RvYy54bWxQSwUGAAAAAAYABgBZAQAApQUAAAAA&#10;">
                <v:fill type="gradient" on="t" color2="#FFFFFF" opacity="0f" focus="100%" focussize="0,0"/>
                <v:stroke on="f"/>
                <v:imagedata o:title=""/>
                <o:lock v:ext="edit" aspectratio="f"/>
                <v:textbox>
                  <w:txbxContent>
                    <w:p/>
                  </w:txbxContent>
                </v:textbox>
              </v:shape>
            </w:pict>
          </mc:Fallback>
        </mc:AlternateContent>
      </w: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-938530</wp:posOffset>
                </wp:positionH>
                <wp:positionV relativeFrom="paragraph">
                  <wp:posOffset>4803140</wp:posOffset>
                </wp:positionV>
                <wp:extent cx="7013575" cy="3789680"/>
                <wp:effectExtent l="0" t="0" r="15875" b="1270"/>
                <wp:wrapNone/>
                <wp:docPr id="43" name="直角三角形 43"/>
                <wp:cNvGraphicFramePr/>
                <a:graphic xmlns:a="http://schemas.openxmlformats.org/drawingml/2006/main">
                  <a:graphicData uri="http://schemas.microsoft.com/office/word/2010/wordprocessingShape">
                    <wps:wsp>
                      <wps:cNvSpPr/>
                      <wps:spPr>
                        <a:xfrm flipH="1">
                          <a:off x="0" y="0"/>
                          <a:ext cx="7013575" cy="3789680"/>
                        </a:xfrm>
                        <a:prstGeom prst="rtTriangle">
                          <a:avLst/>
                        </a:prstGeom>
                        <a:gradFill rotWithShape="1">
                          <a:gsLst>
                            <a:gs pos="0">
                              <a:srgbClr val="012D86"/>
                            </a:gs>
                            <a:gs pos="100000">
                              <a:srgbClr val="FFFFFF"/>
                            </a:gs>
                          </a:gsLst>
                          <a:lin ang="5400000" scaled="1"/>
                          <a:tileRect/>
                        </a:gradFill>
                        <a:ln>
                          <a:noFill/>
                        </a:ln>
                        <a:effectLst/>
                      </wps:spPr>
                      <wps:txbx>
                        <w:txbxContent>
                          <w:p/>
                        </w:txbxContent>
                      </wps:txbx>
                      <wps:bodyPr upright="1"/>
                    </wps:wsp>
                  </a:graphicData>
                </a:graphic>
              </wp:anchor>
            </w:drawing>
          </mc:Choice>
          <mc:Fallback>
            <w:pict>
              <v:shape id="_x0000_s1026" o:spid="_x0000_s1026" o:spt="6" type="#_x0000_t6" style="position:absolute;left:0pt;flip:x;margin-left:-73.9pt;margin-top:378.2pt;height:298.4pt;width:552.25pt;z-index:251661312;mso-width-relative:page;mso-height-relative:page;" fillcolor="#012D86" filled="t" stroked="f" coordsize="21600,21600" o:gfxdata="UEsDBAoAAAAAAIdO4kAAAAAAAAAAAAAAAAAEAAAAZHJzL1BLAwQUAAAACACHTuJAE9U8ddwAAAAN&#10;AQAADwAAAGRycy9kb3ducmV2LnhtbE2Py07DMBBF90j8gzVIbFBrp3m1IU4XlQCxJKlYO/E0CY3t&#10;yHbT8veYFSxH9+jeM+X+piayoHWj0RyiNQOCujNy1D2HY/Oy2gJxXmgpJqORwzc62Ff3d6UopLnq&#10;D1xq35NQol0hOAzezwWlrhtQCbc2M+qQnYxVwofT9lRacQ3laqIbxjKqxKjDwiBmPAzYneuL4vBV&#10;L0sTt59v76/bhtX2OJ6TpwPnjw8Rewbi8eb/YPjVD+pQBafWXLR0ZOKwipI8uHsOeZolQAKyS7Mc&#10;SBvYOI03QKuS/v+i+gFQSwMEFAAAAAgAh07iQLGSGZQfAgAALAQAAA4AAABkcnMvZTJvRG9jLnht&#10;bK1TvW7bMBDeC/QdCO61JDv+qWA5Qw23Q9EGTYrONEVJBCiSONK2/Ahdu3br0hfI0KVv06J5jBwp&#10;xTCSJUM1EEfe3Xf3fXdaXnatInsBThpd0GyUUiI0N6XUdUE/32xeLShxnumSKaNFQY/C0cvVyxfL&#10;g83F2DRGlQIIgmiXH2xBG+9tniSON6JlbmSs0OisDLTM4xXqpAR2QPRWJeM0nSUHA6UFw4Vz+Lru&#10;nXRAhOcAmqqSXKwN37VC+x4VhGIeKblGWkdXsduqEtx/rConPFEFRaY+nlgE7W04k9WS5TUw20g+&#10;tMCe08IjTi2TGoueoNbMM7ID+QSqlRyMM5UfcdMmPZGoCLLI0kfaXDfMisgFpXb2JLr7f7D8w/4K&#10;iCwLejGhRLMWJ/7v++3dz29/fn3F8+/vHwQ9KNPBuhyjr+0VDDeHZuDcVdCSSkn7DvcpqoC8SBdF&#10;Pp5EFp0nHB/naTaZzqeUcPRN5ovXs0UcQ9IDBUALzr8VpiXBKCj4G5BM1ypowXK2f+88toAJD4GD&#10;8uVGKkXA+C/SN1G8h4ZqhzkxyhFrUL80Qjmot28UkD0L65GN14tZoIrItTuPztLwPU3ZxO8sJWYO&#10;pZTUBLsu6PSiTyeOMyVQ6ixksNxLJT7hhg4VgcX+g0fpcGoT+PTe/kXEjR7oh4H0IwiW77YdhgZz&#10;a8ojDnVnQdYN6hfLJcGDS9Sz6xc+bOn5He3zn3x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PV&#10;PHXcAAAADQEAAA8AAAAAAAAAAQAgAAAAIgAAAGRycy9kb3ducmV2LnhtbFBLAQIUABQAAAAIAIdO&#10;4kCxkhmUHwIAACwEAAAOAAAAAAAAAAEAIAAAACsBAABkcnMvZTJvRG9jLnhtbFBLBQYAAAAABgAG&#10;AFkBAAC8BQAAAAA=&#10;">
                <v:fill type="gradient" on="t" color2="#FFFFFF" focus="100%" focussize="0,0" rotate="t"/>
                <v:stroke on="f"/>
                <v:imagedata o:title=""/>
                <o:lock v:ext="edit" aspectratio="f"/>
                <v:textbox>
                  <w:txbxContent>
                    <w:p/>
                  </w:txbxContent>
                </v:textbox>
              </v:shape>
            </w:pict>
          </mc:Fallback>
        </mc:AlternateContent>
      </w:r>
      <w:r>
        <w:rPr>
          <w:rFonts w:ascii="宋体" w:hAnsi="宋体" w:cs="宋体"/>
        </w:rPr>
        <mc:AlternateContent>
          <mc:Choice Requires="wps">
            <w:drawing>
              <wp:anchor distT="0" distB="0" distL="114300" distR="114300" simplePos="0" relativeHeight="251671552" behindDoc="0" locked="0" layoutInCell="1" allowOverlap="1">
                <wp:simplePos x="0" y="0"/>
                <wp:positionH relativeFrom="column">
                  <wp:posOffset>1809750</wp:posOffset>
                </wp:positionH>
                <wp:positionV relativeFrom="paragraph">
                  <wp:posOffset>5163820</wp:posOffset>
                </wp:positionV>
                <wp:extent cx="3400425" cy="342900"/>
                <wp:effectExtent l="0" t="0" r="0" b="0"/>
                <wp:wrapNone/>
                <wp:docPr id="67" name="文本框 67"/>
                <wp:cNvGraphicFramePr/>
                <a:graphic xmlns:a="http://schemas.openxmlformats.org/drawingml/2006/main">
                  <a:graphicData uri="http://schemas.microsoft.com/office/word/2010/wordprocessingShape">
                    <wps:wsp>
                      <wps:cNvSpPr txBox="1"/>
                      <wps:spPr>
                        <a:xfrm flipH="1">
                          <a:off x="0" y="0"/>
                          <a:ext cx="3400425" cy="342900"/>
                        </a:xfrm>
                        <a:prstGeom prst="rect">
                          <a:avLst/>
                        </a:prstGeom>
                        <a:noFill/>
                        <a:ln>
                          <a:noFill/>
                        </a:ln>
                        <a:effectLst/>
                      </wps:spPr>
                      <wps:txbx>
                        <w:txbxContent>
                          <w:p>
                            <w:pPr>
                              <w:pStyle w:val="24"/>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wps:txbx>
                      <wps:bodyPr wrap="square" rtlCol="0">
                        <a:noAutofit/>
                      </wps:bodyPr>
                    </wps:wsp>
                  </a:graphicData>
                </a:graphic>
              </wp:anchor>
            </w:drawing>
          </mc:Choice>
          <mc:Fallback>
            <w:pict>
              <v:shape id="_x0000_s1026" o:spid="_x0000_s1026" o:spt="202" type="#_x0000_t202" style="position:absolute;left:0pt;flip:x;margin-left:142.5pt;margin-top:406.6pt;height:27pt;width:267.75pt;z-index:251671552;mso-width-relative:page;mso-height-relative:page;" filled="f" stroked="f" coordsize="21600,21600" o:gfxdata="UEsDBAoAAAAAAIdO4kAAAAAAAAAAAAAAAAAEAAAAZHJzL1BLAwQUAAAACACHTuJAgTEbvNsAAAAL&#10;AQAADwAAAGRycy9kb3ducmV2LnhtbE2PzU7DMBCE70i8g7VI3KgdQ9ooxOkBCYlDQDQglaMbu3HU&#10;eB3F7g9vz3KC26xmNPtNtb74kZ3sHIeACrKFAGaxC2bAXsHnx/NdASwmjUaPAa2CbxthXV9fVbo0&#10;4Ywbe2pTz6gEY6kVuJSmkvPYOet1XITJInn7MHud6Jx7bmZ9pnI/cinEkns9IH1werJPznaH9ugV&#10;mGa7zVeHqdm4r4f9y/hmmvb9Vanbm0w8Akv2kv7C8ItP6FAT0y4c0UQ2KpBFTluSgiK7l8AoUUiR&#10;A9uRWK4k8Lri/zfUP1BLAwQUAAAACACHTuJAS2SkEdABAACPAwAADgAAAGRycy9lMm9Eb2MueG1s&#10;rVPBbhMxEL0j8Q+W72S3aSglyqYCosIBAVLLBzjecdaS7TG2k938APwBJy698135DsbeNEC59MBl&#10;Zb958zxvZnZxNVjDdhCiRtfws0nNGTiJrXabhn++vX52yVlMwrXCoIOG7yHyq+XTJ4vez2GKHZoW&#10;AiMRF+e9b3iXkp9XVZQdWBEn6MFRUGGwItE1bKo2iJ7UrammdX1R9RhaH1BCjISuxiA/KobHCKJS&#10;WsIK5daCS6NqACMSWYqd9pEvS7VKgUwflYqQmGk4OU3lS4/QeZ2/1XIh5psgfKflsQTxmBIeeLJC&#10;O3r0JLUSSbBt0P9IWS0DRlRpItFWo5HSEXJxVj/ozU0nPBQv1OroT02P/09Wfth9Cky3Db94wZkT&#10;liZ++P7t8OPn4e4rI4wa1Ps4J96NJ2YaXuNAa3OPRwKz70EFy5TR/l0OZoS8MWJSo/enRsOQmCTw&#10;fFbXs+lzziTFzmfTl3WZRDXq5GwfYnoLaFk+NDzQIIuq2L2PiWoi6j0l0x1ea2PKMI37CyDiiEDZ&#10;hmN2tjSWnk9pWA9Hn2ts92Szp41oePyyFQE4C8m8wbJAo/SrbUKlSxk5fcyhmvKF5lSqO+5UXoQ/&#10;74X1+z9a/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BMRu82wAAAAsBAAAPAAAAAAAAAAEAIAAA&#10;ACIAAABkcnMvZG93bnJldi54bWxQSwECFAAUAAAACACHTuJAS2SkEdABAACPAwAADgAAAAAAAAAB&#10;ACAAAAAqAQAAZHJzL2Uyb0RvYy54bWxQSwUGAAAAAAYABgBZAQAAbAUAAAAA&#10;">
                <v:fill on="f" focussize="0,0"/>
                <v:stroke on="f"/>
                <v:imagedata o:title=""/>
                <o:lock v:ext="edit" aspectratio="f"/>
                <v:textbox>
                  <w:txbxContent>
                    <w:p>
                      <w:pPr>
                        <w:pStyle w:val="24"/>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v:textbox>
              </v:shape>
            </w:pict>
          </mc:Fallback>
        </mc:AlternateContent>
      </w:r>
      <w:r>
        <w:rPr>
          <w:rFonts w:ascii="宋体" w:hAnsi="宋体" w:cs="宋体"/>
        </w:rPr>
        <mc:AlternateContent>
          <mc:Choice Requires="wps">
            <w:drawing>
              <wp:anchor distT="0" distB="0" distL="114300" distR="114300" simplePos="0" relativeHeight="251670528" behindDoc="0" locked="0" layoutInCell="1" allowOverlap="1">
                <wp:simplePos x="0" y="0"/>
                <wp:positionH relativeFrom="column">
                  <wp:posOffset>1870075</wp:posOffset>
                </wp:positionH>
                <wp:positionV relativeFrom="paragraph">
                  <wp:posOffset>4739005</wp:posOffset>
                </wp:positionV>
                <wp:extent cx="2149475" cy="362585"/>
                <wp:effectExtent l="0" t="0" r="0" b="0"/>
                <wp:wrapNone/>
                <wp:docPr id="66" name="文本框 66"/>
                <wp:cNvGraphicFramePr/>
                <a:graphic xmlns:a="http://schemas.openxmlformats.org/drawingml/2006/main">
                  <a:graphicData uri="http://schemas.microsoft.com/office/word/2010/wordprocessingShape">
                    <wps:wsp>
                      <wps:cNvSpPr txBox="1"/>
                      <wps:spPr>
                        <a:xfrm flipH="1">
                          <a:off x="0" y="0"/>
                          <a:ext cx="2150076" cy="362585"/>
                        </a:xfrm>
                        <a:prstGeom prst="rect">
                          <a:avLst/>
                        </a:prstGeom>
                        <a:noFill/>
                        <a:ln>
                          <a:noFill/>
                        </a:ln>
                        <a:effectLst/>
                      </wps:spPr>
                      <wps:txb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wps:txbx>
                      <wps:bodyPr wrap="square" rtlCol="0">
                        <a:noAutofit/>
                      </wps:bodyPr>
                    </wps:wsp>
                  </a:graphicData>
                </a:graphic>
              </wp:anchor>
            </w:drawing>
          </mc:Choice>
          <mc:Fallback>
            <w:pict>
              <v:shape id="_x0000_s1026" o:spid="_x0000_s1026" o:spt="202" type="#_x0000_t202" style="position:absolute;left:0pt;flip:x;margin-left:147.25pt;margin-top:373.15pt;height:28.55pt;width:169.25pt;z-index:251670528;mso-width-relative:page;mso-height-relative:page;" filled="f" stroked="f" coordsize="21600,21600" o:gfxdata="UEsDBAoAAAAAAIdO4kAAAAAAAAAAAAAAAAAEAAAAZHJzL1BLAwQUAAAACACHTuJAGzN+INwAAAAL&#10;AQAADwAAAGRycy9kb3ducmV2LnhtbE2Py07DMBBF90j8gzVI7KjTJk3bNJMukJBYBNQGpLJ0YzeO&#10;ao+j2H3w95gVLEdzdO+55eZmDbuo0feOEKaTBJii1smeOoTPj5enJTAfBElhHCmEb+VhU93flaKQ&#10;7ko7dWlCx2II+UIg6BCGgnPfamWFn7hBUfwd3WhFiOfYcTmKawy3hs+SJOdW9BQbtBjUs1btqTlb&#10;BFnv9/PFaah3+is7vpp3WTfbN8THh2myBhbULfzB8Ksf1aGKTgd3JumZQZitsnlEERZZngKLRJ6m&#10;cd0BYZmkGfCq5P83VD9QSwMEFAAAAAgAh07iQLzXyZ/NAQAAjwMAAA4AAABkcnMvZTJvRG9jLnht&#10;bK1TwY7TMBC9I/EPlu80aVHLKmq6AqqFAwKkhQ9wHbuxZHuM7TbpD8AfcOLCne/qd+zYzhZYLnvg&#10;EtlvZp7nvZmsr0ejyVH4oMC2dD6rKRGWQ6fsvqWfP908u6IkRGY7psGKlp5EoNebp0/Wg2vEAnrQ&#10;nfAESWxoBtfSPkbXVFXgvTAszMAJi0EJ3rCIV7+vOs8GZDe6WtT1qhrAd84DFyEgui1BOjH6xxCC&#10;lIqLLfCDETYWVi80iygp9MoFusndSil4/CBlEJHolqLSmL/4CJ536Vtt1qzZe+Z6xacW2GNaeKDJ&#10;MGXx0QvVlkVGDl79Q2UU9xBAxhkHUxUh2RFUMa8feHPbMyeyFrQ6uIvp4f/R8vfHj56orqWrFSWW&#10;GZz4+fu3849f559fCWJo0OBCg3m3DjPj+ApGXJt7PCCYdI/SGyK1cm9TMCGojWAmGn26GC3GSDiC&#10;i/myrl/ggxxjz1eL5dUyEVaFJ1U7H+IbAYakQ0s9DjKzsuO7EEvqfUpKt3CjtM7D1PYvADkLIvI2&#10;TNVJUmk9neK4GyedO+hOKHPAjWhp+HJgXlDio34NeYEK9ctDBKlyG6m81GD76YJzykKmnUqL8Oc9&#10;Z/3+jzZ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zN+INwAAAALAQAADwAAAAAAAAABACAAAAAi&#10;AAAAZHJzL2Rvd25yZXYueG1sUEsBAhQAFAAAAAgAh07iQLzXyZ/NAQAAjwMAAA4AAAAAAAAAAQAg&#10;AAAAKwEAAGRycy9lMm9Eb2MueG1sUEsFBgAAAAAGAAYAWQEAAGoFAAAAAA==&#10;">
                <v:fill on="f" focussize="0,0"/>
                <v:stroke on="f"/>
                <v:imagedata o:title=""/>
                <o:lock v:ext="edit" aspectratio="f"/>
                <v:textbo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v:textbox>
              </v:shape>
            </w:pict>
          </mc:Fallback>
        </mc:AlternateContent>
      </w:r>
      <w:r>
        <w:rPr>
          <w:rFonts w:ascii="宋体" w:hAnsi="宋体" w:cs="宋体"/>
        </w:rPr>
        <mc:AlternateContent>
          <mc:Choice Requires="wps">
            <w:drawing>
              <wp:anchor distT="0" distB="0" distL="114300" distR="114300" simplePos="0" relativeHeight="251669504" behindDoc="0" locked="0" layoutInCell="1" allowOverlap="1">
                <wp:simplePos x="0" y="0"/>
                <wp:positionH relativeFrom="column">
                  <wp:posOffset>1834515</wp:posOffset>
                </wp:positionH>
                <wp:positionV relativeFrom="paragraph">
                  <wp:posOffset>3483610</wp:posOffset>
                </wp:positionV>
                <wp:extent cx="2657475" cy="383540"/>
                <wp:effectExtent l="0" t="0" r="0" b="0"/>
                <wp:wrapNone/>
                <wp:docPr id="65" name="文本框 65"/>
                <wp:cNvGraphicFramePr/>
                <a:graphic xmlns:a="http://schemas.openxmlformats.org/drawingml/2006/main">
                  <a:graphicData uri="http://schemas.microsoft.com/office/word/2010/wordprocessingShape">
                    <wps:wsp>
                      <wps:cNvSpPr txBox="1"/>
                      <wps:spPr>
                        <a:xfrm flipH="1">
                          <a:off x="0" y="0"/>
                          <a:ext cx="2657475" cy="383540"/>
                        </a:xfrm>
                        <a:prstGeom prst="rect">
                          <a:avLst/>
                        </a:prstGeom>
                        <a:noFill/>
                        <a:ln>
                          <a:noFill/>
                        </a:ln>
                        <a:effectLst/>
                      </wps:spPr>
                      <wps:txbx>
                        <w:txbxContent>
                          <w:p>
                            <w:pPr>
                              <w:rPr>
                                <w:rFonts w:hint="eastAsia" w:ascii="黑体" w:hAnsi="黑体" w:eastAsia="黑体" w:cs="黑体"/>
                                <w:kern w:val="24"/>
                                <w:sz w:val="32"/>
                                <w:szCs w:val="32"/>
                              </w:rPr>
                            </w:pPr>
                            <w:r>
                              <w:rPr>
                                <w:rFonts w:hint="eastAsia" w:ascii="黑体" w:hAnsi="黑体" w:eastAsia="黑体" w:cs="黑体"/>
                                <w:kern w:val="24"/>
                                <w:sz w:val="32"/>
                                <w:szCs w:val="32"/>
                              </w:rPr>
                              <w:t xml:space="preserve">SY2023-046-HW-JC </w:t>
                            </w:r>
                          </w:p>
                        </w:txbxContent>
                      </wps:txbx>
                      <wps:bodyPr wrap="square" rtlCol="0">
                        <a:noAutofit/>
                      </wps:bodyPr>
                    </wps:wsp>
                  </a:graphicData>
                </a:graphic>
              </wp:anchor>
            </w:drawing>
          </mc:Choice>
          <mc:Fallback>
            <w:pict>
              <v:shape id="_x0000_s1026" o:spid="_x0000_s1026" o:spt="202" type="#_x0000_t202" style="position:absolute;left:0pt;flip:x;margin-left:144.45pt;margin-top:274.3pt;height:30.2pt;width:209.25pt;z-index:251669504;mso-width-relative:page;mso-height-relative:page;" filled="f" stroked="f" coordsize="21600,21600" o:gfxdata="UEsDBAoAAAAAAIdO4kAAAAAAAAAAAAAAAAAEAAAAZHJzL1BLAwQUAAAACACHTuJAqAhT29wAAAAL&#10;AQAADwAAAGRycy9kb3ducmV2LnhtbE2Py07DMBBF95X4B2uQ2LV2qzRJQyZdICGxCIgGpLJ042kc&#10;Nbaj2H3w95gVLEf36N4z5fZmBnahyffOIiwXAhjZ1qnedgifH8/zHJgP0io5OEsI3+RhW93NSlko&#10;d7U7ujShY7HE+kIi6BDGgnPfajLSL9xINmZHNxkZ4jl1XE3yGsvNwFdCpNzI3sYFLUd60tSemrNB&#10;UPV+v85OY73TX8nxZXhTdfP+ivhwvxSPwALdwh8Mv/pRHarodHBnqzwbEFZ5vokowjrJU2CRyESW&#10;ADsgpGIjgFcl//9D9QNQSwMEFAAAAAgAh07iQPhRD7rQAQAAjwMAAA4AAABkcnMvZTJvRG9jLnht&#10;bK1TwW4TMRC9I/EPlu9k07RJqyibCogKBwRIhQ9wvOOsJdtjbCe7+QH4A05cuPe78h2MvWlayqUH&#10;Liv7zczzezOzi+veGraDEDW6mp+NxpyBk9hot6n51y83r644i0m4Rhh0UPM9RH69fPli0fk5TLBF&#10;00BgROLivPM1b1Py86qKsgUr4gg9OAoqDFYkuoZN1QTREbs11WQ8nlUdhsYHlBAjoashyI+M4TmE&#10;qJSWsEK5teDSwBrAiESWYqt95MuiVimQ6ZNSERIzNSenqXzpETqv87daLsR8E4RvtTxKEM+R8MST&#10;FdrRoyeqlUiCbYP+h8pqGTCiSiOJthqMlI6Qi7Pxk97ctsJD8UKtjv7U9Pj/aOXH3efAdFPz2ZQz&#10;JyxN/PDzx+HX3eH3d0YYNajzcU55t54yU/8Ge1qbezwSmH33KlimjPbvczAj5I1RJjV6f2o09IlJ&#10;Aiez6eXFJT0oKXZ+dT69KJOoBp5c7UNM7wAty4eaBxpkYRW7DzGRJkq9T8npDm+0MWWYxv0FUOKA&#10;QNmGY3W2NEjPp9Sv+6PPNTZ7stnRRtQ8ftuKAJyFZN5iWaCB+vU2odJFRi4fakhTvtCcirrjTuVF&#10;eHwvWQ//0f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hT29wAAAALAQAADwAAAAAAAAABACAA&#10;AAAiAAAAZHJzL2Rvd25yZXYueG1sUEsBAhQAFAAAAAgAh07iQPhRD7rQAQAAjwMAAA4AAAAAAAAA&#10;AQAgAAAAKwEAAGRycy9lMm9Eb2MueG1sUEsFBgAAAAAGAAYAWQEAAG0FAAAAAA==&#10;">
                <v:fill on="f" focussize="0,0"/>
                <v:stroke on="f"/>
                <v:imagedata o:title=""/>
                <o:lock v:ext="edit" aspectratio="f"/>
                <v:textbox>
                  <w:txbxContent>
                    <w:p>
                      <w:pPr>
                        <w:rPr>
                          <w:rFonts w:hint="eastAsia" w:ascii="黑体" w:hAnsi="黑体" w:eastAsia="黑体" w:cs="黑体"/>
                          <w:kern w:val="24"/>
                          <w:sz w:val="32"/>
                          <w:szCs w:val="32"/>
                        </w:rPr>
                      </w:pPr>
                      <w:r>
                        <w:rPr>
                          <w:rFonts w:hint="eastAsia" w:ascii="黑体" w:hAnsi="黑体" w:eastAsia="黑体" w:cs="黑体"/>
                          <w:kern w:val="24"/>
                          <w:sz w:val="32"/>
                          <w:szCs w:val="32"/>
                        </w:rPr>
                        <w:t xml:space="preserve">SY2023-046-HW-JC </w:t>
                      </w:r>
                    </w:p>
                  </w:txbxContent>
                </v:textbox>
              </v:shape>
            </w:pict>
          </mc:Fallback>
        </mc:AlternateContent>
      </w: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1866900</wp:posOffset>
                </wp:positionH>
                <wp:positionV relativeFrom="paragraph">
                  <wp:posOffset>5528945</wp:posOffset>
                </wp:positionV>
                <wp:extent cx="2423795" cy="401955"/>
                <wp:effectExtent l="0" t="0" r="0" b="0"/>
                <wp:wrapNone/>
                <wp:docPr id="6" name="文本框 6"/>
                <wp:cNvGraphicFramePr/>
                <a:graphic xmlns:a="http://schemas.openxmlformats.org/drawingml/2006/main">
                  <a:graphicData uri="http://schemas.microsoft.com/office/word/2010/wordprocessingShape">
                    <wps:wsp>
                      <wps:cNvSpPr txBox="1"/>
                      <wps:spPr>
                        <a:xfrm>
                          <a:off x="1923415" y="6977380"/>
                          <a:ext cx="2423795" cy="401955"/>
                        </a:xfrm>
                        <a:prstGeom prst="rect">
                          <a:avLst/>
                        </a:prstGeom>
                        <a:noFill/>
                        <a:ln w="6350">
                          <a:noFill/>
                        </a:ln>
                        <a:effectLst/>
                      </wps:spPr>
                      <wps:txbx>
                        <w:txbxContent>
                          <w:p>
                            <w:pPr>
                              <w:rPr>
                                <w:rFonts w:ascii="黑体" w:hAnsi="黑体" w:eastAsia="黑体" w:cs="黑体"/>
                                <w:sz w:val="32"/>
                                <w:szCs w:val="32"/>
                              </w:rPr>
                            </w:pPr>
                            <w:r>
                              <w:rPr>
                                <w:rFonts w:hint="eastAsia" w:ascii="黑体" w:hAnsi="黑体" w:eastAsia="黑体" w:cs="黑体"/>
                                <w:sz w:val="32"/>
                                <w:szCs w:val="32"/>
                              </w:rPr>
                              <w:t>2023年7月</w:t>
                            </w:r>
                            <w:r>
                              <w:rPr>
                                <w:rFonts w:hint="eastAsia" w:ascii="黑体" w:hAnsi="黑体" w:eastAsia="黑体" w:cs="黑体"/>
                                <w:sz w:val="32"/>
                                <w:szCs w:val="32"/>
                                <w:lang w:val="en-US" w:eastAsia="zh-CN"/>
                              </w:rPr>
                              <w:t>13</w:t>
                            </w:r>
                            <w:r>
                              <w:rPr>
                                <w:rFonts w:hint="eastAsia" w:ascii="黑体" w:hAnsi="黑体" w:eastAsia="黑体" w:cs="黑体"/>
                                <w:sz w:val="32"/>
                                <w:szCs w:val="32"/>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pt;margin-top:435.35pt;height:31.65pt;width:190.85pt;z-index:251662336;mso-width-relative:page;mso-height-relative:page;" filled="f" stroked="f" coordsize="21600,21600" o:gfxdata="UEsDBAoAAAAAAIdO4kAAAAAAAAAAAAAAAAAEAAAAZHJzL1BLAwQUAAAACACHTuJAZ+9YXdwAAAAL&#10;AQAADwAAAGRycy9kb3ducmV2LnhtbE2PS0/DMBCE70j8B2uRuFG7gTZpGqdCkSokRA8tvXDbxG4S&#10;1Y8Quw/49SwnuO1oRrPfFKurNeysx9B7J2E6EcC0a7zqXSth/75+yICFiE6h8U5L+NIBVuXtTYG5&#10;8he31eddbBmVuJCjhC7GIec8NJ22GCZ+0I68gx8tRpJjy9WIFyq3hidCzLnF3tGHDgdddbo57k5W&#10;wmu13uC2Tmz2baqXt8Pz8Ln/mEl5fzcVS2BRX+NfGH7xCR1KYqr9yanAjIRk8URbooQsFSkwSszT&#10;GR21hMUjWbws+P8N5Q9QSwMEFAAAAAgAh07iQBc5XeJLAgAAgAQAAA4AAABkcnMvZTJvRG9jLnht&#10;bK1UzY7TMBC+I/EOlu80/e+2aroqWxUhrdiVCuLsOk4TyfYY221SHgDegBMX7jxXn4Oxk3arhcMe&#10;uLgznq/f+JufzG9rJclBWFeCTmmv06VEaA5ZqXcp/fRx/eaGEueZzpgELVJ6FI7eLl6/mldmJvpQ&#10;gMyEJUii3awyKS28N7MkcbwQirkOGKExmINVzKNrd0lmWYXsSib9bnecVGAzY4EL5/B21QRpy2hf&#10;Qgh5XnKxAr5XQvuG1QrJPEpyRWkcXcTX5rng/iHPnfBEphSV+nhiErS34UwWczbbWWaKkrdPYC95&#10;wjNNipUak16oVswzsrflX1Sq5BYc5L7DQSWNkFgRVNHrPqvNpmBGRC1YamcuRXf/j5Z/ODxaUmYp&#10;HVOimcKGn358P/38ffr1jYxDeSrjZojaGMT5+i3UODTne4eXQXWdWxV+UQ8J8Wl/MOyNKDki7XQy&#10;Gdy0hRa1JxwB/WF/MJkigCNi2O1NR6NAmTwxGev8OwGKBCOlFhsZ68sO98430DMkJNawLqWMzZSa&#10;VJh2MOrGP1wiSC51wIo4Fi1NUNeoCJavt3UreQvZERVbaEbGGb4u8Sn3zPlHZnFGcIJwi/wDHrkE&#10;TAmtRUkB9uu/7gMeW4dRSiqcuZS6L3tmBSXyvcamTnvDYRjS6AxHkz469jqyvY7ovboDHOse7qvh&#10;0Qx4L89mbkF9xmVbhqwYYppj7pT6s3nnm03AZeViuYwgHEvD/L3eGB6om+Iu9x7yMtY9lKmpDfYr&#10;ODiYsXPtEoXJv/Yj6unDsfg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Z+9YXdwAAAALAQAADwAA&#10;AAAAAAABACAAAAAiAAAAZHJzL2Rvd25yZXYueG1sUEsBAhQAFAAAAAgAh07iQBc5XeJLAgAAgAQA&#10;AA4AAAAAAAAAAQAgAAAAKwEAAGRycy9lMm9Eb2MueG1sUEsFBgAAAAAGAAYAWQEAAOgFAAAAAA==&#10;">
                <v:fill on="f" focussize="0,0"/>
                <v:stroke on="f" weight="0.5pt"/>
                <v:imagedata o:title=""/>
                <o:lock v:ext="edit" aspectratio="f"/>
                <v:textbox>
                  <w:txbxContent>
                    <w:p>
                      <w:pPr>
                        <w:rPr>
                          <w:rFonts w:ascii="黑体" w:hAnsi="黑体" w:eastAsia="黑体" w:cs="黑体"/>
                          <w:sz w:val="32"/>
                          <w:szCs w:val="32"/>
                        </w:rPr>
                      </w:pPr>
                      <w:r>
                        <w:rPr>
                          <w:rFonts w:hint="eastAsia" w:ascii="黑体" w:hAnsi="黑体" w:eastAsia="黑体" w:cs="黑体"/>
                          <w:sz w:val="32"/>
                          <w:szCs w:val="32"/>
                        </w:rPr>
                        <w:t>2023年7月</w:t>
                      </w:r>
                      <w:r>
                        <w:rPr>
                          <w:rFonts w:hint="eastAsia" w:ascii="黑体" w:hAnsi="黑体" w:eastAsia="黑体" w:cs="黑体"/>
                          <w:sz w:val="32"/>
                          <w:szCs w:val="32"/>
                          <w:lang w:val="en-US" w:eastAsia="zh-CN"/>
                        </w:rPr>
                        <w:t>13</w:t>
                      </w:r>
                      <w:r>
                        <w:rPr>
                          <w:rFonts w:hint="eastAsia" w:ascii="黑体" w:hAnsi="黑体" w:eastAsia="黑体" w:cs="黑体"/>
                          <w:sz w:val="32"/>
                          <w:szCs w:val="32"/>
                        </w:rPr>
                        <w:t>日</w:t>
                      </w:r>
                    </w:p>
                  </w:txbxContent>
                </v:textbox>
              </v:shape>
            </w:pict>
          </mc:Fallback>
        </mc:AlternateContent>
      </w:r>
      <w:r>
        <w:rPr>
          <w:rFonts w:ascii="宋体" w:hAnsi="宋体" w:cs="宋体"/>
        </w:rPr>
        <mc:AlternateContent>
          <mc:Choice Requires="wps">
            <w:drawing>
              <wp:anchor distT="0" distB="0" distL="114300" distR="114300" simplePos="0" relativeHeight="251667456" behindDoc="0" locked="0" layoutInCell="1" allowOverlap="1">
                <wp:simplePos x="0" y="0"/>
                <wp:positionH relativeFrom="column">
                  <wp:posOffset>962025</wp:posOffset>
                </wp:positionH>
                <wp:positionV relativeFrom="paragraph">
                  <wp:posOffset>5515610</wp:posOffset>
                </wp:positionV>
                <wp:extent cx="923925" cy="45402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23925" cy="454025"/>
                        </a:xfrm>
                        <a:prstGeom prst="rect">
                          <a:avLst/>
                        </a:prstGeom>
                        <a:noFill/>
                        <a:ln>
                          <a:noFill/>
                        </a:ln>
                        <a:effectLst/>
                      </wps:spPr>
                      <wps:txbx>
                        <w:txbxContent>
                          <w:p>
                            <w:pPr>
                              <w:pStyle w:val="24"/>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wps:txbx>
                      <wps:bodyPr wrap="square" rtlCol="0">
                        <a:noAutofit/>
                      </wps:bodyPr>
                    </wps:wsp>
                  </a:graphicData>
                </a:graphic>
              </wp:anchor>
            </w:drawing>
          </mc:Choice>
          <mc:Fallback>
            <w:pict>
              <v:shape id="_x0000_s1026" o:spid="_x0000_s1026" o:spt="202" type="#_x0000_t202" style="position:absolute;left:0pt;margin-left:75.75pt;margin-top:434.3pt;height:35.75pt;width:72.75pt;z-index:251667456;mso-width-relative:page;mso-height-relative:page;" filled="f" stroked="f" coordsize="21600,21600" o:gfxdata="UEsDBAoAAAAAAIdO4kAAAAAAAAAAAAAAAAAEAAAAZHJzL1BLAwQUAAAACACHTuJAGY02xNgAAAAL&#10;AQAADwAAAGRycy9kb3ducmV2LnhtbE2Py07DMBBF90j8gzVI7KidqglJiNMFiG0R5SGxc+NpEhGP&#10;o9ht0r9nWMHyao7unFttFzeIM06h96QhWSkQSI23PbUa3t+e73IQIRqyZvCEGi4YYFtfX1WmtH6m&#10;VzzvYyu4hEJpNHQxjqWUoenQmbDyIxLfjn5yJnKcWmknM3O5G+RaqUw60xN/6MyIjx023/uT0/Cx&#10;O359btRL++TScfaLkuQKqfXtTaIeQERc4h8Mv/qsDjU7HfyJbBAD5zRJGdWQZ3kGgol1cc/rDhqK&#10;jUpA1pX8v6H+AVBLAwQUAAAACACHTuJA5kKQ9MYBAACEAwAADgAAAGRycy9lMm9Eb2MueG1srVPN&#10;jtMwEL4j8Q6W7zRp2EVs1HQFVMsFAdLCA7iO3ViyPcbjNukLwBtw4sKd5+pzMHGyXVgue+DijOfn&#10;83zfTFbXg7PsoCIa8A1fLkrOlJfQGr9r+OdPN89ecoZJ+FZY8KrhR4X8ev30yaoPtaqgA9uqyAjE&#10;Y92HhncphbooUHbKCVxAUJ6CGqITia5xV7RR9ITubFGV5Yuih9iGCFIhknczBfmMGB8DCFobqTYg&#10;9075NKFGZUUiStiZgHydu9VayfRBa1SJ2YYT05RPeoTs7XgW65Wod1GEzsi5BfGYFh5wcsJ4evQM&#10;tRFJsH00/0A5IyMg6LSQ4IqJSFaEWCzLB9rcdiKozIWkxnAWHf8frHx/+BiZaRteLTnzwtHET9+/&#10;nX78Ov38yshHAvUBa8q7DZSZhtcw0Nrc+ZGcI+9BRzd+iRGjOMl7PMurhsQkOa+q51fVJWeSQheX&#10;FyXZhF7cF4eI6a0Cx0aj4ZGml0UVh3eYptS7lPEtDzfG2jxB6/9yEObkUXkF5uqRx9TvaKVhO8zk&#10;ttAeiVtPa9Bw/LIXUXEWk30DeWsm6Ff7BNrkNsbyqYbaHy80nExkXqRx+n/ec9b9z7P+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mNNsTYAAAACwEAAA8AAAAAAAAAAQAgAAAAIgAAAGRycy9kb3du&#10;cmV2LnhtbFBLAQIUABQAAAAIAIdO4kDmQpD0xgEAAIQDAAAOAAAAAAAAAAEAIAAAACcBAABkcnMv&#10;ZTJvRG9jLnhtbFBLBQYAAAAABgAGAFkBAABfBQAAAAA=&#10;">
                <v:fill on="f" focussize="0,0"/>
                <v:stroke on="f"/>
                <v:imagedata o:title=""/>
                <o:lock v:ext="edit" aspectratio="f"/>
                <v:textbox>
                  <w:txbxContent>
                    <w:p>
                      <w:pPr>
                        <w:pStyle w:val="24"/>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v:textbox>
              </v:shape>
            </w:pict>
          </mc:Fallback>
        </mc:AlternateContent>
      </w:r>
      <w:r>
        <w:rPr>
          <w:rFonts w:ascii="宋体" w:hAnsi="宋体" w:cs="宋体"/>
        </w:rPr>
        <mc:AlternateContent>
          <mc:Choice Requires="wps">
            <w:drawing>
              <wp:anchor distT="0" distB="0" distL="114300" distR="114300" simplePos="0" relativeHeight="251666432" behindDoc="0" locked="0" layoutInCell="1" allowOverlap="1">
                <wp:simplePos x="0" y="0"/>
                <wp:positionH relativeFrom="column">
                  <wp:posOffset>167005</wp:posOffset>
                </wp:positionH>
                <wp:positionV relativeFrom="paragraph">
                  <wp:posOffset>5097780</wp:posOffset>
                </wp:positionV>
                <wp:extent cx="1452880" cy="344805"/>
                <wp:effectExtent l="0" t="0" r="0" b="0"/>
                <wp:wrapNone/>
                <wp:docPr id="19" name="文本框 19"/>
                <wp:cNvGraphicFramePr/>
                <a:graphic xmlns:a="http://schemas.openxmlformats.org/drawingml/2006/main">
                  <a:graphicData uri="http://schemas.microsoft.com/office/word/2010/wordprocessingShape">
                    <wps:wsp>
                      <wps:cNvSpPr txBox="1"/>
                      <wps:spPr>
                        <a:xfrm flipH="1">
                          <a:off x="0" y="0"/>
                          <a:ext cx="1452880" cy="345416"/>
                        </a:xfrm>
                        <a:prstGeom prst="rect">
                          <a:avLst/>
                        </a:prstGeom>
                        <a:noFill/>
                        <a:ln>
                          <a:noFill/>
                        </a:ln>
                        <a:effectLst/>
                      </wps:spPr>
                      <wps:txbx>
                        <w:txbxContent>
                          <w:p>
                            <w:pPr>
                              <w:pStyle w:val="24"/>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wps:txbx>
                      <wps:bodyPr wrap="square" rtlCol="0">
                        <a:spAutoFit/>
                      </wps:bodyPr>
                    </wps:wsp>
                  </a:graphicData>
                </a:graphic>
              </wp:anchor>
            </w:drawing>
          </mc:Choice>
          <mc:Fallback>
            <w:pict>
              <v:shape id="_x0000_s1026" o:spid="_x0000_s1026" o:spt="202" type="#_x0000_t202" style="position:absolute;left:0pt;flip:x;margin-left:13.15pt;margin-top:401.4pt;height:27.15pt;width:114.4pt;z-index:251666432;mso-width-relative:page;mso-height-relative:page;" filled="f" stroked="f" coordsize="21600,21600" o:gfxdata="UEsDBAoAAAAAAIdO4kAAAAAAAAAAAAAAAAAEAAAAZHJzL1BLAwQUAAAACACHTuJAaPHwVNoAAAAK&#10;AQAADwAAAGRycy9kb3ducmV2LnhtbE2PTU/DMAyG70j8h8hI3FjSom5TaToB0gQXJCjTgJvbhrai&#10;cUqSfcCvx5zgaPvR6+ctVkc7ir3xYXCkIZkpEIYa1w7Uadg8ry+WIEJEanF0ZDR8mQCr8vSkwLx1&#10;B3oy+yp2gkMo5Kihj3HKpQxNbyyGmZsM8e3deYuRR9/J1uOBw+0oU6Xm0uJA/KHHydz2pvmodlbD&#10;I1376g6//c3avanPl+1r/bC41/r8LFFXIKI5xj8YfvVZHUp2qt2O2iBGDen8kkkNS5VyBQbSLEtA&#10;1LzJFgnIspD/K5Q/UEsDBBQAAAAIAIdO4kBv8OTOzgEAAI8DAAAOAAAAZHJzL2Uyb0RvYy54bWyt&#10;U82O0zAQviPxDpbvNG3prkrUdAVUCwcESMs+gOtMGkv+w+M26QvAG3Diwn2fq8/B2Ml2YbnsgUtk&#10;f/PN5/lmJqur3mh2gIDK2YrPJlPOwEpXK7ur+O2X6xdLzjAKWwvtLFT8CMiv1s+frTpfwty1TtcQ&#10;GIlYLDtf8TZGXxYFyhaMwInzYCnYuGBEpGvYFXUQHakbXcyn08uic6H2wUlAJHQzBPmoGJ4i6JpG&#10;Sdg4uTdg46AaQItIlrBVHvk6V9s0IOOnpkGITFecnMb8pUfovE3fYr0S5S4I3yo5liCeUsIjT0Yo&#10;S4+epTYiCrYP6h8po2Rw6Jo4kc4Ug5HcEXIxmz7qzU0rPGQv1Gr056bj/5OVHw+fA1M1bcIrzqww&#10;NPHTj++nn3enX98YYdSgzmNJvBtPzNi/cT2R73EkMPnum2BYo5V/n4IJIW+MmNTo47nR0EcmU/ri&#10;Yr5cUkhS7OXiYjG7TILFoJOyfcD4Dpxh6VDxQIPMquLwAeNAvackunXXSus8TG3/AkhzQCBvw5id&#10;LA2lp1Pst/3oc+vqI9nsaCMqjl/3IgBnIeq3Li9Qkkb/eh/pvVxGSh9yqPx0oTllI+NOpUX4855Z&#10;D//R+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8fBU2gAAAAoBAAAPAAAAAAAAAAEAIAAAACIA&#10;AABkcnMvZG93bnJldi54bWxQSwECFAAUAAAACACHTuJAb/Dkzs4BAACPAwAADgAAAAAAAAABACAA&#10;AAApAQAAZHJzL2Uyb0RvYy54bWxQSwUGAAAAAAYABgBZAQAAaQUAAAAA&#10;">
                <v:fill on="f" focussize="0,0"/>
                <v:stroke on="f"/>
                <v:imagedata o:title=""/>
                <o:lock v:ext="edit" aspectratio="f"/>
                <v:textbox style="mso-fit-shape-to-text:t;">
                  <w:txbxContent>
                    <w:p>
                      <w:pPr>
                        <w:pStyle w:val="24"/>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v:textbox>
              </v:shape>
            </w:pict>
          </mc:Fallback>
        </mc:AlternateContent>
      </w:r>
      <w:r>
        <w:rPr>
          <w:rFonts w:ascii="宋体" w:hAnsi="宋体" w:cs="宋体"/>
        </w:rPr>
        <mc:AlternateContent>
          <mc:Choice Requires="wps">
            <w:drawing>
              <wp:anchor distT="0" distB="0" distL="114300" distR="114300" simplePos="0" relativeHeight="251665408" behindDoc="0" locked="0" layoutInCell="1" allowOverlap="1">
                <wp:simplePos x="0" y="0"/>
                <wp:positionH relativeFrom="column">
                  <wp:posOffset>786130</wp:posOffset>
                </wp:positionH>
                <wp:positionV relativeFrom="paragraph">
                  <wp:posOffset>4735830</wp:posOffset>
                </wp:positionV>
                <wp:extent cx="1082675" cy="344805"/>
                <wp:effectExtent l="0" t="0" r="0" b="0"/>
                <wp:wrapNone/>
                <wp:docPr id="17" name="文本框 17"/>
                <wp:cNvGraphicFramePr/>
                <a:graphic xmlns:a="http://schemas.openxmlformats.org/drawingml/2006/main">
                  <a:graphicData uri="http://schemas.microsoft.com/office/word/2010/wordprocessingShape">
                    <wps:wsp>
                      <wps:cNvSpPr txBox="1"/>
                      <wps:spPr>
                        <a:xfrm flipH="1">
                          <a:off x="0" y="0"/>
                          <a:ext cx="1083275" cy="345416"/>
                        </a:xfrm>
                        <a:prstGeom prst="rect">
                          <a:avLst/>
                        </a:prstGeom>
                        <a:noFill/>
                        <a:ln>
                          <a:noFill/>
                        </a:ln>
                        <a:effectLst/>
                      </wps:spPr>
                      <wps:txbx>
                        <w:txbxContent>
                          <w:p>
                            <w:pPr>
                              <w:pStyle w:val="24"/>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wps:txbx>
                      <wps:bodyPr wrap="square" rtlCol="0">
                        <a:spAutoFit/>
                      </wps:bodyPr>
                    </wps:wsp>
                  </a:graphicData>
                </a:graphic>
              </wp:anchor>
            </w:drawing>
          </mc:Choice>
          <mc:Fallback>
            <w:pict>
              <v:shape id="_x0000_s1026" o:spid="_x0000_s1026" o:spt="202" type="#_x0000_t202" style="position:absolute;left:0pt;flip:x;margin-left:61.9pt;margin-top:372.9pt;height:27.15pt;width:85.25pt;z-index:251665408;mso-width-relative:page;mso-height-relative:page;" filled="f" stroked="f" coordsize="21600,21600" o:gfxdata="UEsDBAoAAAAAAIdO4kAAAAAAAAAAAAAAAAAEAAAAZHJzL1BLAwQUAAAACACHTuJAVitmaNwAAAAL&#10;AQAADwAAAGRycy9kb3ducmV2LnhtbE2PS0/DMBCE70j8B2uRuFE7aaElxKkAqYILEqQVj9smMUlE&#10;vA62+4Bfz3KC24xmNPttvjzYQeyMD70jDclEgTBUu6anVsNmvTpbgAgRqcHBkdHwZQIsi+OjHLPG&#10;7enJ7MrYCh6hkKGGLsYxkzLUnbEYJm40xNm78xYjW9/KxuOex+0gU6UupMWe+EKHo7ntTP1Rbq2G&#10;R7r25R1++5uVe1OfL8+v1cP8XuvTk0RdgYjmEP/K8IvP6FAwU+W21AQxsE+njB41zGfnLLiRXs6m&#10;ICoNC6USkEUu//9Q/ABQSwMEFAAAAAgAh07iQAZCPdDOAQAAjwMAAA4AAABkcnMvZTJvRG9jLnht&#10;bK1TzY7TMBC+I/EOlu80afdXUdMVUC0cECAtPIDrOI0l22M8bpO+ALwBJy7c97n6HIydbIHlsgcu&#10;kf3NN5/nm5ksbwZr2F4F1OBqPp+VnCknodFuW/PPn25fXHOGUbhGGHCq5geF/Gb1/Nmy95VaQAem&#10;UYGRiMOq9zXvYvRVUaDslBU4A68cBVsIVkS6hm3RBNGTujXFoiwvix5C4wNIhUjoegzySTE8RRDa&#10;Vku1BrmzysVRNSgjIlnCTnvkq1xt2yoZP7QtqshMzclpzF96hM6b9C1WS1Ftg/CdllMJ4iklPPJk&#10;hXb06ElqLaJgu6D/kbJaBkBo40yCLUYjuSPkYl4+6s1dJ7zKXqjV6E9Nx/8nK9/vPwamG9qEK86c&#10;sDTx4/dvxx/3x59fGWHUoN5jRbw7T8w4vIKByA84Eph8D22wrDXav03BhJA3Rkxq9OHUaDVEJlN6&#10;eX22uLrgTFLs7PzifH6ZBItRJ2X7gPGNAsvSoeaBBplVxf4dxpH6QEl0B7famDxM4/4CSHNEVN6G&#10;KTtZGktPpzhshsnnBpoD2expI2qOX3YiKM5CNK8hL1CSRv9yF+m9XEZKH3Oo/HShOWUj006lRfjz&#10;nlm//6P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YrZmjcAAAACwEAAA8AAAAAAAAAAQAgAAAA&#10;IgAAAGRycy9kb3ducmV2LnhtbFBLAQIUABQAAAAIAIdO4kAGQj3QzgEAAI8DAAAOAAAAAAAAAAEA&#10;IAAAACsBAABkcnMvZTJvRG9jLnhtbFBLBQYAAAAABgAGAFkBAABrBQAAAAA=&#10;">
                <v:fill on="f" focussize="0,0"/>
                <v:stroke on="f"/>
                <v:imagedata o:title=""/>
                <o:lock v:ext="edit" aspectratio="f"/>
                <v:textbox style="mso-fit-shape-to-text:t;">
                  <w:txbxContent>
                    <w:p>
                      <w:pPr>
                        <w:pStyle w:val="24"/>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v:textbox>
              </v:shape>
            </w:pict>
          </mc:Fallback>
        </mc:AlternateContent>
      </w:r>
      <w:r>
        <w:rPr>
          <w:rFonts w:ascii="宋体" w:hAnsi="宋体" w:cs="宋体"/>
        </w:rPr>
        <mc:AlternateContent>
          <mc:Choice Requires="wps">
            <w:drawing>
              <wp:anchor distT="0" distB="0" distL="114300" distR="114300" simplePos="0" relativeHeight="251664384" behindDoc="0" locked="0" layoutInCell="1" allowOverlap="1">
                <wp:simplePos x="0" y="0"/>
                <wp:positionH relativeFrom="column">
                  <wp:posOffset>318770</wp:posOffset>
                </wp:positionH>
                <wp:positionV relativeFrom="paragraph">
                  <wp:posOffset>3486785</wp:posOffset>
                </wp:positionV>
                <wp:extent cx="1438910" cy="396240"/>
                <wp:effectExtent l="0" t="0" r="0" b="0"/>
                <wp:wrapNone/>
                <wp:docPr id="15" name="文本框 15"/>
                <wp:cNvGraphicFramePr/>
                <a:graphic xmlns:a="http://schemas.openxmlformats.org/drawingml/2006/main">
                  <a:graphicData uri="http://schemas.microsoft.com/office/word/2010/wordprocessingShape">
                    <wps:wsp>
                      <wps:cNvSpPr txBox="1"/>
                      <wps:spPr>
                        <a:xfrm flipH="1">
                          <a:off x="0" y="0"/>
                          <a:ext cx="1438910" cy="396240"/>
                        </a:xfrm>
                        <a:prstGeom prst="rect">
                          <a:avLst/>
                        </a:prstGeom>
                        <a:noFill/>
                        <a:ln>
                          <a:noFill/>
                        </a:ln>
                        <a:effectLst/>
                      </wps:spPr>
                      <wps:txbx>
                        <w:txbxContent>
                          <w:p>
                            <w:pPr>
                              <w:pStyle w:val="24"/>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wps:txbx>
                      <wps:bodyPr wrap="square" rtlCol="0">
                        <a:noAutofit/>
                      </wps:bodyPr>
                    </wps:wsp>
                  </a:graphicData>
                </a:graphic>
              </wp:anchor>
            </w:drawing>
          </mc:Choice>
          <mc:Fallback>
            <w:pict>
              <v:shape id="_x0000_s1026" o:spid="_x0000_s1026" o:spt="202" type="#_x0000_t202" style="position:absolute;left:0pt;flip:x;margin-left:25.1pt;margin-top:274.55pt;height:31.2pt;width:113.3pt;z-index:251664384;mso-width-relative:page;mso-height-relative:page;" filled="f" stroked="f" coordsize="21600,21600" o:gfxdata="UEsDBAoAAAAAAIdO4kAAAAAAAAAAAAAAAAAEAAAAZHJzL1BLAwQUAAAACACHTuJApeEPZdoAAAAK&#10;AQAADwAAAGRycy9kb3ducmV2LnhtbE2PTUvEMBCG74L/IYzgzU1Stl2tTfcgCB6quFVYj9km25Rt&#10;JqXJfvjvHU96GoZ5eOd5q/XFj+xk5zgEVCAXApjFLpgBewWfH89398Bi0mj0GNAq+LYR1vX1VaVL&#10;E864sac29YxCMJZagUtpKjmPnbNex0WYLNJtH2avE61zz82szxTuR54JUXCvB6QPTk/2ydnu0B69&#10;AtNst/nqMDUb97Xcv4xvpmnfX5W6vZHiEViyl/QHw68+qUNNTrtwRBPZqCAXGZE0lw8SGAHZqqAu&#10;OwWFlDnwuuL/K9Q/UEsDBBQAAAAIAIdO4kANCfBpzgEAAI8DAAAOAAAAZHJzL2Uyb0RvYy54bWyt&#10;U8FuEzEQvSPxD5bvZJO0VO0qmwqICgcESIUPcLx21pLtMR4nu/kB+ANOXLjzXfkOxt40tOXSA5eV&#10;PfPm+b2Z2cX14CzbqYgGfMNnkylnyktojd80/MvnmxeXnGESvhUWvGr4XiG/Xj5/tuhDrebQgW1V&#10;ZETise5Dw7uUQl1VKDvlBE4gKE9JDdGJRNe4qdooemJ3tppPpxdVD7ENEaRCpOhqTPIjY3wKIWht&#10;pFqB3Drl08galRWJLGFnAvJlUau1kumj1qgSsw0np6l86RE6r/O3Wi5EvYkidEYeJYinSHjkyQnj&#10;6dET1UokwbbR/EPljIyAoNNEgqtGI6Uj5GI2fdSb204EVbxQqzGcmo7/j1Z+2H2KzLS0CS8588LR&#10;xA8/vh9+/j78+sYoRg3qA9aEuw2ETMNrGAh8F0cKZt+Djo5pa8K7nMwR8sYISY3enxqthsRkLj8/&#10;u7yaUUpS7uzqYn5eJlGNPLk6RExvFTiWDw2PNMjCKnbvMZEmgt5BMtzDjbG2DNP6BwECjhFVtuFY&#10;nS2N0vMpDevh6HMN7Z5s9rQRDcevWxEVZzHZN1AWaKR+tU2gTZGRy8ca0pQvNKei7rhTeRHu3wvq&#10;73+0/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4Q9l2gAAAAoBAAAPAAAAAAAAAAEAIAAAACIA&#10;AABkcnMvZG93bnJldi54bWxQSwECFAAUAAAACACHTuJADQnwac4BAACPAwAADgAAAAAAAAABACAA&#10;AAApAQAAZHJzL2Uyb0RvYy54bWxQSwUGAAAAAAYABgBZAQAAaQUAAAAA&#10;">
                <v:fill on="f" focussize="0,0"/>
                <v:stroke on="f"/>
                <v:imagedata o:title=""/>
                <o:lock v:ext="edit" aspectratio="f"/>
                <v:textbox>
                  <w:txbxContent>
                    <w:p>
                      <w:pPr>
                        <w:pStyle w:val="24"/>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v:textbox>
              </v:shape>
            </w:pict>
          </mc:Fallback>
        </mc:AlternateContent>
      </w:r>
      <w:r>
        <w:rPr>
          <w:rFonts w:ascii="宋体" w:hAnsi="宋体" w:cs="宋体"/>
        </w:rPr>
        <mc:AlternateContent>
          <mc:Choice Requires="wps">
            <w:drawing>
              <wp:anchor distT="0" distB="0" distL="114300" distR="114300" simplePos="0" relativeHeight="251672576" behindDoc="0" locked="0" layoutInCell="1" allowOverlap="1">
                <wp:simplePos x="0" y="0"/>
                <wp:positionH relativeFrom="column">
                  <wp:posOffset>589915</wp:posOffset>
                </wp:positionH>
                <wp:positionV relativeFrom="paragraph">
                  <wp:posOffset>3944620</wp:posOffset>
                </wp:positionV>
                <wp:extent cx="1028700" cy="409575"/>
                <wp:effectExtent l="0" t="0" r="0" b="0"/>
                <wp:wrapNone/>
                <wp:docPr id="10" name="文本框 10"/>
                <wp:cNvGraphicFramePr/>
                <a:graphic xmlns:a="http://schemas.openxmlformats.org/drawingml/2006/main">
                  <a:graphicData uri="http://schemas.microsoft.com/office/word/2010/wordprocessingShape">
                    <wps:wsp>
                      <wps:cNvSpPr txBox="1"/>
                      <wps:spPr>
                        <a:xfrm>
                          <a:off x="1623060" y="6068695"/>
                          <a:ext cx="1028700" cy="409575"/>
                        </a:xfrm>
                        <a:prstGeom prst="rect">
                          <a:avLst/>
                        </a:prstGeom>
                        <a:noFill/>
                        <a:ln w="6350">
                          <a:noFill/>
                        </a:ln>
                        <a:effectLst/>
                      </wps:spPr>
                      <wps:txb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45pt;margin-top:310.6pt;height:32.25pt;width:81pt;z-index:251672576;mso-width-relative:page;mso-height-relative:page;" filled="f" stroked="f" coordsize="21600,21600" o:gfxdata="UEsDBAoAAAAAAIdO4kAAAAAAAAAAAAAAAAAEAAAAZHJzL1BLAwQUAAAACACHTuJASE9TQdsAAAAK&#10;AQAADwAAAGRycy9kb3ducmV2LnhtbE2Py07DMBBF90j8gzVI7KgTi5Q0jVOhSBUSgkVLN+yc2E2i&#10;2uMQuw/4eoZVWc6doztnytXFWXYyUxg8SkhnCTCDrdcDdhJ2H+uHHFiICrWyHo2EbxNgVd3elKrQ&#10;/owbc9rGjlEJhkJJ6GMcC85D2xunwsyPBmm395NTkcap43pSZyp3loskmXOnBqQLvRpN3Zv2sD06&#10;Ca/1+l1tGuHyH1u/vO2fx6/dZybl/V2aLIFFc4lXGP70SR0qcmr8EXVgVsJCLIiUMBepAEaAyB4p&#10;aSjJsyfgVcn/v1D9AlBLAwQUAAAACACHTuJALDKoE00CAACCBAAADgAAAGRycy9lMm9Eb2MueG1s&#10;rVTNbhMxEL4j8Q6W72Q3aZKmUTZVaBWEVNFKAXF2vN7uSv7DdrpbHgDegBMX7jxXn4PP3qSNCoce&#10;uDhjz7ffzHwzk8V5pyS5E843Rhd0OMgpEZqbstG3Bf30cf1mRokPTJdMGi0Kei88PV++frVo7VyM&#10;TG1kKRwBifbz1ha0DsHOs8zzWijmB8YKDWdlnGIBV3eblY61YFcyG+X5NGuNK60zXHiP18veSfeM&#10;7iWEpqoaLi4N3ymhQ8/qhGQBJfm6sZ4uU7ZVJXi4riovApEFRaUhnQgCexvPbLlg81vHbN3wfQrs&#10;JSk8q0mxRiPoI9UlC4zsXPMXlWq4M95UYcCNyvpCkiKoYpg/02ZTMytSLZDa20fR/f+j5R/ubhxp&#10;SkwCJNFMoeMPP74//Pz98OsbwRsEaq2fA7exQIburekAPrx7PMa6u8qp+IuKSPRPRyf5FIz3BZ3m&#10;09n0bNJLLbpAeATko9lpDgAHYpyfTU4TIHtiss6Hd8IoEo2COrQyKczurnxAVoAeIDGwNutGytRO&#10;qUmLsCeTPH3w6MEXUkesSIOxp4nV9VVEK3Tbbl/y1pT3qNiZfmi85esGqVwxH26Yw5Qge+xRuMZR&#10;SYOQZm9RUhv39V/vEY/mwUtJi6krqP+yY05QIt9rtPVsOB6DNqTLeHI6wsUde7bHHr1TFwaDPcTG&#10;Wp7MiA/yYFbOqM9Yt1WMChfTHLELGg7mReh3AevKxWqVQBhMy8KV3lgeqXtxV7tgqibpHmXqtUET&#10;4gWjmdqxX6M4+8f3hHr661j+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hPU0HbAAAACgEAAA8A&#10;AAAAAAAAAQAgAAAAIgAAAGRycy9kb3ducmV2LnhtbFBLAQIUABQAAAAIAIdO4kAsMqgTTQIAAIIE&#10;AAAOAAAAAAAAAAEAIAAAACoBAABkcnMvZTJvRG9jLnhtbFBLBQYAAAAABgAGAFkBAADpBQAAAAA=&#10;">
                <v:fill on="f" focussize="0,0"/>
                <v:stroke on="f" weight="0.5pt"/>
                <v:imagedata o:title=""/>
                <o:lock v:ext="edit" aspectratio="f"/>
                <v:textbo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v:textbox>
              </v:shape>
            </w:pict>
          </mc:Fallback>
        </mc:AlternateContent>
      </w:r>
    </w:p>
    <w:p>
      <w:pPr>
        <w:rPr>
          <w:rFonts w:ascii="宋体" w:hAnsi="宋体" w:cs="宋体"/>
          <w:sz w:val="44"/>
          <w:szCs w:val="44"/>
          <w:lang w:val="zh-CN"/>
        </w:rPr>
      </w:pPr>
    </w:p>
    <w:p>
      <w:pPr>
        <w:rPr>
          <w:rFonts w:ascii="宋体" w:hAnsi="宋体" w:cs="宋体"/>
          <w:sz w:val="44"/>
          <w:szCs w:val="44"/>
          <w:lang w:val="zh-CN"/>
        </w:rPr>
      </w:pPr>
    </w:p>
    <w:p>
      <w:pPr>
        <w:rPr>
          <w:rFonts w:ascii="宋体" w:hAnsi="宋体" w:cs="宋体"/>
          <w:sz w:val="44"/>
          <w:szCs w:val="44"/>
          <w:lang w:val="zh-CN"/>
        </w:rPr>
      </w:pPr>
    </w:p>
    <w:p>
      <w:pPr>
        <w:rPr>
          <w:rFonts w:ascii="宋体" w:hAnsi="宋体" w:cs="宋体"/>
          <w:sz w:val="44"/>
          <w:szCs w:val="44"/>
          <w:lang w:val="zh-CN"/>
        </w:rPr>
      </w:pPr>
      <w:r>
        <w:rPr>
          <w:rFonts w:ascii="宋体" w:hAnsi="宋体" w:cs="宋体"/>
        </w:rPr>
        <mc:AlternateContent>
          <mc:Choice Requires="wps">
            <w:drawing>
              <wp:anchor distT="0" distB="0" distL="114300" distR="114300" simplePos="0" relativeHeight="251663360" behindDoc="0" locked="0" layoutInCell="1" allowOverlap="1">
                <wp:simplePos x="0" y="0"/>
                <wp:positionH relativeFrom="column">
                  <wp:posOffset>159385</wp:posOffset>
                </wp:positionH>
                <wp:positionV relativeFrom="paragraph">
                  <wp:posOffset>17145</wp:posOffset>
                </wp:positionV>
                <wp:extent cx="5604510" cy="150939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604510" cy="1509622"/>
                        </a:xfrm>
                        <a:prstGeom prst="rect">
                          <a:avLst/>
                        </a:prstGeom>
                        <a:noFill/>
                        <a:ln>
                          <a:noFill/>
                        </a:ln>
                        <a:effectLst/>
                      </wps:spPr>
                      <wps:txbx>
                        <w:txbxContent>
                          <w:p>
                            <w:pPr>
                              <w:pStyle w:val="24"/>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磋 商 文 件</w:t>
                            </w:r>
                          </w:p>
                        </w:txbxContent>
                      </wps:txbx>
                      <wps:bodyPr wrap="square" rtlCol="0">
                        <a:noAutofit/>
                      </wps:bodyPr>
                    </wps:wsp>
                  </a:graphicData>
                </a:graphic>
              </wp:anchor>
            </w:drawing>
          </mc:Choice>
          <mc:Fallback>
            <w:pict>
              <v:shape id="_x0000_s1026" o:spid="_x0000_s1026" o:spt="202" type="#_x0000_t202" style="position:absolute;left:0pt;margin-left:12.55pt;margin-top:1.35pt;height:118.85pt;width:441.3pt;z-index:251663360;mso-width-relative:page;mso-height-relative:page;" filled="f" stroked="f" coordsize="21600,21600" o:gfxdata="UEsDBAoAAAAAAIdO4kAAAAAAAAAAAAAAAAAEAAAAZHJzL1BLAwQUAAAACACHTuJAuhiHQ9QAAAAI&#10;AQAADwAAAGRycy9kb3ducmV2LnhtbE2PQU/DMAyF70j8h8hI3FjSqWOsNN0BxBXEBkjcvMZrKxqn&#10;arK1/HvMCU7203t6/lxuZ9+rM42xC2whWxhQxHVwHTcW3vZPN3egYkJ22AcmC98UYVtdXpRYuDDx&#10;K513qVFSwrFAC21KQ6F1rFvyGBdhIBbvGEaPSeTYaDfiJOW+10tjbrXHjuVCiwM9tFR/7U7ewvvz&#10;8fMjNy/No18NU5iNZr/R1l5fZeYeVKI5/YXhF1/QoRKmQzixi6q3sFxlkpS5BiX2xqxlOYjOTQ66&#10;KvX/B6ofUEsDBBQAAAAIAIdO4kCY5ficxgEAAIYDAAAOAAAAZHJzL2Uyb0RvYy54bWytU82O0zAQ&#10;viPxDpbvNGmhFURNV0C1XBAgLTyA60waS7bH2G6TvgC8AScu3HmuPseOnWwXlsseuDiev8/zfTNZ&#10;Xw1GsyP4oNDWfD4rOQMrsVF2X/Mvn6+fveQsRGEbodFCzU8Q+NXm6ZN17ypYYIe6Ac8IxIaqdzXv&#10;YnRVUQTZgRFhhg4sBVv0RkQy/b5ovOgJ3ehiUZarokffOI8SQiDvdgzyCdE/BhDbVknYojwYsHFE&#10;9aBFJEqhUy7wTe62bUHGj20bIDJdc2Ia80mP0H2XzmKzFtXeC9cpObUgHtPCA05GKEuPXqC2Igp2&#10;8OofKKOkx4BtnEk0xUgkK0Is5uUDbW464SBzIamDu4ge/h+s/HD85JlqaBOec2aFoYmff3w///x9&#10;/vWNkY8E6l2oKO/GUWYc3uBAyXf+QM7Ee2i9SV9ixChO8p4u8sIQmSTnclW+WM4pJCk2X5avVotF&#10;winuy50P8R2gYelSc0/zy7KK4/sQx9S7lPSaxWuldZ6htn85CHP0QF6CqToxGTtOtzjshoneDpsT&#10;setpEWoevh6EB8581G8x780I/foQsVW5jVQ+1lD7yaDxZCLTKqX5/2nnrPvfZ3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hiHQ9QAAAAIAQAADwAAAAAAAAABACAAAAAiAAAAZHJzL2Rvd25yZXYu&#10;eG1sUEsBAhQAFAAAAAgAh07iQJjl+JzGAQAAhgMAAA4AAAAAAAAAAQAgAAAAIwEAAGRycy9lMm9E&#10;b2MueG1sUEsFBgAAAAAGAAYAWQEAAFsFAAAAAA==&#10;">
                <v:fill on="f" focussize="0,0"/>
                <v:stroke on="f"/>
                <v:imagedata o:title=""/>
                <o:lock v:ext="edit" aspectratio="f"/>
                <v:textbox>
                  <w:txbxContent>
                    <w:p>
                      <w:pPr>
                        <w:pStyle w:val="24"/>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磋 商 文 件</w:t>
                      </w:r>
                    </w:p>
                  </w:txbxContent>
                </v:textbox>
              </v:shape>
            </w:pict>
          </mc:Fallback>
        </mc:AlternateContent>
      </w:r>
    </w:p>
    <w:p>
      <w:pPr>
        <w:rPr>
          <w:rFonts w:ascii="宋体" w:hAnsi="宋体" w:cs="宋体"/>
          <w:sz w:val="44"/>
          <w:szCs w:val="44"/>
          <w:lang w:val="zh-CN"/>
        </w:rPr>
      </w:pPr>
    </w:p>
    <w:p>
      <w:pPr>
        <w:rPr>
          <w:rFonts w:ascii="宋体" w:hAnsi="宋体" w:cs="宋体"/>
          <w:sz w:val="44"/>
          <w:szCs w:val="44"/>
          <w:lang w:val="zh-CN"/>
        </w:rPr>
      </w:pPr>
    </w:p>
    <w:p>
      <w:pPr>
        <w:jc w:val="right"/>
        <w:rPr>
          <w:rFonts w:ascii="宋体" w:hAnsi="宋体" w:cs="宋体"/>
          <w:sz w:val="44"/>
          <w:szCs w:val="44"/>
          <w:lang w:val="zh-CN"/>
        </w:rPr>
      </w:pPr>
    </w:p>
    <w:p>
      <w:pPr>
        <w:rPr>
          <w:rFonts w:ascii="宋体" w:hAnsi="宋体" w:cs="宋体"/>
          <w:sz w:val="44"/>
          <w:szCs w:val="44"/>
          <w:lang w:val="zh-CN"/>
        </w:rPr>
      </w:pPr>
      <w:r>
        <w:rPr>
          <w:rFonts w:ascii="宋体" w:hAnsi="宋体" w:cs="宋体"/>
        </w:rPr>
        <mc:AlternateContent>
          <mc:Choice Requires="wps">
            <w:drawing>
              <wp:anchor distT="0" distB="0" distL="114300" distR="114300" simplePos="0" relativeHeight="251673600" behindDoc="0" locked="0" layoutInCell="1" allowOverlap="1">
                <wp:simplePos x="0" y="0"/>
                <wp:positionH relativeFrom="column">
                  <wp:posOffset>1759585</wp:posOffset>
                </wp:positionH>
                <wp:positionV relativeFrom="paragraph">
                  <wp:posOffset>1075690</wp:posOffset>
                </wp:positionV>
                <wp:extent cx="4709795" cy="601980"/>
                <wp:effectExtent l="0" t="0" r="0" b="7620"/>
                <wp:wrapNone/>
                <wp:docPr id="12" name="文本框 12"/>
                <wp:cNvGraphicFramePr/>
                <a:graphic xmlns:a="http://schemas.openxmlformats.org/drawingml/2006/main">
                  <a:graphicData uri="http://schemas.microsoft.com/office/word/2010/wordprocessingShape">
                    <wps:wsp>
                      <wps:cNvSpPr txBox="1"/>
                      <wps:spPr>
                        <a:xfrm>
                          <a:off x="0" y="0"/>
                          <a:ext cx="4709795" cy="601980"/>
                        </a:xfrm>
                        <a:prstGeom prst="rect">
                          <a:avLst/>
                        </a:prstGeom>
                        <a:noFill/>
                        <a:ln w="6350">
                          <a:noFill/>
                        </a:ln>
                        <a:effectLst/>
                      </wps:spPr>
                      <wps:txbx>
                        <w:txbxContent>
                          <w:p>
                            <w:pPr>
                              <w:rPr>
                                <w:rFonts w:asciiTheme="minorEastAsia" w:hAnsiTheme="minorEastAsia" w:eastAsiaTheme="minorEastAsia" w:cstheme="minorEastAsia"/>
                                <w:kern w:val="24"/>
                                <w:sz w:val="44"/>
                                <w:szCs w:val="44"/>
                              </w:rPr>
                            </w:pPr>
                            <w:r>
                              <w:rPr>
                                <w:rFonts w:hint="eastAsia" w:ascii="黑体" w:hAnsi="黑体" w:eastAsia="黑体" w:cs="黑体"/>
                                <w:kern w:val="24"/>
                                <w:sz w:val="32"/>
                                <w:szCs w:val="32"/>
                              </w:rPr>
                              <w:t>校内护理设备及新生儿复苏力反馈教学系统采购</w:t>
                            </w:r>
                          </w:p>
                          <w:p>
                            <w:pPr>
                              <w:rPr>
                                <w:rFonts w:ascii="黑体" w:hAnsi="黑体" w:eastAsia="黑体" w:cs="黑体"/>
                                <w:kern w:val="24"/>
                                <w:sz w:val="32"/>
                                <w:szCs w:val="3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8.55pt;margin-top:84.7pt;height:47.4pt;width:370.85pt;z-index:251673600;mso-width-relative:page;mso-height-relative:page;" filled="f" stroked="f" coordsize="21600,21600" o:gfxdata="UEsDBAoAAAAAAIdO4kAAAAAAAAAAAAAAAAAEAAAAZHJzL1BLAwQUAAAACACHTuJAoeO3p9sAAAAM&#10;AQAADwAAAGRycy9kb3ducmV2LnhtbE2Py07DMBBF90j8gzVI7KidqKRpGqdCkSokBIuWbtg58TSJ&#10;8CPE7gO+nukKlqN7dOfccn2xhp1wCoN3EpKZAIau9XpwnYT9++YhBxaicloZ71DCNwZYV7c3pSq0&#10;P7stnnaxY1TiQqEk9DGOBeeh7dGqMPMjOsoOfrIq0jl1XE/qTOXW8FSIjFs1OPrQqxHrHtvP3dFK&#10;eKk3b2rbpDb/MfXz6+Fp/Np/PEp5f5eIFbCIl/gHw1Wf1KEip8YfnQ7MSEgXi4RQCrLlHNiVEElO&#10;axrKsnkKvCr5/xHVL1BLAwQUAAAACACHTuJA0K1TkEMCAAB2BAAADgAAAGRycy9lMm9Eb2MueG1s&#10;rVRLbtswEN0X6B0I7hvJrvOxETlwY6QoYDQB3KJrmqIsAfyVpCO5B2hvkFU33fdcPkcfKdsJ0i6y&#10;6EYezgxn5r159OVVpyS5F843Rhd0cJJTIjQ3ZaPXBf386ebNBSU+MF0yabQo6FZ4ejV9/eqytRMx&#10;NLWRpXAERbSftLagdQh2kmWe10Ixf2Ks0AhWxikWcHTrrHSsRXUls2Gen2WtcaV1hgvv4Z33Qbqv&#10;6F5S0FRVw8Xc8I0SOvRVnZAsAJKvG+vpNE1bVYKH26ryIhBZUCAN6YsmsFfxm00v2WTtmK0bvh+B&#10;vWSEZ5gUazSaHkvNWWBk45q/SqmGO+NNFU64UVkPJDECFIP8GTfLmlmRsIBqb4+k+/9Xln+8v3Ok&#10;KaGEISWaKWx89/Bj9/P37td3Ah8Iaq2fIG9pkRm6d6ZD8sHv4Yy4u8qp+AtEBHHQuz3SK7pAOJyj&#10;83x8Pj6lhCN2lg/GF4n/7PG2dT68F0aRaBTUYX2JVXa/8AGTIPWQEptpc9NImVYoNWlR9O1pni4c&#10;I7ghdcwVSQz7MhFRP3m0Qrfq9jBXptwCpTO9ULzlNw1GWTAf7piDMgAMbyfc4lNJg5Zmb1FSG/ft&#10;X/6Yj4UhSkkLpRXUf90wJyiRHzRWOR6MRlGa6TA6PR/i4J5GVk8jeqOuDcQ8wCu1PJkxP8iDWTmj&#10;vuCJzWJXhJjm6F3QcDCvQ69/PFEuZrOUBDFaFhZ6aXks3ZM72wRTNYn3SFPPDZYQD5BjWsf+6US9&#10;Pz2nrMe/i+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oeO3p9sAAAAMAQAADwAAAAAAAAABACAA&#10;AAAiAAAAZHJzL2Rvd25yZXYueG1sUEsBAhQAFAAAAAgAh07iQNCtU5BDAgAAdgQAAA4AAAAAAAAA&#10;AQAgAAAAKgEAAGRycy9lMm9Eb2MueG1sUEsFBgAAAAAGAAYAWQEAAN8FAAAAAA==&#10;">
                <v:fill on="f" focussize="0,0"/>
                <v:stroke on="f" weight="0.5pt"/>
                <v:imagedata o:title=""/>
                <o:lock v:ext="edit" aspectratio="f"/>
                <v:textbox>
                  <w:txbxContent>
                    <w:p>
                      <w:pPr>
                        <w:rPr>
                          <w:rFonts w:asciiTheme="minorEastAsia" w:hAnsiTheme="minorEastAsia" w:eastAsiaTheme="minorEastAsia" w:cstheme="minorEastAsia"/>
                          <w:kern w:val="24"/>
                          <w:sz w:val="44"/>
                          <w:szCs w:val="44"/>
                        </w:rPr>
                      </w:pPr>
                      <w:r>
                        <w:rPr>
                          <w:rFonts w:hint="eastAsia" w:ascii="黑体" w:hAnsi="黑体" w:eastAsia="黑体" w:cs="黑体"/>
                          <w:kern w:val="24"/>
                          <w:sz w:val="32"/>
                          <w:szCs w:val="32"/>
                        </w:rPr>
                        <w:t>校内护理设备及新生儿复苏力反馈教学系统采购</w:t>
                      </w:r>
                    </w:p>
                    <w:p>
                      <w:pPr>
                        <w:rPr>
                          <w:rFonts w:ascii="黑体" w:hAnsi="黑体" w:eastAsia="黑体" w:cs="黑体"/>
                          <w:kern w:val="24"/>
                          <w:sz w:val="32"/>
                          <w:szCs w:val="32"/>
                        </w:rPr>
                      </w:pPr>
                    </w:p>
                  </w:txbxContent>
                </v:textbox>
              </v:shape>
            </w:pict>
          </mc:Fallback>
        </mc:AlternateContent>
      </w:r>
    </w:p>
    <w:p>
      <w:pPr>
        <w:rPr>
          <w:rFonts w:ascii="宋体" w:hAnsi="宋体" w:cs="宋体"/>
          <w:sz w:val="44"/>
          <w:szCs w:val="44"/>
          <w:lang w:val="zh-CN"/>
        </w:rPr>
        <w:sectPr>
          <w:headerReference r:id="rId3" w:type="default"/>
          <w:pgSz w:w="11906" w:h="16838"/>
          <w:pgMar w:top="1701" w:right="1474" w:bottom="1701" w:left="1474" w:header="851" w:footer="1134" w:gutter="0"/>
          <w:cols w:space="720" w:num="1"/>
          <w:docGrid w:linePitch="579" w:charSpace="1229"/>
        </w:sectPr>
      </w:pPr>
    </w:p>
    <w:sdt>
      <w:sdtPr>
        <w:rPr>
          <w:rFonts w:ascii="Times New Roman" w:hAnsi="Times New Roman" w:eastAsia="宋体" w:cs="Times New Roman"/>
          <w:color w:val="auto"/>
          <w:kern w:val="2"/>
          <w:sz w:val="21"/>
          <w:szCs w:val="24"/>
          <w:lang w:val="zh-CN"/>
        </w:rPr>
        <w:id w:val="-1709556474"/>
        <w:docPartObj>
          <w:docPartGallery w:val="Table of Contents"/>
          <w:docPartUnique/>
        </w:docPartObj>
      </w:sdtPr>
      <w:sdtEndPr>
        <w:rPr>
          <w:rFonts w:ascii="Times New Roman" w:hAnsi="Times New Roman" w:eastAsia="宋体" w:cs="Times New Roman"/>
          <w:color w:val="auto"/>
          <w:kern w:val="2"/>
          <w:sz w:val="21"/>
          <w:szCs w:val="24"/>
          <w:lang w:val="zh-CN"/>
        </w:rPr>
      </w:sdtEndPr>
      <w:sdtContent>
        <w:p>
          <w:pPr>
            <w:pStyle w:val="52"/>
            <w:jc w:val="center"/>
            <w:rPr>
              <w:b/>
              <w:sz w:val="40"/>
            </w:rPr>
          </w:pPr>
          <w:r>
            <w:rPr>
              <w:b/>
              <w:sz w:val="40"/>
              <w:lang w:val="zh-CN"/>
            </w:rPr>
            <w:t>目</w:t>
          </w:r>
          <w:r>
            <w:rPr>
              <w:rFonts w:hint="eastAsia"/>
              <w:b/>
              <w:sz w:val="40"/>
              <w:lang w:val="zh-CN"/>
            </w:rPr>
            <w:t xml:space="preserve">  </w:t>
          </w:r>
          <w:r>
            <w:rPr>
              <w:b/>
              <w:sz w:val="40"/>
              <w:lang w:val="zh-CN"/>
            </w:rPr>
            <w:t>录</w:t>
          </w:r>
        </w:p>
        <w:p>
          <w:pPr>
            <w:pStyle w:val="22"/>
            <w:tabs>
              <w:tab w:val="right" w:leader="dot" w:pos="8296"/>
            </w:tabs>
            <w:spacing w:line="276" w:lineRule="auto"/>
            <w:rPr>
              <w:rFonts w:eastAsiaTheme="minorEastAsia"/>
              <w:sz w:val="21"/>
              <w:szCs w:val="21"/>
            </w:rPr>
          </w:pPr>
          <w:r>
            <w:fldChar w:fldCharType="begin"/>
          </w:r>
          <w:r>
            <w:instrText xml:space="preserve"> TOC \o "1-3" \h \z \u </w:instrText>
          </w:r>
          <w:r>
            <w:fldChar w:fldCharType="separate"/>
          </w:r>
          <w:r>
            <w:fldChar w:fldCharType="begin"/>
          </w:r>
          <w:r>
            <w:instrText xml:space="preserve"> HYPERLINK \l "_Toc122338083" </w:instrText>
          </w:r>
          <w:r>
            <w:fldChar w:fldCharType="separate"/>
          </w:r>
          <w:r>
            <w:rPr>
              <w:rStyle w:val="33"/>
              <w:rFonts w:hint="eastAsia" w:ascii="宋体" w:hAnsi="宋体" w:cs="宋体"/>
              <w:sz w:val="21"/>
              <w:szCs w:val="21"/>
            </w:rPr>
            <w:t>第一章 采购公告</w:t>
          </w:r>
          <w:r>
            <w:rPr>
              <w:sz w:val="21"/>
              <w:szCs w:val="21"/>
            </w:rPr>
            <w:tab/>
          </w:r>
          <w:r>
            <w:rPr>
              <w:sz w:val="21"/>
              <w:szCs w:val="21"/>
            </w:rPr>
            <w:fldChar w:fldCharType="begin"/>
          </w:r>
          <w:r>
            <w:rPr>
              <w:sz w:val="21"/>
              <w:szCs w:val="21"/>
            </w:rPr>
            <w:instrText xml:space="preserve"> PAGEREF _Toc122338083 \h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22"/>
            <w:tabs>
              <w:tab w:val="right" w:leader="dot" w:pos="8296"/>
            </w:tabs>
            <w:spacing w:line="276" w:lineRule="auto"/>
            <w:rPr>
              <w:rFonts w:eastAsiaTheme="minorEastAsia"/>
              <w:sz w:val="21"/>
              <w:szCs w:val="21"/>
            </w:rPr>
          </w:pPr>
          <w:r>
            <w:fldChar w:fldCharType="begin"/>
          </w:r>
          <w:r>
            <w:instrText xml:space="preserve"> HYPERLINK \l "_Toc122338085" </w:instrText>
          </w:r>
          <w:r>
            <w:fldChar w:fldCharType="separate"/>
          </w:r>
          <w:r>
            <w:rPr>
              <w:rStyle w:val="33"/>
              <w:rFonts w:hint="eastAsia" w:ascii="宋体" w:hAnsi="宋体" w:cs="宋体"/>
              <w:sz w:val="21"/>
              <w:szCs w:val="21"/>
            </w:rPr>
            <w:t>第二章供货商须知</w:t>
          </w:r>
          <w:r>
            <w:rPr>
              <w:sz w:val="21"/>
              <w:szCs w:val="21"/>
            </w:rPr>
            <w:tab/>
          </w:r>
          <w:r>
            <w:rPr>
              <w:sz w:val="21"/>
              <w:szCs w:val="21"/>
            </w:rPr>
            <w:fldChar w:fldCharType="begin"/>
          </w:r>
          <w:r>
            <w:rPr>
              <w:sz w:val="21"/>
              <w:szCs w:val="21"/>
            </w:rPr>
            <w:instrText xml:space="preserve"> PAGEREF _Toc122338085 \h </w:instrText>
          </w:r>
          <w:r>
            <w:rPr>
              <w:sz w:val="21"/>
              <w:szCs w:val="21"/>
            </w:rPr>
            <w:fldChar w:fldCharType="separate"/>
          </w:r>
          <w:r>
            <w:rPr>
              <w:sz w:val="21"/>
              <w:szCs w:val="21"/>
            </w:rPr>
            <w:t>5</w:t>
          </w:r>
          <w:r>
            <w:rPr>
              <w:sz w:val="21"/>
              <w:szCs w:val="21"/>
            </w:rPr>
            <w:fldChar w:fldCharType="end"/>
          </w:r>
          <w:r>
            <w:rPr>
              <w:sz w:val="21"/>
              <w:szCs w:val="21"/>
            </w:rPr>
            <w:fldChar w:fldCharType="end"/>
          </w:r>
        </w:p>
        <w:p>
          <w:pPr>
            <w:pStyle w:val="23"/>
            <w:tabs>
              <w:tab w:val="right" w:leader="dot" w:pos="8296"/>
            </w:tabs>
            <w:spacing w:line="276" w:lineRule="auto"/>
            <w:rPr>
              <w:rFonts w:eastAsiaTheme="minorEastAsia"/>
              <w:sz w:val="21"/>
              <w:szCs w:val="21"/>
            </w:rPr>
          </w:pPr>
          <w:r>
            <w:fldChar w:fldCharType="begin"/>
          </w:r>
          <w:r>
            <w:instrText xml:space="preserve"> HYPERLINK \l "_Toc122338086" </w:instrText>
          </w:r>
          <w:r>
            <w:fldChar w:fldCharType="separate"/>
          </w:r>
          <w:r>
            <w:rPr>
              <w:rStyle w:val="33"/>
              <w:rFonts w:hint="eastAsia" w:ascii="宋体" w:hAnsi="宋体" w:cs="宋体"/>
              <w:sz w:val="21"/>
              <w:szCs w:val="21"/>
            </w:rPr>
            <w:t>一、总则</w:t>
          </w:r>
          <w:r>
            <w:rPr>
              <w:rFonts w:hint="eastAsia"/>
              <w:sz w:val="21"/>
              <w:szCs w:val="21"/>
            </w:rPr>
            <w:t>..................................................................................................................................7</w:t>
          </w:r>
          <w:r>
            <w:rPr>
              <w:rFonts w:hint="eastAsia"/>
              <w:sz w:val="21"/>
              <w:szCs w:val="21"/>
            </w:rPr>
            <w:fldChar w:fldCharType="end"/>
          </w:r>
        </w:p>
        <w:p>
          <w:pPr>
            <w:pStyle w:val="23"/>
            <w:tabs>
              <w:tab w:val="right" w:leader="dot" w:pos="8296"/>
            </w:tabs>
            <w:spacing w:line="276" w:lineRule="auto"/>
            <w:rPr>
              <w:rFonts w:eastAsiaTheme="minorEastAsia"/>
              <w:sz w:val="21"/>
              <w:szCs w:val="21"/>
            </w:rPr>
          </w:pPr>
          <w:r>
            <w:fldChar w:fldCharType="begin"/>
          </w:r>
          <w:r>
            <w:instrText xml:space="preserve"> HYPERLINK \l "_Toc122338087" </w:instrText>
          </w:r>
          <w:r>
            <w:fldChar w:fldCharType="separate"/>
          </w:r>
          <w:r>
            <w:rPr>
              <w:rStyle w:val="33"/>
              <w:rFonts w:hint="eastAsia" w:ascii="宋体" w:hAnsi="宋体" w:cs="宋体"/>
              <w:sz w:val="21"/>
              <w:szCs w:val="21"/>
            </w:rPr>
            <w:t>二、磋商响应文件的编制及保证金收取........................................</w:t>
          </w:r>
          <w:r>
            <w:rPr>
              <w:rFonts w:hint="eastAsia"/>
              <w:sz w:val="21"/>
              <w:szCs w:val="21"/>
            </w:rPr>
            <w:t>8</w:t>
          </w:r>
          <w:r>
            <w:rPr>
              <w:rFonts w:hint="eastAsia"/>
              <w:sz w:val="21"/>
              <w:szCs w:val="21"/>
            </w:rPr>
            <w:fldChar w:fldCharType="end"/>
          </w:r>
        </w:p>
        <w:p>
          <w:pPr>
            <w:pStyle w:val="23"/>
            <w:tabs>
              <w:tab w:val="right" w:leader="dot" w:pos="8296"/>
            </w:tabs>
            <w:spacing w:line="276" w:lineRule="auto"/>
            <w:rPr>
              <w:sz w:val="21"/>
              <w:szCs w:val="21"/>
            </w:rPr>
          </w:pPr>
          <w:r>
            <w:fldChar w:fldCharType="begin"/>
          </w:r>
          <w:r>
            <w:instrText xml:space="preserve"> HYPERLINK \l "_Toc122338088" </w:instrText>
          </w:r>
          <w:r>
            <w:fldChar w:fldCharType="separate"/>
          </w:r>
          <w:r>
            <w:rPr>
              <w:rStyle w:val="33"/>
              <w:rFonts w:hint="eastAsia" w:ascii="宋体" w:hAnsi="宋体" w:cs="宋体"/>
              <w:sz w:val="21"/>
              <w:szCs w:val="21"/>
            </w:rPr>
            <w:t>三、投标（响应）文件的递交</w:t>
          </w:r>
          <w:r>
            <w:rPr>
              <w:rFonts w:hint="eastAsia"/>
              <w:sz w:val="21"/>
              <w:szCs w:val="21"/>
            </w:rPr>
            <w:t>..............................................................................................8</w:t>
          </w:r>
          <w:r>
            <w:rPr>
              <w:rFonts w:hint="eastAsia"/>
              <w:sz w:val="21"/>
              <w:szCs w:val="21"/>
            </w:rPr>
            <w:fldChar w:fldCharType="end"/>
          </w:r>
        </w:p>
        <w:p>
          <w:pPr>
            <w:pStyle w:val="23"/>
            <w:tabs>
              <w:tab w:val="right" w:leader="dot" w:pos="8296"/>
            </w:tabs>
            <w:spacing w:line="276" w:lineRule="auto"/>
            <w:rPr>
              <w:sz w:val="21"/>
              <w:szCs w:val="21"/>
            </w:rPr>
          </w:pPr>
          <w:r>
            <w:fldChar w:fldCharType="begin"/>
          </w:r>
          <w:r>
            <w:instrText xml:space="preserve"> HYPERLINK \l "_Toc122338089" </w:instrText>
          </w:r>
          <w:r>
            <w:fldChar w:fldCharType="separate"/>
          </w:r>
          <w:r>
            <w:rPr>
              <w:rStyle w:val="33"/>
              <w:rFonts w:hint="eastAsia" w:ascii="宋体" w:hAnsi="宋体" w:cs="宋体"/>
              <w:sz w:val="21"/>
              <w:szCs w:val="21"/>
            </w:rPr>
            <w:t>四、磋商与评审</w:t>
          </w:r>
          <w:r>
            <w:rPr>
              <w:rFonts w:hint="eastAsia"/>
              <w:sz w:val="21"/>
              <w:szCs w:val="21"/>
            </w:rPr>
            <w:t>.....................................................................................................................1</w:t>
          </w:r>
          <w:r>
            <w:rPr>
              <w:rFonts w:hint="eastAsia"/>
              <w:sz w:val="21"/>
              <w:szCs w:val="21"/>
            </w:rPr>
            <w:fldChar w:fldCharType="end"/>
          </w:r>
          <w:r>
            <w:rPr>
              <w:rFonts w:hint="eastAsia"/>
              <w:sz w:val="21"/>
              <w:szCs w:val="21"/>
            </w:rPr>
            <w:t>0</w:t>
          </w:r>
        </w:p>
        <w:p>
          <w:pPr>
            <w:pStyle w:val="23"/>
            <w:tabs>
              <w:tab w:val="right" w:leader="dot" w:pos="8296"/>
            </w:tabs>
            <w:spacing w:line="276" w:lineRule="auto"/>
            <w:rPr>
              <w:sz w:val="21"/>
              <w:szCs w:val="21"/>
            </w:rPr>
          </w:pPr>
          <w:r>
            <w:fldChar w:fldCharType="begin"/>
          </w:r>
          <w:r>
            <w:instrText xml:space="preserve"> HYPERLINK \l "_Toc122338090" </w:instrText>
          </w:r>
          <w:r>
            <w:fldChar w:fldCharType="separate"/>
          </w:r>
          <w:r>
            <w:rPr>
              <w:rStyle w:val="33"/>
              <w:rFonts w:hint="eastAsia" w:ascii="宋体" w:hAnsi="宋体" w:cs="宋体"/>
              <w:sz w:val="21"/>
              <w:szCs w:val="21"/>
            </w:rPr>
            <w:t>五、成交</w:t>
          </w:r>
          <w:r>
            <w:rPr>
              <w:rFonts w:hint="eastAsia"/>
              <w:sz w:val="21"/>
              <w:szCs w:val="21"/>
            </w:rPr>
            <w:t>.................................................................................................................................1</w:t>
          </w:r>
          <w:r>
            <w:rPr>
              <w:rFonts w:hint="eastAsia"/>
              <w:sz w:val="21"/>
              <w:szCs w:val="21"/>
            </w:rPr>
            <w:fldChar w:fldCharType="end"/>
          </w:r>
          <w:r>
            <w:rPr>
              <w:rFonts w:hint="eastAsia"/>
              <w:sz w:val="21"/>
              <w:szCs w:val="21"/>
            </w:rPr>
            <w:t>4</w:t>
          </w:r>
        </w:p>
        <w:p>
          <w:pPr>
            <w:pStyle w:val="23"/>
            <w:tabs>
              <w:tab w:val="right" w:leader="dot" w:pos="8296"/>
            </w:tabs>
            <w:spacing w:line="276" w:lineRule="auto"/>
            <w:rPr>
              <w:sz w:val="21"/>
              <w:szCs w:val="21"/>
            </w:rPr>
          </w:pPr>
          <w:r>
            <w:fldChar w:fldCharType="begin"/>
          </w:r>
          <w:r>
            <w:instrText xml:space="preserve"> HYPERLINK \l "_Toc122338091" </w:instrText>
          </w:r>
          <w:r>
            <w:fldChar w:fldCharType="separate"/>
          </w:r>
          <w:r>
            <w:rPr>
              <w:rStyle w:val="33"/>
              <w:rFonts w:hint="eastAsia" w:ascii="宋体" w:hAnsi="宋体" w:cs="宋体"/>
              <w:sz w:val="21"/>
              <w:szCs w:val="21"/>
            </w:rPr>
            <w:t>六、合同签订相关事项</w:t>
          </w:r>
          <w:r>
            <w:rPr>
              <w:rFonts w:hint="eastAsia"/>
              <w:sz w:val="21"/>
              <w:szCs w:val="21"/>
            </w:rPr>
            <w:t>.........................................................................................................1</w:t>
          </w:r>
          <w:r>
            <w:rPr>
              <w:rFonts w:hint="eastAsia"/>
              <w:sz w:val="21"/>
              <w:szCs w:val="21"/>
            </w:rPr>
            <w:fldChar w:fldCharType="end"/>
          </w:r>
          <w:r>
            <w:rPr>
              <w:rFonts w:hint="eastAsia"/>
              <w:sz w:val="21"/>
              <w:szCs w:val="21"/>
            </w:rPr>
            <w:t>5</w:t>
          </w:r>
        </w:p>
        <w:p>
          <w:pPr>
            <w:pStyle w:val="23"/>
            <w:tabs>
              <w:tab w:val="right" w:leader="dot" w:pos="8296"/>
            </w:tabs>
            <w:spacing w:line="276" w:lineRule="auto"/>
            <w:rPr>
              <w:sz w:val="21"/>
              <w:szCs w:val="21"/>
            </w:rPr>
          </w:pPr>
          <w:r>
            <w:fldChar w:fldCharType="begin"/>
          </w:r>
          <w:r>
            <w:instrText xml:space="preserve"> HYPERLINK \l "_Toc122338092" </w:instrText>
          </w:r>
          <w:r>
            <w:fldChar w:fldCharType="separate"/>
          </w:r>
          <w:r>
            <w:rPr>
              <w:rStyle w:val="33"/>
              <w:rFonts w:hint="eastAsia" w:ascii="宋体" w:hAnsi="宋体" w:cs="宋体"/>
              <w:sz w:val="21"/>
              <w:szCs w:val="21"/>
            </w:rPr>
            <w:t>七、其他</w:t>
          </w:r>
          <w:r>
            <w:rPr>
              <w:rFonts w:hint="eastAsia"/>
              <w:sz w:val="21"/>
              <w:szCs w:val="21"/>
            </w:rPr>
            <w:t>.................................................................................................................................1</w:t>
          </w:r>
          <w:r>
            <w:rPr>
              <w:rFonts w:hint="eastAsia"/>
              <w:sz w:val="21"/>
              <w:szCs w:val="21"/>
            </w:rPr>
            <w:fldChar w:fldCharType="end"/>
          </w:r>
          <w:r>
            <w:rPr>
              <w:rFonts w:hint="eastAsia"/>
              <w:sz w:val="21"/>
              <w:szCs w:val="21"/>
            </w:rPr>
            <w:t>7</w:t>
          </w:r>
        </w:p>
        <w:p>
          <w:pPr>
            <w:pStyle w:val="22"/>
            <w:tabs>
              <w:tab w:val="right" w:leader="dot" w:pos="8296"/>
            </w:tabs>
            <w:spacing w:line="276" w:lineRule="auto"/>
            <w:rPr>
              <w:rFonts w:eastAsiaTheme="minorEastAsia"/>
              <w:sz w:val="21"/>
              <w:szCs w:val="21"/>
            </w:rPr>
          </w:pPr>
          <w:r>
            <w:fldChar w:fldCharType="begin"/>
          </w:r>
          <w:r>
            <w:instrText xml:space="preserve"> HYPERLINK \l "_Toc122338093" </w:instrText>
          </w:r>
          <w:r>
            <w:fldChar w:fldCharType="separate"/>
          </w:r>
          <w:r>
            <w:rPr>
              <w:rStyle w:val="33"/>
              <w:rFonts w:hint="eastAsia" w:ascii="宋体" w:hAnsi="宋体" w:cs="宋体"/>
              <w:sz w:val="21"/>
              <w:szCs w:val="21"/>
            </w:rPr>
            <w:t>第三章 采购需求及政府采购合同（拟签订的合同文本）</w:t>
          </w:r>
          <w:r>
            <w:rPr>
              <w:sz w:val="21"/>
              <w:szCs w:val="21"/>
            </w:rPr>
            <w:tab/>
          </w:r>
          <w:r>
            <w:rPr>
              <w:sz w:val="21"/>
              <w:szCs w:val="21"/>
            </w:rPr>
            <w:fldChar w:fldCharType="begin"/>
          </w:r>
          <w:r>
            <w:rPr>
              <w:sz w:val="21"/>
              <w:szCs w:val="21"/>
            </w:rPr>
            <w:instrText xml:space="preserve"> PAGEREF _Toc122338093 \h </w:instrText>
          </w:r>
          <w:r>
            <w:rPr>
              <w:sz w:val="21"/>
              <w:szCs w:val="21"/>
            </w:rPr>
            <w:fldChar w:fldCharType="separate"/>
          </w:r>
          <w:r>
            <w:rPr>
              <w:sz w:val="21"/>
              <w:szCs w:val="21"/>
            </w:rPr>
            <w:t>13</w:t>
          </w:r>
          <w:r>
            <w:rPr>
              <w:sz w:val="21"/>
              <w:szCs w:val="21"/>
            </w:rPr>
            <w:fldChar w:fldCharType="end"/>
          </w:r>
          <w:r>
            <w:rPr>
              <w:sz w:val="21"/>
              <w:szCs w:val="21"/>
            </w:rPr>
            <w:fldChar w:fldCharType="end"/>
          </w:r>
        </w:p>
        <w:p>
          <w:pPr>
            <w:pStyle w:val="23"/>
            <w:tabs>
              <w:tab w:val="right" w:leader="dot" w:pos="8296"/>
            </w:tabs>
            <w:spacing w:line="276" w:lineRule="auto"/>
            <w:rPr>
              <w:rFonts w:eastAsiaTheme="minorEastAsia"/>
              <w:sz w:val="21"/>
              <w:szCs w:val="21"/>
            </w:rPr>
          </w:pPr>
          <w:r>
            <w:fldChar w:fldCharType="begin"/>
          </w:r>
          <w:r>
            <w:instrText xml:space="preserve"> HYPERLINK \l "_Toc122338094" </w:instrText>
          </w:r>
          <w:r>
            <w:fldChar w:fldCharType="separate"/>
          </w:r>
          <w:r>
            <w:rPr>
              <w:rStyle w:val="33"/>
              <w:rFonts w:hint="eastAsia" w:ascii="宋体" w:hAnsi="宋体" w:cs="宋体"/>
              <w:bCs/>
              <w:sz w:val="21"/>
              <w:szCs w:val="21"/>
            </w:rPr>
            <w:t>采购需求及</w:t>
          </w:r>
          <w:r>
            <w:rPr>
              <w:rStyle w:val="33"/>
              <w:rFonts w:hint="eastAsia" w:ascii="宋体" w:hAnsi="宋体"/>
              <w:sz w:val="21"/>
              <w:szCs w:val="21"/>
            </w:rPr>
            <w:t>政府采购合同</w:t>
          </w:r>
          <w:r>
            <w:rPr>
              <w:rStyle w:val="33"/>
              <w:rFonts w:hint="eastAsia" w:ascii="宋体" w:hAnsi="宋体" w:cs="宋体"/>
              <w:bCs/>
              <w:sz w:val="21"/>
              <w:szCs w:val="21"/>
            </w:rPr>
            <w:t>前附表</w:t>
          </w:r>
          <w:r>
            <w:rPr>
              <w:sz w:val="21"/>
              <w:szCs w:val="21"/>
            </w:rPr>
            <w:tab/>
          </w:r>
          <w:r>
            <w:rPr>
              <w:sz w:val="21"/>
              <w:szCs w:val="21"/>
            </w:rPr>
            <w:fldChar w:fldCharType="begin"/>
          </w:r>
          <w:r>
            <w:rPr>
              <w:sz w:val="21"/>
              <w:szCs w:val="21"/>
            </w:rPr>
            <w:instrText xml:space="preserve"> PAGEREF _Toc122338094 \h </w:instrText>
          </w:r>
          <w:r>
            <w:rPr>
              <w:sz w:val="21"/>
              <w:szCs w:val="21"/>
            </w:rPr>
            <w:fldChar w:fldCharType="separate"/>
          </w:r>
          <w:r>
            <w:rPr>
              <w:sz w:val="21"/>
              <w:szCs w:val="21"/>
            </w:rPr>
            <w:t>13</w:t>
          </w:r>
          <w:r>
            <w:rPr>
              <w:sz w:val="21"/>
              <w:szCs w:val="21"/>
            </w:rPr>
            <w:fldChar w:fldCharType="end"/>
          </w:r>
          <w:r>
            <w:rPr>
              <w:sz w:val="21"/>
              <w:szCs w:val="21"/>
            </w:rPr>
            <w:fldChar w:fldCharType="end"/>
          </w:r>
        </w:p>
        <w:p>
          <w:pPr>
            <w:pStyle w:val="23"/>
            <w:tabs>
              <w:tab w:val="right" w:leader="dot" w:pos="8296"/>
            </w:tabs>
            <w:spacing w:line="276" w:lineRule="auto"/>
            <w:rPr>
              <w:rFonts w:eastAsiaTheme="minorEastAsia"/>
              <w:sz w:val="21"/>
              <w:szCs w:val="21"/>
            </w:rPr>
          </w:pPr>
          <w:r>
            <w:fldChar w:fldCharType="begin"/>
          </w:r>
          <w:r>
            <w:instrText xml:space="preserve"> HYPERLINK \l "_Toc122338096" </w:instrText>
          </w:r>
          <w:r>
            <w:fldChar w:fldCharType="separate"/>
          </w:r>
          <w:r>
            <w:rPr>
              <w:rStyle w:val="33"/>
              <w:rFonts w:hint="eastAsia" w:ascii="宋体" w:hAnsi="宋体" w:cs="宋体"/>
              <w:sz w:val="21"/>
              <w:szCs w:val="21"/>
            </w:rPr>
            <w:t>第一项采购需求</w:t>
          </w:r>
          <w:r>
            <w:rPr>
              <w:sz w:val="21"/>
              <w:szCs w:val="21"/>
            </w:rPr>
            <w:tab/>
          </w:r>
          <w:r>
            <w:rPr>
              <w:sz w:val="21"/>
              <w:szCs w:val="21"/>
            </w:rPr>
            <w:fldChar w:fldCharType="begin"/>
          </w:r>
          <w:r>
            <w:rPr>
              <w:sz w:val="21"/>
              <w:szCs w:val="21"/>
            </w:rPr>
            <w:instrText xml:space="preserve"> PAGEREF _Toc122338096 \h </w:instrText>
          </w:r>
          <w:r>
            <w:rPr>
              <w:sz w:val="21"/>
              <w:szCs w:val="21"/>
            </w:rPr>
            <w:fldChar w:fldCharType="separate"/>
          </w:r>
          <w:r>
            <w:rPr>
              <w:sz w:val="21"/>
              <w:szCs w:val="21"/>
            </w:rPr>
            <w:t>14</w:t>
          </w:r>
          <w:r>
            <w:rPr>
              <w:sz w:val="21"/>
              <w:szCs w:val="21"/>
            </w:rPr>
            <w:fldChar w:fldCharType="end"/>
          </w:r>
          <w:r>
            <w:rPr>
              <w:sz w:val="21"/>
              <w:szCs w:val="21"/>
            </w:rPr>
            <w:fldChar w:fldCharType="end"/>
          </w:r>
        </w:p>
        <w:p>
          <w:pPr>
            <w:pStyle w:val="23"/>
            <w:tabs>
              <w:tab w:val="right" w:leader="dot" w:pos="8296"/>
            </w:tabs>
            <w:spacing w:line="276" w:lineRule="auto"/>
            <w:rPr>
              <w:rFonts w:eastAsiaTheme="minorEastAsia"/>
              <w:sz w:val="21"/>
              <w:szCs w:val="21"/>
            </w:rPr>
          </w:pPr>
          <w:r>
            <w:fldChar w:fldCharType="begin"/>
          </w:r>
          <w:r>
            <w:instrText xml:space="preserve"> HYPERLINK \l "_Toc122338097" </w:instrText>
          </w:r>
          <w:r>
            <w:fldChar w:fldCharType="separate"/>
          </w:r>
          <w:r>
            <w:rPr>
              <w:rStyle w:val="33"/>
              <w:rFonts w:hint="eastAsia" w:ascii="宋体" w:hAnsi="宋体" w:cs="宋体"/>
              <w:bCs/>
              <w:sz w:val="21"/>
              <w:szCs w:val="21"/>
            </w:rPr>
            <w:t>第二项</w:t>
          </w:r>
          <w:r>
            <w:rPr>
              <w:rStyle w:val="33"/>
              <w:rFonts w:hint="eastAsia" w:ascii="宋体" w:hAnsi="宋体" w:cs="宋体"/>
              <w:sz w:val="21"/>
              <w:szCs w:val="21"/>
            </w:rPr>
            <w:t xml:space="preserve"> 政府采购合同（拟签订的合同文本</w:t>
          </w:r>
          <w:r>
            <w:rPr>
              <w:rStyle w:val="33"/>
              <w:rFonts w:hint="eastAsia" w:ascii="宋体" w:hAnsi="宋体" w:cs="宋体"/>
              <w:bCs/>
              <w:sz w:val="21"/>
              <w:szCs w:val="21"/>
            </w:rPr>
            <w:t>）</w:t>
          </w:r>
          <w:r>
            <w:rPr>
              <w:sz w:val="21"/>
              <w:szCs w:val="21"/>
            </w:rPr>
            <w:tab/>
          </w:r>
          <w:r>
            <w:rPr>
              <w:sz w:val="21"/>
              <w:szCs w:val="21"/>
            </w:rPr>
            <w:fldChar w:fldCharType="begin"/>
          </w:r>
          <w:r>
            <w:rPr>
              <w:sz w:val="21"/>
              <w:szCs w:val="21"/>
            </w:rPr>
            <w:instrText xml:space="preserve"> PAGEREF _Toc122338097 \h </w:instrText>
          </w:r>
          <w:r>
            <w:rPr>
              <w:sz w:val="21"/>
              <w:szCs w:val="21"/>
            </w:rPr>
            <w:fldChar w:fldCharType="separate"/>
          </w:r>
          <w:r>
            <w:rPr>
              <w:sz w:val="21"/>
              <w:szCs w:val="21"/>
            </w:rPr>
            <w:t>19</w:t>
          </w:r>
          <w:r>
            <w:rPr>
              <w:sz w:val="21"/>
              <w:szCs w:val="21"/>
            </w:rPr>
            <w:fldChar w:fldCharType="end"/>
          </w:r>
          <w:r>
            <w:rPr>
              <w:sz w:val="21"/>
              <w:szCs w:val="21"/>
            </w:rPr>
            <w:fldChar w:fldCharType="end"/>
          </w:r>
        </w:p>
        <w:p>
          <w:pPr>
            <w:pStyle w:val="22"/>
            <w:tabs>
              <w:tab w:val="right" w:leader="dot" w:pos="8296"/>
            </w:tabs>
            <w:spacing w:line="276" w:lineRule="auto"/>
            <w:rPr>
              <w:sz w:val="21"/>
              <w:szCs w:val="21"/>
            </w:rPr>
          </w:pPr>
          <w:r>
            <w:fldChar w:fldCharType="begin"/>
          </w:r>
          <w:r>
            <w:instrText xml:space="preserve"> HYPERLINK \l "_Toc122338098" </w:instrText>
          </w:r>
          <w:r>
            <w:fldChar w:fldCharType="separate"/>
          </w:r>
          <w:r>
            <w:rPr>
              <w:rStyle w:val="33"/>
              <w:rFonts w:hint="eastAsia" w:ascii="宋体" w:hAnsi="宋体" w:cs="宋体"/>
              <w:sz w:val="21"/>
              <w:szCs w:val="21"/>
            </w:rPr>
            <w:t>第四章 评标方法和标准</w:t>
          </w:r>
          <w:r>
            <w:rPr>
              <w:rStyle w:val="33"/>
              <w:rFonts w:hint="eastAsia" w:ascii="宋体" w:hAnsi="宋体"/>
              <w:sz w:val="21"/>
              <w:szCs w:val="21"/>
            </w:rPr>
            <w:t>（主要部分）</w:t>
          </w:r>
          <w:r>
            <w:rPr>
              <w:sz w:val="21"/>
              <w:szCs w:val="21"/>
            </w:rPr>
            <w:tab/>
          </w:r>
          <w:r>
            <w:rPr>
              <w:rFonts w:hint="eastAsia"/>
              <w:sz w:val="21"/>
              <w:szCs w:val="21"/>
            </w:rPr>
            <w:t>2</w:t>
          </w:r>
          <w:r>
            <w:rPr>
              <w:rFonts w:hint="eastAsia"/>
              <w:sz w:val="21"/>
              <w:szCs w:val="21"/>
            </w:rPr>
            <w:fldChar w:fldCharType="end"/>
          </w:r>
          <w:r>
            <w:rPr>
              <w:rFonts w:hint="eastAsia"/>
              <w:sz w:val="21"/>
              <w:szCs w:val="21"/>
            </w:rPr>
            <w:t>8</w:t>
          </w:r>
        </w:p>
        <w:p>
          <w:pPr>
            <w:pStyle w:val="23"/>
            <w:tabs>
              <w:tab w:val="right" w:leader="dot" w:pos="8296"/>
            </w:tabs>
            <w:spacing w:line="276" w:lineRule="auto"/>
            <w:rPr>
              <w:sz w:val="21"/>
              <w:szCs w:val="21"/>
            </w:rPr>
          </w:pPr>
          <w:r>
            <w:fldChar w:fldCharType="begin"/>
          </w:r>
          <w:r>
            <w:instrText xml:space="preserve"> HYPERLINK \l "_Toc122338099" </w:instrText>
          </w:r>
          <w:r>
            <w:fldChar w:fldCharType="separate"/>
          </w:r>
          <w:r>
            <w:rPr>
              <w:rStyle w:val="33"/>
              <w:rFonts w:hint="eastAsia" w:ascii="宋体" w:hAnsi="宋体" w:cs="宋体"/>
              <w:kern w:val="0"/>
              <w:sz w:val="21"/>
              <w:szCs w:val="21"/>
            </w:rPr>
            <w:t>一、评标方法</w:t>
          </w:r>
          <w:r>
            <w:rPr>
              <w:sz w:val="21"/>
              <w:szCs w:val="21"/>
            </w:rPr>
            <w:tab/>
          </w:r>
          <w:r>
            <w:rPr>
              <w:rFonts w:hint="eastAsia"/>
              <w:sz w:val="21"/>
              <w:szCs w:val="21"/>
            </w:rPr>
            <w:t>2</w:t>
          </w:r>
          <w:r>
            <w:rPr>
              <w:rFonts w:hint="eastAsia"/>
              <w:sz w:val="21"/>
              <w:szCs w:val="21"/>
            </w:rPr>
            <w:fldChar w:fldCharType="end"/>
          </w:r>
          <w:r>
            <w:rPr>
              <w:rFonts w:hint="eastAsia"/>
              <w:sz w:val="21"/>
              <w:szCs w:val="21"/>
            </w:rPr>
            <w:t>8</w:t>
          </w:r>
        </w:p>
        <w:p>
          <w:pPr>
            <w:pStyle w:val="23"/>
            <w:tabs>
              <w:tab w:val="right" w:leader="dot" w:pos="8296"/>
            </w:tabs>
            <w:spacing w:line="276" w:lineRule="auto"/>
            <w:rPr>
              <w:sz w:val="21"/>
              <w:szCs w:val="21"/>
            </w:rPr>
          </w:pPr>
          <w:r>
            <w:fldChar w:fldCharType="begin"/>
          </w:r>
          <w:r>
            <w:instrText xml:space="preserve"> HYPERLINK \l "_Toc122338100" </w:instrText>
          </w:r>
          <w:r>
            <w:fldChar w:fldCharType="separate"/>
          </w:r>
          <w:r>
            <w:rPr>
              <w:rStyle w:val="33"/>
              <w:rFonts w:hint="eastAsia" w:asciiTheme="minorEastAsia" w:hAnsiTheme="minorEastAsia" w:cstheme="minorEastAsia"/>
              <w:kern w:val="0"/>
              <w:sz w:val="21"/>
              <w:szCs w:val="21"/>
            </w:rPr>
            <w:t>二、评分标准</w:t>
          </w:r>
          <w:r>
            <w:rPr>
              <w:sz w:val="21"/>
              <w:szCs w:val="21"/>
            </w:rPr>
            <w:tab/>
          </w:r>
          <w:r>
            <w:rPr>
              <w:rFonts w:hint="eastAsia"/>
              <w:sz w:val="21"/>
              <w:szCs w:val="21"/>
            </w:rPr>
            <w:t>2</w:t>
          </w:r>
          <w:r>
            <w:rPr>
              <w:rFonts w:hint="eastAsia"/>
              <w:sz w:val="21"/>
              <w:szCs w:val="21"/>
            </w:rPr>
            <w:fldChar w:fldCharType="end"/>
          </w:r>
          <w:r>
            <w:rPr>
              <w:rFonts w:hint="eastAsia"/>
              <w:sz w:val="21"/>
              <w:szCs w:val="21"/>
            </w:rPr>
            <w:t>9</w:t>
          </w:r>
        </w:p>
        <w:p>
          <w:pPr>
            <w:pStyle w:val="22"/>
            <w:tabs>
              <w:tab w:val="right" w:leader="dot" w:pos="8296"/>
            </w:tabs>
            <w:spacing w:line="276" w:lineRule="auto"/>
            <w:rPr>
              <w:sz w:val="21"/>
              <w:szCs w:val="21"/>
            </w:rPr>
          </w:pPr>
          <w:r>
            <w:fldChar w:fldCharType="begin"/>
          </w:r>
          <w:r>
            <w:instrText xml:space="preserve"> HYPERLINK \l "_Toc122338101" </w:instrText>
          </w:r>
          <w:r>
            <w:fldChar w:fldCharType="separate"/>
          </w:r>
          <w:r>
            <w:rPr>
              <w:rStyle w:val="33"/>
              <w:rFonts w:hint="eastAsia" w:ascii="宋体" w:hAnsi="宋体" w:cs="宋体"/>
              <w:sz w:val="21"/>
              <w:szCs w:val="21"/>
            </w:rPr>
            <w:t>第五章 投标（响应）文件格式</w:t>
          </w:r>
          <w:r>
            <w:rPr>
              <w:sz w:val="21"/>
              <w:szCs w:val="21"/>
            </w:rPr>
            <w:tab/>
          </w:r>
          <w:r>
            <w:rPr>
              <w:rFonts w:hint="eastAsia"/>
              <w:sz w:val="21"/>
              <w:szCs w:val="21"/>
            </w:rPr>
            <w:t>3</w:t>
          </w:r>
          <w:r>
            <w:rPr>
              <w:rFonts w:hint="eastAsia"/>
              <w:sz w:val="21"/>
              <w:szCs w:val="21"/>
            </w:rPr>
            <w:fldChar w:fldCharType="end"/>
          </w:r>
          <w:r>
            <w:rPr>
              <w:rFonts w:hint="eastAsia"/>
              <w:sz w:val="21"/>
              <w:szCs w:val="21"/>
            </w:rPr>
            <w:t>1</w:t>
          </w:r>
        </w:p>
        <w:p>
          <w:pPr>
            <w:pStyle w:val="23"/>
            <w:tabs>
              <w:tab w:val="right" w:leader="dot" w:pos="8296"/>
            </w:tabs>
            <w:spacing w:line="276" w:lineRule="auto"/>
            <w:rPr>
              <w:sz w:val="21"/>
              <w:szCs w:val="21"/>
            </w:rPr>
          </w:pPr>
          <w:r>
            <w:fldChar w:fldCharType="begin"/>
          </w:r>
          <w:r>
            <w:instrText xml:space="preserve"> HYPERLINK \l "_Toc122338102" </w:instrText>
          </w:r>
          <w:r>
            <w:fldChar w:fldCharType="separate"/>
          </w:r>
          <w:r>
            <w:rPr>
              <w:rStyle w:val="33"/>
              <w:rFonts w:hint="eastAsia" w:ascii="宋体" w:hAnsi="宋体" w:cs="宋体"/>
              <w:sz w:val="21"/>
              <w:szCs w:val="21"/>
            </w:rPr>
            <w:t>投标（响应）文件目录</w:t>
          </w:r>
          <w:r>
            <w:rPr>
              <w:sz w:val="21"/>
              <w:szCs w:val="21"/>
            </w:rPr>
            <w:tab/>
          </w:r>
          <w:r>
            <w:rPr>
              <w:rFonts w:hint="eastAsia"/>
              <w:sz w:val="21"/>
              <w:szCs w:val="21"/>
            </w:rPr>
            <w:t>3</w:t>
          </w:r>
          <w:r>
            <w:rPr>
              <w:rFonts w:hint="eastAsia"/>
              <w:sz w:val="21"/>
              <w:szCs w:val="21"/>
            </w:rPr>
            <w:fldChar w:fldCharType="end"/>
          </w:r>
          <w:r>
            <w:rPr>
              <w:rFonts w:hint="eastAsia"/>
              <w:sz w:val="21"/>
              <w:szCs w:val="21"/>
            </w:rPr>
            <w:t>2</w:t>
          </w:r>
        </w:p>
        <w:p>
          <w:pPr>
            <w:pStyle w:val="23"/>
            <w:tabs>
              <w:tab w:val="right" w:leader="dot" w:pos="8296"/>
            </w:tabs>
            <w:spacing w:line="276" w:lineRule="auto"/>
            <w:rPr>
              <w:sz w:val="21"/>
              <w:szCs w:val="21"/>
            </w:rPr>
          </w:pPr>
          <w:r>
            <w:fldChar w:fldCharType="begin"/>
          </w:r>
          <w:r>
            <w:instrText xml:space="preserve"> HYPERLINK \l "_Toc122338103" </w:instrText>
          </w:r>
          <w:r>
            <w:fldChar w:fldCharType="separate"/>
          </w:r>
          <w:r>
            <w:rPr>
              <w:rStyle w:val="33"/>
              <w:rFonts w:hint="eastAsia" w:ascii="宋体" w:hAnsi="宋体" w:cs="宋体"/>
              <w:bCs/>
              <w:sz w:val="21"/>
              <w:szCs w:val="21"/>
            </w:rPr>
            <w:t>一、报价一览表</w:t>
          </w:r>
          <w:r>
            <w:rPr>
              <w:rStyle w:val="33"/>
              <w:rFonts w:ascii="宋体" w:hAnsi="宋体" w:cs="宋体"/>
              <w:bCs/>
              <w:sz w:val="21"/>
              <w:szCs w:val="21"/>
            </w:rPr>
            <w:t>(</w:t>
          </w:r>
          <w:r>
            <w:rPr>
              <w:rStyle w:val="33"/>
              <w:rFonts w:hint="eastAsia" w:ascii="宋体" w:hAnsi="宋体" w:cs="宋体"/>
              <w:bCs/>
              <w:sz w:val="21"/>
              <w:szCs w:val="21"/>
            </w:rPr>
            <w:t>报价表</w:t>
          </w:r>
          <w:r>
            <w:rPr>
              <w:rStyle w:val="33"/>
              <w:rFonts w:ascii="宋体" w:hAnsi="宋体" w:cs="宋体"/>
              <w:bCs/>
              <w:sz w:val="21"/>
              <w:szCs w:val="21"/>
            </w:rPr>
            <w:t>)</w:t>
          </w:r>
          <w:r>
            <w:rPr>
              <w:rStyle w:val="33"/>
              <w:rFonts w:hint="eastAsia" w:ascii="宋体" w:hAnsi="宋体" w:cs="宋体"/>
              <w:bCs/>
              <w:sz w:val="21"/>
              <w:szCs w:val="21"/>
            </w:rPr>
            <w:t>（格式）</w:t>
          </w:r>
          <w:r>
            <w:rPr>
              <w:sz w:val="21"/>
              <w:szCs w:val="21"/>
            </w:rPr>
            <w:tab/>
          </w:r>
          <w:r>
            <w:rPr>
              <w:rFonts w:hint="eastAsia"/>
              <w:sz w:val="21"/>
              <w:szCs w:val="21"/>
            </w:rPr>
            <w:t>3</w:t>
          </w:r>
          <w:r>
            <w:rPr>
              <w:rFonts w:hint="eastAsia"/>
              <w:sz w:val="21"/>
              <w:szCs w:val="21"/>
            </w:rPr>
            <w:fldChar w:fldCharType="end"/>
          </w:r>
          <w:r>
            <w:rPr>
              <w:rFonts w:hint="eastAsia"/>
              <w:sz w:val="21"/>
              <w:szCs w:val="21"/>
            </w:rPr>
            <w:t>3</w:t>
          </w:r>
        </w:p>
        <w:p>
          <w:pPr>
            <w:pStyle w:val="23"/>
            <w:tabs>
              <w:tab w:val="right" w:leader="dot" w:pos="8296"/>
            </w:tabs>
            <w:spacing w:line="276" w:lineRule="auto"/>
            <w:rPr>
              <w:sz w:val="21"/>
              <w:szCs w:val="21"/>
            </w:rPr>
          </w:pPr>
          <w:r>
            <w:fldChar w:fldCharType="begin"/>
          </w:r>
          <w:r>
            <w:instrText xml:space="preserve"> HYPERLINK \l "_Toc122338104" </w:instrText>
          </w:r>
          <w:r>
            <w:fldChar w:fldCharType="separate"/>
          </w:r>
          <w:r>
            <w:rPr>
              <w:rStyle w:val="33"/>
              <w:rFonts w:hint="eastAsia" w:ascii="宋体" w:hAnsi="宋体"/>
              <w:sz w:val="21"/>
              <w:szCs w:val="21"/>
            </w:rPr>
            <w:t>二、供应商的资格证明文件</w:t>
          </w:r>
          <w:r>
            <w:rPr>
              <w:sz w:val="21"/>
              <w:szCs w:val="21"/>
            </w:rPr>
            <w:tab/>
          </w:r>
          <w:r>
            <w:rPr>
              <w:rFonts w:hint="eastAsia"/>
              <w:sz w:val="21"/>
              <w:szCs w:val="21"/>
            </w:rPr>
            <w:t>3</w:t>
          </w:r>
          <w:r>
            <w:rPr>
              <w:rFonts w:hint="eastAsia"/>
              <w:sz w:val="21"/>
              <w:szCs w:val="21"/>
            </w:rPr>
            <w:fldChar w:fldCharType="end"/>
          </w:r>
          <w:r>
            <w:rPr>
              <w:rFonts w:hint="eastAsia"/>
              <w:sz w:val="21"/>
              <w:szCs w:val="21"/>
            </w:rPr>
            <w:t>4</w:t>
          </w:r>
        </w:p>
        <w:p>
          <w:pPr>
            <w:pStyle w:val="23"/>
            <w:tabs>
              <w:tab w:val="right" w:leader="dot" w:pos="8296"/>
            </w:tabs>
            <w:spacing w:line="276" w:lineRule="auto"/>
            <w:rPr>
              <w:sz w:val="21"/>
              <w:szCs w:val="21"/>
            </w:rPr>
          </w:pPr>
          <w:r>
            <w:fldChar w:fldCharType="begin"/>
          </w:r>
          <w:r>
            <w:instrText xml:space="preserve"> HYPERLINK \l "_Toc122338105" </w:instrText>
          </w:r>
          <w:r>
            <w:fldChar w:fldCharType="separate"/>
          </w:r>
          <w:r>
            <w:rPr>
              <w:rStyle w:val="33"/>
              <w:rFonts w:hint="eastAsia" w:hAnsi="宋体" w:cs="宋体"/>
              <w:sz w:val="21"/>
              <w:szCs w:val="21"/>
            </w:rPr>
            <w:t>三、法定代表人授权委托书</w:t>
          </w:r>
          <w:r>
            <w:rPr>
              <w:rStyle w:val="33"/>
              <w:rFonts w:hAnsi="宋体" w:cs="宋体"/>
              <w:sz w:val="21"/>
              <w:szCs w:val="21"/>
            </w:rPr>
            <w:t>(</w:t>
          </w:r>
          <w:r>
            <w:rPr>
              <w:rStyle w:val="33"/>
              <w:rFonts w:hint="eastAsia" w:hAnsi="宋体" w:cs="宋体"/>
              <w:sz w:val="21"/>
              <w:szCs w:val="21"/>
            </w:rPr>
            <w:t>格式）</w:t>
          </w:r>
          <w:r>
            <w:rPr>
              <w:sz w:val="21"/>
              <w:szCs w:val="21"/>
            </w:rPr>
            <w:tab/>
          </w:r>
          <w:r>
            <w:rPr>
              <w:rFonts w:hint="eastAsia"/>
              <w:sz w:val="21"/>
              <w:szCs w:val="21"/>
            </w:rPr>
            <w:t>3</w:t>
          </w:r>
          <w:r>
            <w:rPr>
              <w:rFonts w:hint="eastAsia"/>
              <w:sz w:val="21"/>
              <w:szCs w:val="21"/>
            </w:rPr>
            <w:fldChar w:fldCharType="end"/>
          </w:r>
          <w:r>
            <w:rPr>
              <w:rFonts w:hint="eastAsia"/>
              <w:sz w:val="21"/>
              <w:szCs w:val="21"/>
            </w:rPr>
            <w:t>8</w:t>
          </w:r>
        </w:p>
        <w:p>
          <w:pPr>
            <w:pStyle w:val="23"/>
            <w:tabs>
              <w:tab w:val="right" w:leader="dot" w:pos="8296"/>
            </w:tabs>
            <w:spacing w:line="276" w:lineRule="auto"/>
            <w:rPr>
              <w:sz w:val="21"/>
              <w:szCs w:val="21"/>
            </w:rPr>
          </w:pPr>
          <w:r>
            <w:fldChar w:fldCharType="begin"/>
          </w:r>
          <w:r>
            <w:instrText xml:space="preserve"> HYPERLINK \l "_Toc122338106" </w:instrText>
          </w:r>
          <w:r>
            <w:fldChar w:fldCharType="separate"/>
          </w:r>
          <w:r>
            <w:rPr>
              <w:rStyle w:val="33"/>
              <w:rFonts w:hint="eastAsia" w:ascii="宋体" w:hAnsi="宋体" w:cs="宋体"/>
              <w:sz w:val="21"/>
              <w:szCs w:val="21"/>
            </w:rPr>
            <w:t>四、投标（响应）书（格式）</w:t>
          </w:r>
          <w:r>
            <w:rPr>
              <w:sz w:val="21"/>
              <w:szCs w:val="21"/>
            </w:rPr>
            <w:tab/>
          </w:r>
          <w:r>
            <w:rPr>
              <w:rFonts w:hint="eastAsia"/>
              <w:sz w:val="21"/>
              <w:szCs w:val="21"/>
            </w:rPr>
            <w:t>3</w:t>
          </w:r>
          <w:r>
            <w:rPr>
              <w:rFonts w:hint="eastAsia"/>
              <w:sz w:val="21"/>
              <w:szCs w:val="21"/>
            </w:rPr>
            <w:fldChar w:fldCharType="end"/>
          </w:r>
          <w:r>
            <w:rPr>
              <w:rFonts w:hint="eastAsia"/>
              <w:sz w:val="21"/>
              <w:szCs w:val="21"/>
            </w:rPr>
            <w:t>9</w:t>
          </w:r>
        </w:p>
        <w:p>
          <w:pPr>
            <w:pStyle w:val="23"/>
            <w:tabs>
              <w:tab w:val="right" w:leader="dot" w:pos="8296"/>
            </w:tabs>
            <w:spacing w:line="276" w:lineRule="auto"/>
            <w:rPr>
              <w:sz w:val="21"/>
              <w:szCs w:val="21"/>
            </w:rPr>
          </w:pPr>
          <w:r>
            <w:fldChar w:fldCharType="begin"/>
          </w:r>
          <w:r>
            <w:instrText xml:space="preserve"> HYPERLINK \l "_Toc122338107" </w:instrText>
          </w:r>
          <w:r>
            <w:fldChar w:fldCharType="separate"/>
          </w:r>
          <w:r>
            <w:rPr>
              <w:rStyle w:val="33"/>
              <w:rFonts w:hint="eastAsia" w:ascii="宋体" w:hAnsi="宋体"/>
              <w:sz w:val="21"/>
              <w:szCs w:val="21"/>
            </w:rPr>
            <w:t>五、盐城市政府采购事前信用承诺书（格式）</w:t>
          </w:r>
          <w:r>
            <w:rPr>
              <w:sz w:val="21"/>
              <w:szCs w:val="21"/>
            </w:rPr>
            <w:tab/>
          </w:r>
          <w:r>
            <w:rPr>
              <w:rFonts w:hint="eastAsia"/>
              <w:sz w:val="21"/>
              <w:szCs w:val="21"/>
            </w:rPr>
            <w:t>4</w:t>
          </w:r>
          <w:r>
            <w:rPr>
              <w:rFonts w:hint="eastAsia"/>
              <w:sz w:val="21"/>
              <w:szCs w:val="21"/>
            </w:rPr>
            <w:fldChar w:fldCharType="end"/>
          </w:r>
          <w:r>
            <w:rPr>
              <w:rFonts w:hint="eastAsia"/>
              <w:sz w:val="21"/>
              <w:szCs w:val="21"/>
            </w:rPr>
            <w:t>0</w:t>
          </w:r>
        </w:p>
        <w:p>
          <w:pPr>
            <w:pStyle w:val="23"/>
            <w:tabs>
              <w:tab w:val="right" w:leader="dot" w:pos="8296"/>
            </w:tabs>
            <w:spacing w:line="276" w:lineRule="auto"/>
            <w:rPr>
              <w:sz w:val="21"/>
              <w:szCs w:val="21"/>
            </w:rPr>
          </w:pPr>
          <w:r>
            <w:fldChar w:fldCharType="begin"/>
          </w:r>
          <w:r>
            <w:instrText xml:space="preserve"> HYPERLINK \l "_Toc122338108" </w:instrText>
          </w:r>
          <w:r>
            <w:fldChar w:fldCharType="separate"/>
          </w:r>
          <w:r>
            <w:rPr>
              <w:rStyle w:val="33"/>
              <w:rFonts w:hint="eastAsia" w:ascii="宋体" w:hAnsi="宋体"/>
              <w:sz w:val="21"/>
              <w:szCs w:val="21"/>
            </w:rPr>
            <w:t>六、商务条款偏离表（格式）</w:t>
          </w:r>
          <w:r>
            <w:rPr>
              <w:sz w:val="21"/>
              <w:szCs w:val="21"/>
            </w:rPr>
            <w:tab/>
          </w:r>
          <w:r>
            <w:rPr>
              <w:rFonts w:hint="eastAsia"/>
              <w:sz w:val="21"/>
              <w:szCs w:val="21"/>
            </w:rPr>
            <w:t>4</w:t>
          </w:r>
          <w:r>
            <w:rPr>
              <w:rFonts w:hint="eastAsia"/>
              <w:sz w:val="21"/>
              <w:szCs w:val="21"/>
            </w:rPr>
            <w:fldChar w:fldCharType="end"/>
          </w:r>
          <w:r>
            <w:rPr>
              <w:rFonts w:hint="eastAsia"/>
              <w:sz w:val="21"/>
              <w:szCs w:val="21"/>
            </w:rPr>
            <w:t>1</w:t>
          </w:r>
        </w:p>
        <w:p>
          <w:pPr>
            <w:pStyle w:val="23"/>
            <w:tabs>
              <w:tab w:val="right" w:leader="dot" w:pos="8296"/>
            </w:tabs>
            <w:spacing w:line="276" w:lineRule="auto"/>
            <w:rPr>
              <w:szCs w:val="21"/>
            </w:rPr>
          </w:pPr>
          <w:r>
            <w:fldChar w:fldCharType="begin"/>
          </w:r>
          <w:r>
            <w:instrText xml:space="preserve"> HYPERLINK \l "_Toc122338109" </w:instrText>
          </w:r>
          <w:r>
            <w:fldChar w:fldCharType="separate"/>
          </w:r>
          <w:r>
            <w:rPr>
              <w:rStyle w:val="33"/>
              <w:rFonts w:hint="eastAsia" w:ascii="宋体" w:hAnsi="宋体"/>
              <w:sz w:val="21"/>
              <w:szCs w:val="21"/>
            </w:rPr>
            <w:t>七、投标（响应）分项报价表（格式）</w:t>
          </w:r>
          <w:r>
            <w:rPr>
              <w:sz w:val="21"/>
              <w:szCs w:val="21"/>
            </w:rPr>
            <w:tab/>
          </w:r>
          <w:r>
            <w:rPr>
              <w:rFonts w:hint="eastAsia"/>
              <w:sz w:val="21"/>
              <w:szCs w:val="21"/>
            </w:rPr>
            <w:t>4</w:t>
          </w:r>
          <w:r>
            <w:rPr>
              <w:rFonts w:hint="eastAsia"/>
              <w:sz w:val="21"/>
              <w:szCs w:val="21"/>
            </w:rPr>
            <w:fldChar w:fldCharType="end"/>
          </w:r>
          <w:r>
            <w:rPr>
              <w:rFonts w:hint="eastAsia"/>
              <w:sz w:val="21"/>
              <w:szCs w:val="21"/>
            </w:rPr>
            <w:t>2</w:t>
          </w:r>
        </w:p>
        <w:p>
          <w:pPr>
            <w:pStyle w:val="23"/>
            <w:tabs>
              <w:tab w:val="right" w:leader="dot" w:pos="8296"/>
            </w:tabs>
            <w:spacing w:line="276" w:lineRule="auto"/>
            <w:rPr>
              <w:sz w:val="21"/>
              <w:szCs w:val="21"/>
            </w:rPr>
          </w:pPr>
          <w:r>
            <w:fldChar w:fldCharType="begin"/>
          </w:r>
          <w:r>
            <w:instrText xml:space="preserve"> HYPERLINK \l "_Toc122338112" </w:instrText>
          </w:r>
          <w:r>
            <w:fldChar w:fldCharType="separate"/>
          </w:r>
          <w:r>
            <w:rPr>
              <w:rStyle w:val="33"/>
              <w:rFonts w:hint="eastAsia"/>
              <w:sz w:val="21"/>
              <w:szCs w:val="21"/>
            </w:rPr>
            <w:t>八、技术规格（采购需求）偏离表</w:t>
          </w:r>
          <w:r>
            <w:rPr>
              <w:sz w:val="21"/>
              <w:szCs w:val="21"/>
            </w:rPr>
            <w:tab/>
          </w:r>
          <w:r>
            <w:rPr>
              <w:rFonts w:hint="eastAsia"/>
              <w:sz w:val="21"/>
              <w:szCs w:val="21"/>
            </w:rPr>
            <w:t>4</w:t>
          </w:r>
          <w:r>
            <w:rPr>
              <w:rFonts w:hint="eastAsia"/>
              <w:sz w:val="21"/>
              <w:szCs w:val="21"/>
            </w:rPr>
            <w:fldChar w:fldCharType="end"/>
          </w:r>
          <w:r>
            <w:rPr>
              <w:rFonts w:hint="eastAsia"/>
              <w:sz w:val="21"/>
              <w:szCs w:val="21"/>
            </w:rPr>
            <w:t>3</w:t>
          </w:r>
        </w:p>
        <w:p>
          <w:pPr>
            <w:pStyle w:val="23"/>
            <w:tabs>
              <w:tab w:val="right" w:leader="dot" w:pos="8296"/>
            </w:tabs>
            <w:spacing w:line="276" w:lineRule="auto"/>
          </w:pPr>
          <w:r>
            <w:fldChar w:fldCharType="begin"/>
          </w:r>
          <w:r>
            <w:instrText xml:space="preserve"> HYPERLINK \l "_Toc122338117" </w:instrText>
          </w:r>
          <w:r>
            <w:fldChar w:fldCharType="separate"/>
          </w:r>
          <w:r>
            <w:rPr>
              <w:rFonts w:hint="eastAsia"/>
            </w:rPr>
            <w:t>九</w:t>
          </w:r>
          <w:r>
            <w:rPr>
              <w:rStyle w:val="33"/>
              <w:rFonts w:hint="eastAsia" w:ascii="宋体" w:hAnsi="宋体" w:cs="宋体"/>
              <w:sz w:val="21"/>
              <w:szCs w:val="21"/>
            </w:rPr>
            <w:t>、</w:t>
          </w:r>
          <w:r>
            <w:rPr>
              <w:rStyle w:val="33"/>
              <w:rFonts w:hint="eastAsia" w:ascii="宋体" w:hAnsi="宋体"/>
              <w:sz w:val="21"/>
              <w:szCs w:val="21"/>
            </w:rPr>
            <w:t>投标（响应）文件的</w:t>
          </w:r>
          <w:r>
            <w:rPr>
              <w:rStyle w:val="33"/>
              <w:rFonts w:hint="eastAsia" w:ascii="宋体" w:hAnsi="宋体" w:cs="宋体"/>
              <w:sz w:val="21"/>
              <w:szCs w:val="21"/>
            </w:rPr>
            <w:t>其它内容</w:t>
          </w:r>
          <w:r>
            <w:rPr>
              <w:sz w:val="21"/>
              <w:szCs w:val="21"/>
            </w:rPr>
            <w:tab/>
          </w:r>
          <w:r>
            <w:rPr>
              <w:rFonts w:hint="eastAsia"/>
              <w:sz w:val="21"/>
              <w:szCs w:val="21"/>
            </w:rPr>
            <w:t>4</w:t>
          </w:r>
          <w:r>
            <w:rPr>
              <w:rFonts w:hint="eastAsia"/>
              <w:sz w:val="21"/>
              <w:szCs w:val="21"/>
            </w:rPr>
            <w:fldChar w:fldCharType="end"/>
          </w:r>
          <w:r>
            <w:rPr>
              <w:b/>
              <w:bCs/>
              <w:lang w:val="zh-CN"/>
            </w:rPr>
            <w:fldChar w:fldCharType="end"/>
          </w:r>
          <w:r>
            <w:rPr>
              <w:rFonts w:hint="eastAsia"/>
            </w:rPr>
            <w:t>4</w:t>
          </w:r>
        </w:p>
        <w:p>
          <w:pPr>
            <w:pStyle w:val="23"/>
            <w:tabs>
              <w:tab w:val="right" w:leader="dot" w:pos="8296"/>
            </w:tabs>
            <w:spacing w:line="276" w:lineRule="auto"/>
          </w:pPr>
        </w:p>
      </w:sdtContent>
    </w:sdt>
    <w:p>
      <w:pPr>
        <w:sectPr>
          <w:pgSz w:w="11906" w:h="16838"/>
          <w:pgMar w:top="1440" w:right="1800" w:bottom="1440" w:left="1800" w:header="851" w:footer="992" w:gutter="0"/>
          <w:cols w:space="425" w:num="1"/>
          <w:docGrid w:type="lines" w:linePitch="312" w:charSpace="0"/>
        </w:sectPr>
      </w:pPr>
    </w:p>
    <w:p>
      <w:pPr>
        <w:numPr>
          <w:ilvl w:val="0"/>
          <w:numId w:val="1"/>
        </w:numPr>
        <w:spacing w:line="480" w:lineRule="auto"/>
        <w:jc w:val="center"/>
        <w:outlineLvl w:val="0"/>
        <w:rPr>
          <w:rFonts w:ascii="宋体" w:hAnsi="宋体" w:cs="宋体"/>
          <w:b/>
          <w:sz w:val="32"/>
          <w:szCs w:val="21"/>
        </w:rPr>
      </w:pPr>
      <w:bookmarkStart w:id="0" w:name="_Toc122338083"/>
      <w:r>
        <w:rPr>
          <w:rFonts w:hint="eastAsia" w:ascii="宋体" w:hAnsi="宋体" w:cs="宋体"/>
          <w:b/>
          <w:sz w:val="32"/>
          <w:szCs w:val="21"/>
        </w:rPr>
        <w:t>采购公告</w:t>
      </w:r>
      <w:bookmarkEnd w:id="0"/>
    </w:p>
    <w:p>
      <w:pPr>
        <w:pStyle w:val="6"/>
        <w:spacing w:line="336" w:lineRule="auto"/>
        <w:jc w:val="center"/>
      </w:pPr>
      <w:bookmarkStart w:id="1" w:name="_Toc122338084"/>
      <w:r>
        <w:rPr>
          <w:rFonts w:hint="eastAsia" w:ascii="宋体" w:hAnsi="宋体" w:cs="宋体"/>
          <w:sz w:val="21"/>
          <w:szCs w:val="21"/>
        </w:rPr>
        <w:t>采购公告</w:t>
      </w:r>
      <w:bookmarkEnd w:id="1"/>
    </w:p>
    <w:p>
      <w:pPr>
        <w:spacing w:line="336" w:lineRule="auto"/>
        <w:ind w:firstLine="420" w:firstLineChars="200"/>
        <w:rPr>
          <w:rFonts w:ascii="宋体" w:hAnsi="宋体" w:cs="宋体"/>
          <w:szCs w:val="21"/>
        </w:rPr>
      </w:pPr>
      <w:r>
        <w:rPr>
          <w:rFonts w:hint="eastAsia" w:ascii="宋体" w:hAnsi="宋体" w:cs="宋体"/>
          <w:szCs w:val="21"/>
        </w:rPr>
        <w:t>盐城市携手阳光集中采购代理有限公司（本次采购可简称：携手阳光公司）受采购人的委托，根据《中华人民共和国政府采购法》等有关规定，现对</w:t>
      </w:r>
      <w:r>
        <w:rPr>
          <w:rFonts w:hint="eastAsia" w:ascii="宋体" w:hAnsi="宋体"/>
          <w:szCs w:val="21"/>
        </w:rPr>
        <w:t>下列项目</w:t>
      </w:r>
      <w:r>
        <w:rPr>
          <w:rFonts w:hint="eastAsia" w:ascii="宋体" w:hAnsi="宋体" w:cs="宋体"/>
          <w:szCs w:val="21"/>
        </w:rPr>
        <w:t>进行</w:t>
      </w:r>
      <w:r>
        <w:rPr>
          <w:rFonts w:hint="eastAsia" w:ascii="宋体" w:hAnsi="宋体" w:cs="宋体"/>
          <w:u w:val="single"/>
        </w:rPr>
        <w:t>竞争性磋商</w:t>
      </w:r>
      <w:r>
        <w:rPr>
          <w:rFonts w:hint="eastAsia" w:ascii="宋体" w:hAnsi="宋体" w:cs="宋体"/>
        </w:rPr>
        <w:t>采购</w:t>
      </w:r>
      <w:r>
        <w:rPr>
          <w:rFonts w:hint="eastAsia" w:ascii="宋体" w:hAnsi="宋体" w:cs="宋体"/>
          <w:szCs w:val="21"/>
        </w:rPr>
        <w:t>，欢迎</w:t>
      </w:r>
      <w:r>
        <w:rPr>
          <w:rFonts w:hint="eastAsia" w:ascii="宋体" w:hAnsi="宋体" w:cs="宋体"/>
        </w:rPr>
        <w:t>潜在供应商</w:t>
      </w:r>
      <w:r>
        <w:rPr>
          <w:rFonts w:hint="eastAsia" w:ascii="宋体" w:hAnsi="宋体" w:cs="宋体"/>
          <w:szCs w:val="21"/>
        </w:rPr>
        <w:t>参加。</w:t>
      </w:r>
    </w:p>
    <w:p>
      <w:pPr>
        <w:pBdr>
          <w:top w:val="single" w:color="auto" w:sz="4" w:space="1"/>
          <w:left w:val="single" w:color="auto" w:sz="4" w:space="4"/>
          <w:bottom w:val="single" w:color="auto" w:sz="4" w:space="1"/>
          <w:right w:val="single" w:color="auto" w:sz="4" w:space="4"/>
        </w:pBdr>
        <w:spacing w:line="336" w:lineRule="auto"/>
        <w:ind w:firstLine="422" w:firstLineChars="200"/>
        <w:jc w:val="center"/>
        <w:rPr>
          <w:rFonts w:ascii="宋体" w:hAnsi="宋体"/>
          <w:b/>
          <w:szCs w:val="21"/>
        </w:rPr>
      </w:pPr>
      <w:r>
        <w:rPr>
          <w:rFonts w:hint="eastAsia" w:ascii="宋体" w:hAnsi="宋体"/>
          <w:b/>
          <w:szCs w:val="21"/>
        </w:rPr>
        <w:t>项目概况</w:t>
      </w:r>
    </w:p>
    <w:p>
      <w:pPr>
        <w:pBdr>
          <w:top w:val="single" w:color="auto" w:sz="4" w:space="1"/>
          <w:left w:val="single" w:color="auto" w:sz="4" w:space="4"/>
          <w:bottom w:val="single" w:color="auto" w:sz="4" w:space="1"/>
          <w:right w:val="single" w:color="auto" w:sz="4" w:space="4"/>
        </w:pBdr>
        <w:spacing w:line="336" w:lineRule="auto"/>
        <w:ind w:firstLine="420" w:firstLineChars="200"/>
        <w:rPr>
          <w:rFonts w:ascii="宋体" w:hAnsi="宋体"/>
          <w:szCs w:val="21"/>
        </w:rPr>
      </w:pPr>
      <w:r>
        <w:rPr>
          <w:rFonts w:hint="eastAsia" w:ascii="宋体" w:hAnsi="宋体"/>
          <w:szCs w:val="21"/>
          <w:u w:val="single"/>
        </w:rPr>
        <w:t>江苏医药职业学院校内护理设备及新生儿复苏力反馈教学系统采购项目</w:t>
      </w:r>
      <w:r>
        <w:rPr>
          <w:rFonts w:hint="eastAsia" w:ascii="宋体" w:hAnsi="宋体"/>
          <w:szCs w:val="21"/>
        </w:rPr>
        <w:t>的潜在供应商应在</w:t>
      </w:r>
      <w:r>
        <w:rPr>
          <w:rFonts w:hint="eastAsia" w:ascii="宋体" w:hAnsi="宋体"/>
          <w:szCs w:val="21"/>
          <w:u w:val="single"/>
        </w:rPr>
        <w:t>盐城市府西路华邦国际西厦A区（东）302室</w:t>
      </w:r>
      <w:r>
        <w:rPr>
          <w:rFonts w:hint="eastAsia" w:ascii="宋体" w:hAnsi="宋体"/>
          <w:szCs w:val="21"/>
        </w:rPr>
        <w:t>获取采购文件，并于</w:t>
      </w:r>
      <w:r>
        <w:rPr>
          <w:rFonts w:hint="eastAsia" w:ascii="宋体" w:hAnsi="宋体"/>
          <w:b/>
          <w:bCs/>
          <w:szCs w:val="21"/>
          <w:u w:val="single"/>
        </w:rPr>
        <w:t>2023年</w:t>
      </w:r>
      <w:r>
        <w:rPr>
          <w:rFonts w:hint="eastAsia" w:ascii="宋体" w:hAnsi="宋体"/>
          <w:b/>
          <w:bCs/>
          <w:szCs w:val="21"/>
          <w:u w:val="single"/>
          <w:lang w:val="en-US" w:eastAsia="zh-CN"/>
        </w:rPr>
        <w:t>7</w:t>
      </w:r>
      <w:r>
        <w:rPr>
          <w:rFonts w:hint="eastAsia" w:ascii="宋体" w:hAnsi="宋体"/>
          <w:b/>
          <w:bCs/>
          <w:szCs w:val="21"/>
          <w:u w:val="single"/>
        </w:rPr>
        <w:t>月</w:t>
      </w:r>
      <w:r>
        <w:rPr>
          <w:rFonts w:hint="eastAsia" w:ascii="宋体" w:hAnsi="宋体"/>
          <w:b/>
          <w:bCs/>
          <w:szCs w:val="21"/>
          <w:u w:val="single"/>
          <w:lang w:val="en-US" w:eastAsia="zh-CN"/>
        </w:rPr>
        <w:t>25</w:t>
      </w:r>
      <w:r>
        <w:rPr>
          <w:rFonts w:hint="eastAsia" w:ascii="宋体" w:hAnsi="宋体"/>
          <w:b/>
          <w:bCs/>
          <w:szCs w:val="21"/>
          <w:u w:val="single"/>
        </w:rPr>
        <w:t>日</w:t>
      </w:r>
      <w:r>
        <w:rPr>
          <w:rFonts w:hint="eastAsia" w:ascii="宋体" w:hAnsi="宋体"/>
          <w:b/>
          <w:bCs/>
          <w:szCs w:val="21"/>
          <w:u w:val="single"/>
          <w:lang w:val="en-US" w:eastAsia="zh-CN"/>
        </w:rPr>
        <w:t>15</w:t>
      </w:r>
      <w:r>
        <w:rPr>
          <w:rFonts w:hint="eastAsia" w:ascii="宋体" w:hAnsi="宋体"/>
          <w:b/>
          <w:bCs/>
          <w:szCs w:val="21"/>
          <w:u w:val="single"/>
        </w:rPr>
        <w:t>点00分</w:t>
      </w:r>
      <w:r>
        <w:rPr>
          <w:rFonts w:hint="eastAsia" w:ascii="宋体" w:hAnsi="宋体"/>
          <w:szCs w:val="21"/>
          <w:u w:val="single"/>
        </w:rPr>
        <w:t>（</w:t>
      </w:r>
      <w:r>
        <w:rPr>
          <w:rFonts w:hint="eastAsia" w:ascii="宋体" w:hAnsi="宋体"/>
          <w:bCs/>
          <w:szCs w:val="21"/>
        </w:rPr>
        <w:t>北京时间）</w:t>
      </w:r>
      <w:r>
        <w:rPr>
          <w:rFonts w:hint="eastAsia" w:ascii="宋体" w:hAnsi="宋体" w:cs="宋体"/>
          <w:szCs w:val="21"/>
        </w:rPr>
        <w:t>前</w:t>
      </w:r>
      <w:r>
        <w:rPr>
          <w:rFonts w:hint="eastAsia" w:ascii="宋体" w:hAnsi="宋体" w:cs="宋体"/>
          <w:bCs/>
        </w:rPr>
        <w:t>提交响应文件</w:t>
      </w:r>
      <w:r>
        <w:rPr>
          <w:rFonts w:hint="eastAsia" w:ascii="宋体" w:hAnsi="宋体"/>
          <w:szCs w:val="21"/>
        </w:rPr>
        <w:t>。</w:t>
      </w:r>
    </w:p>
    <w:p>
      <w:pPr>
        <w:spacing w:line="276" w:lineRule="auto"/>
        <w:rPr>
          <w:rFonts w:ascii="宋体" w:hAnsi="宋体" w:cs="宋体"/>
          <w:b/>
        </w:rPr>
      </w:pPr>
      <w:bookmarkStart w:id="2" w:name="_Toc35393798"/>
      <w:bookmarkStart w:id="3" w:name="_Toc35393629"/>
      <w:bookmarkStart w:id="4" w:name="_Toc28359089"/>
      <w:bookmarkStart w:id="5" w:name="_Toc28359012"/>
      <w:r>
        <w:rPr>
          <w:rFonts w:hint="eastAsia" w:ascii="宋体" w:hAnsi="宋体" w:cs="宋体"/>
          <w:b/>
        </w:rPr>
        <w:t>一、项目基本情况</w:t>
      </w:r>
      <w:bookmarkEnd w:id="2"/>
      <w:bookmarkEnd w:id="3"/>
      <w:bookmarkEnd w:id="4"/>
      <w:bookmarkEnd w:id="5"/>
    </w:p>
    <w:p>
      <w:pPr>
        <w:spacing w:line="276" w:lineRule="auto"/>
        <w:ind w:firstLine="420" w:firstLineChars="200"/>
        <w:rPr>
          <w:rFonts w:ascii="宋体" w:hAnsi="宋体" w:cs="宋体"/>
          <w:szCs w:val="21"/>
        </w:rPr>
      </w:pPr>
      <w:r>
        <w:rPr>
          <w:rFonts w:hint="eastAsia" w:ascii="宋体" w:hAnsi="宋体" w:cs="宋体"/>
          <w:szCs w:val="21"/>
        </w:rPr>
        <w:t>项目编号：SY2023-046-HW-JC</w:t>
      </w:r>
    </w:p>
    <w:p>
      <w:pPr>
        <w:spacing w:line="276" w:lineRule="auto"/>
        <w:ind w:firstLine="420" w:firstLineChars="200"/>
        <w:rPr>
          <w:rFonts w:ascii="宋体" w:hAnsi="宋体" w:cs="宋体"/>
          <w:szCs w:val="21"/>
        </w:rPr>
      </w:pPr>
      <w:r>
        <w:rPr>
          <w:rFonts w:hint="eastAsia" w:ascii="宋体" w:hAnsi="宋体" w:cs="宋体"/>
          <w:szCs w:val="21"/>
        </w:rPr>
        <w:t>项目名称：江苏医药职业学院校内护理设备及新生儿复苏力反馈教学系统采购项目</w:t>
      </w:r>
    </w:p>
    <w:p>
      <w:pPr>
        <w:spacing w:line="276" w:lineRule="auto"/>
        <w:ind w:firstLine="420" w:firstLineChars="200"/>
        <w:rPr>
          <w:rFonts w:ascii="宋体" w:hAnsi="宋体" w:cs="宋体"/>
        </w:rPr>
      </w:pPr>
      <w:r>
        <w:rPr>
          <w:rFonts w:hint="eastAsia" w:ascii="宋体" w:hAnsi="宋体" w:cs="宋体"/>
        </w:rPr>
        <w:t>采购方式：竞争性磋商</w:t>
      </w:r>
    </w:p>
    <w:p>
      <w:pPr>
        <w:spacing w:line="276" w:lineRule="auto"/>
        <w:ind w:firstLine="422" w:firstLineChars="200"/>
        <w:rPr>
          <w:rFonts w:ascii="宋体" w:hAnsi="宋体" w:cs="宋体"/>
          <w:szCs w:val="21"/>
        </w:rPr>
      </w:pPr>
      <w:r>
        <w:rPr>
          <w:rFonts w:hint="eastAsia" w:ascii="宋体" w:hAnsi="宋体" w:cs="宋体"/>
          <w:b/>
          <w:bCs/>
          <w:szCs w:val="21"/>
        </w:rPr>
        <w:t>最高预算：89万元</w:t>
      </w:r>
      <w:r>
        <w:rPr>
          <w:rFonts w:hint="eastAsia" w:ascii="宋体" w:hAnsi="宋体" w:cs="宋体"/>
          <w:szCs w:val="21"/>
        </w:rPr>
        <w:t>；报价超过最高限价的为无效报价，按照无效响应处理；</w:t>
      </w:r>
    </w:p>
    <w:p>
      <w:pPr>
        <w:spacing w:line="276" w:lineRule="auto"/>
        <w:ind w:firstLine="422" w:firstLineChars="200"/>
        <w:rPr>
          <w:rFonts w:ascii="宋体" w:hAnsi="宋体" w:cs="宋体"/>
          <w:b/>
          <w:bCs/>
          <w:szCs w:val="21"/>
        </w:rPr>
      </w:pPr>
      <w:r>
        <w:rPr>
          <w:rFonts w:hint="eastAsia" w:ascii="宋体" w:hAnsi="宋体" w:cs="宋体"/>
          <w:b/>
          <w:bCs/>
          <w:szCs w:val="21"/>
        </w:rPr>
        <w:t>本项目分两个采购包，各分包独立招标，同一投标人可以同时报名参加两个分包，投标人可以同时参与投标，两采购包投标文件需独立装订；评标顺序：采购包一 →采购包二。</w:t>
      </w:r>
    </w:p>
    <w:p>
      <w:pPr>
        <w:spacing w:line="276" w:lineRule="auto"/>
        <w:ind w:firstLine="422" w:firstLineChars="200"/>
        <w:rPr>
          <w:rFonts w:ascii="宋体" w:hAnsi="宋体" w:cs="宋体"/>
          <w:szCs w:val="21"/>
        </w:rPr>
      </w:pPr>
      <w:r>
        <w:rPr>
          <w:rFonts w:hint="eastAsia" w:ascii="宋体" w:hAnsi="宋体" w:cs="宋体"/>
          <w:b/>
          <w:bCs/>
          <w:szCs w:val="21"/>
        </w:rPr>
        <w:t>采购包一：</w:t>
      </w:r>
      <w:r>
        <w:rPr>
          <w:rFonts w:hint="eastAsia" w:ascii="宋体" w:hAnsi="宋体" w:cs="宋体"/>
          <w:szCs w:val="21"/>
        </w:rPr>
        <w:t>校内护理设备，预算金额：69万元，报价超过最高限价的为无效报价，按照无效响应处理；</w:t>
      </w:r>
    </w:p>
    <w:p>
      <w:pPr>
        <w:spacing w:line="276" w:lineRule="auto"/>
        <w:ind w:firstLine="422" w:firstLineChars="200"/>
        <w:rPr>
          <w:rFonts w:ascii="宋体" w:hAnsi="宋体" w:cs="宋体"/>
          <w:szCs w:val="21"/>
        </w:rPr>
      </w:pPr>
      <w:r>
        <w:rPr>
          <w:rFonts w:hint="eastAsia" w:ascii="宋体" w:hAnsi="宋体" w:cs="宋体"/>
          <w:b/>
          <w:bCs/>
          <w:szCs w:val="21"/>
        </w:rPr>
        <w:t>采购需求：</w:t>
      </w:r>
      <w:r>
        <w:rPr>
          <w:rFonts w:hint="eastAsia" w:ascii="宋体" w:hAnsi="宋体" w:cs="宋体"/>
          <w:szCs w:val="21"/>
        </w:rPr>
        <w:t>因教学需要，先采购一批教学设备及系统，主要有用于补充、更新校内护理、助产专业的基础护理课程的设备和用于补充、更新护理、助产专业急救护理、外科护理、血液透析课程的设备及新生儿复苏力反馈虚实结合教学系统，详见采购需求部分；</w:t>
      </w:r>
    </w:p>
    <w:p>
      <w:pPr>
        <w:spacing w:line="276" w:lineRule="auto"/>
        <w:ind w:firstLine="422" w:firstLineChars="200"/>
        <w:rPr>
          <w:rFonts w:ascii="宋体" w:hAnsi="宋体" w:cs="宋体"/>
          <w:szCs w:val="21"/>
        </w:rPr>
      </w:pPr>
      <w:r>
        <w:rPr>
          <w:rFonts w:hint="eastAsia" w:ascii="宋体" w:hAnsi="宋体" w:cs="宋体"/>
          <w:b/>
          <w:bCs/>
          <w:szCs w:val="21"/>
        </w:rPr>
        <w:t>工期：</w:t>
      </w:r>
      <w:r>
        <w:rPr>
          <w:rFonts w:hint="eastAsia" w:ascii="宋体" w:hAnsi="宋体" w:cs="宋体"/>
          <w:szCs w:val="21"/>
        </w:rPr>
        <w:t>2023年9月1日前完成供货、安装调试并通过采购人验收；</w:t>
      </w:r>
    </w:p>
    <w:p>
      <w:pPr>
        <w:spacing w:line="276" w:lineRule="auto"/>
        <w:ind w:firstLine="422" w:firstLineChars="200"/>
        <w:rPr>
          <w:rFonts w:ascii="宋体" w:hAnsi="宋体" w:cs="宋体"/>
          <w:szCs w:val="21"/>
        </w:rPr>
      </w:pPr>
      <w:r>
        <w:rPr>
          <w:rFonts w:hint="eastAsia" w:ascii="宋体" w:hAnsi="宋体" w:cs="宋体"/>
          <w:b/>
          <w:bCs/>
          <w:szCs w:val="21"/>
        </w:rPr>
        <w:t>采购包二：</w:t>
      </w:r>
      <w:r>
        <w:rPr>
          <w:rFonts w:hint="eastAsia" w:ascii="宋体" w:hAnsi="宋体" w:cs="宋体"/>
          <w:szCs w:val="21"/>
        </w:rPr>
        <w:t>新生儿复苏力反馈虚实结合教学系统，预算金额：20万元，报价超过最高限价的为无效报价，按照无效响应处理。</w:t>
      </w:r>
    </w:p>
    <w:p>
      <w:pPr>
        <w:spacing w:line="276" w:lineRule="auto"/>
        <w:ind w:firstLine="422" w:firstLineChars="200"/>
        <w:rPr>
          <w:rFonts w:ascii="宋体" w:hAnsi="宋体" w:cs="宋体"/>
          <w:szCs w:val="21"/>
        </w:rPr>
      </w:pPr>
      <w:r>
        <w:rPr>
          <w:rFonts w:hint="eastAsia" w:ascii="宋体" w:hAnsi="宋体" w:cs="宋体"/>
          <w:b/>
          <w:bCs/>
          <w:szCs w:val="21"/>
        </w:rPr>
        <w:t>采购需求：</w:t>
      </w:r>
      <w:r>
        <w:rPr>
          <w:rFonts w:hint="eastAsia" w:ascii="宋体" w:hAnsi="宋体" w:cs="宋体"/>
          <w:szCs w:val="21"/>
        </w:rPr>
        <w:t>因教学需求，采购一套新生儿复苏力反馈虚实结合教学系统，详见采购需求部分。</w:t>
      </w:r>
    </w:p>
    <w:p>
      <w:pPr>
        <w:pStyle w:val="2"/>
        <w:spacing w:line="276" w:lineRule="auto"/>
        <w:ind w:left="0" w:leftChars="0" w:firstLine="422" w:firstLineChars="200"/>
      </w:pPr>
      <w:r>
        <w:rPr>
          <w:rFonts w:hint="eastAsia" w:ascii="宋体" w:hAnsi="宋体" w:cs="宋体"/>
          <w:b/>
          <w:bCs/>
          <w:szCs w:val="21"/>
        </w:rPr>
        <w:t>工期：</w:t>
      </w:r>
      <w:r>
        <w:rPr>
          <w:rFonts w:hint="eastAsia" w:ascii="宋体" w:hAnsi="宋体" w:cs="宋体"/>
          <w:szCs w:val="21"/>
        </w:rPr>
        <w:t>2023年10月1日前完成供货、安装调试并通过采购人验收；</w:t>
      </w:r>
    </w:p>
    <w:p>
      <w:pPr>
        <w:spacing w:line="276" w:lineRule="auto"/>
        <w:ind w:firstLine="422" w:firstLineChars="200"/>
        <w:rPr>
          <w:rFonts w:ascii="宋体" w:hAnsi="宋体" w:cs="宋体"/>
          <w:szCs w:val="21"/>
        </w:rPr>
      </w:pPr>
      <w:r>
        <w:rPr>
          <w:rFonts w:hint="eastAsia" w:ascii="宋体" w:hAnsi="宋体" w:cs="宋体"/>
          <w:b/>
          <w:bCs/>
          <w:szCs w:val="21"/>
        </w:rPr>
        <w:t>本项目质保期：</w:t>
      </w:r>
      <w:r>
        <w:rPr>
          <w:rFonts w:ascii="宋体" w:hAnsi="宋体" w:cs="宋体"/>
          <w:szCs w:val="21"/>
        </w:rPr>
        <w:t>≥</w:t>
      </w:r>
      <w:r>
        <w:rPr>
          <w:rFonts w:hint="eastAsia" w:ascii="宋体" w:hAnsi="宋体" w:cs="宋体"/>
          <w:szCs w:val="21"/>
        </w:rPr>
        <w:t>3年。质保期自验收合格之日起算。</w:t>
      </w:r>
    </w:p>
    <w:p>
      <w:pPr>
        <w:numPr>
          <w:ilvl w:val="0"/>
          <w:numId w:val="2"/>
        </w:numPr>
        <w:spacing w:line="276" w:lineRule="auto"/>
        <w:rPr>
          <w:rFonts w:ascii="宋体" w:hAnsi="宋体" w:cs="宋体"/>
          <w:b/>
        </w:rPr>
      </w:pPr>
      <w:bookmarkStart w:id="6" w:name="_Toc28359090"/>
      <w:bookmarkStart w:id="7" w:name="_Toc35393630"/>
      <w:bookmarkStart w:id="8" w:name="_Toc28359013"/>
      <w:bookmarkStart w:id="9" w:name="_Toc35393799"/>
      <w:r>
        <w:rPr>
          <w:rFonts w:hint="eastAsia" w:ascii="宋体" w:hAnsi="宋体" w:cs="宋体"/>
          <w:b/>
        </w:rPr>
        <w:t>申请人（</w:t>
      </w:r>
      <w:r>
        <w:rPr>
          <w:rFonts w:hint="eastAsia" w:ascii="宋体" w:hAnsi="宋体" w:cs="宋体"/>
          <w:b/>
          <w:kern w:val="0"/>
          <w:szCs w:val="21"/>
        </w:rPr>
        <w:t>供应商）</w:t>
      </w:r>
      <w:r>
        <w:rPr>
          <w:rFonts w:hint="eastAsia" w:ascii="宋体" w:hAnsi="宋体" w:cs="宋体"/>
          <w:b/>
        </w:rPr>
        <w:t>的资格要求</w:t>
      </w:r>
      <w:r>
        <w:rPr>
          <w:rFonts w:hint="eastAsia" w:ascii="宋体" w:hAnsi="宋体"/>
          <w:b/>
          <w:szCs w:val="21"/>
        </w:rPr>
        <w:t>（具体证明材料见响应文件格式）</w:t>
      </w:r>
      <w:r>
        <w:rPr>
          <w:rFonts w:hint="eastAsia" w:ascii="宋体" w:hAnsi="宋体" w:cs="宋体"/>
          <w:b/>
        </w:rPr>
        <w:t>：</w:t>
      </w:r>
      <w:bookmarkEnd w:id="6"/>
      <w:bookmarkEnd w:id="7"/>
      <w:bookmarkEnd w:id="8"/>
      <w:bookmarkEnd w:id="9"/>
    </w:p>
    <w:p>
      <w:pPr>
        <w:spacing w:line="276" w:lineRule="auto"/>
        <w:ind w:firstLine="420" w:firstLineChars="200"/>
        <w:rPr>
          <w:rFonts w:ascii="宋体" w:hAnsi="宋体" w:cs="宋体"/>
          <w:szCs w:val="21"/>
        </w:rPr>
      </w:pPr>
      <w:r>
        <w:rPr>
          <w:rFonts w:hint="eastAsia" w:ascii="宋体" w:hAnsi="宋体" w:cs="宋体"/>
          <w:szCs w:val="21"/>
        </w:rPr>
        <w:t>1.满足《中华人民共和国政府采购法》第二十二条规定，并提供下列材料：</w:t>
      </w:r>
    </w:p>
    <w:p>
      <w:pPr>
        <w:spacing w:line="276" w:lineRule="auto"/>
        <w:ind w:firstLine="420" w:firstLineChars="200"/>
        <w:rPr>
          <w:rFonts w:ascii="宋体" w:hAnsi="宋体" w:cs="宋体"/>
          <w:szCs w:val="21"/>
        </w:rPr>
      </w:pPr>
      <w:r>
        <w:rPr>
          <w:rFonts w:hint="eastAsia" w:ascii="宋体" w:hAnsi="宋体" w:cs="宋体"/>
          <w:szCs w:val="21"/>
        </w:rPr>
        <w:t>1.1具有独立承担民事责任的能力；</w:t>
      </w:r>
    </w:p>
    <w:p>
      <w:pPr>
        <w:spacing w:line="276" w:lineRule="auto"/>
        <w:ind w:firstLine="420" w:firstLineChars="200"/>
        <w:rPr>
          <w:rFonts w:ascii="宋体" w:hAnsi="宋体" w:cs="宋体"/>
          <w:szCs w:val="21"/>
        </w:rPr>
      </w:pPr>
      <w:r>
        <w:rPr>
          <w:rFonts w:hint="eastAsia" w:ascii="宋体" w:hAnsi="宋体" w:cs="宋体"/>
          <w:szCs w:val="21"/>
        </w:rPr>
        <w:t>1.2具有良好的商业信誉和健全的财务会计制度；</w:t>
      </w:r>
    </w:p>
    <w:p>
      <w:pPr>
        <w:spacing w:line="276" w:lineRule="auto"/>
        <w:ind w:firstLine="420" w:firstLineChars="200"/>
        <w:rPr>
          <w:rFonts w:ascii="宋体" w:hAnsi="宋体" w:cs="宋体"/>
          <w:szCs w:val="21"/>
        </w:rPr>
      </w:pPr>
      <w:r>
        <w:rPr>
          <w:rFonts w:hint="eastAsia" w:ascii="宋体" w:hAnsi="宋体" w:cs="宋体"/>
          <w:szCs w:val="21"/>
        </w:rPr>
        <w:t>1.3具有履行合同所必需的设备和专业技术能力；</w:t>
      </w:r>
    </w:p>
    <w:p>
      <w:pPr>
        <w:spacing w:line="276" w:lineRule="auto"/>
        <w:ind w:firstLine="420" w:firstLineChars="200"/>
        <w:rPr>
          <w:rFonts w:ascii="宋体" w:hAnsi="宋体" w:cs="宋体"/>
          <w:szCs w:val="21"/>
        </w:rPr>
      </w:pPr>
      <w:r>
        <w:rPr>
          <w:rFonts w:hint="eastAsia" w:ascii="宋体" w:hAnsi="宋体" w:cs="宋体"/>
          <w:szCs w:val="21"/>
        </w:rPr>
        <w:t>1.4有依法缴纳税收和社会保障资金的良好记录；</w:t>
      </w:r>
    </w:p>
    <w:p>
      <w:pPr>
        <w:spacing w:line="276" w:lineRule="auto"/>
        <w:ind w:firstLine="420" w:firstLineChars="200"/>
        <w:rPr>
          <w:rFonts w:ascii="宋体" w:hAnsi="宋体" w:cs="宋体"/>
          <w:szCs w:val="21"/>
        </w:rPr>
      </w:pPr>
      <w:r>
        <w:rPr>
          <w:rFonts w:hint="eastAsia" w:ascii="宋体" w:hAnsi="宋体" w:cs="宋体"/>
          <w:szCs w:val="21"/>
        </w:rPr>
        <w:t>1.5参加政府采购活动前三年内，在经营活动中没有重大违法记录。</w:t>
      </w:r>
    </w:p>
    <w:p>
      <w:pPr>
        <w:spacing w:line="276" w:lineRule="auto"/>
        <w:ind w:firstLine="420" w:firstLineChars="200"/>
        <w:rPr>
          <w:rFonts w:ascii="宋体" w:hAnsi="宋体" w:cs="宋体"/>
          <w:szCs w:val="21"/>
        </w:rPr>
      </w:pPr>
      <w:r>
        <w:rPr>
          <w:rFonts w:hint="eastAsia" w:ascii="宋体" w:hAnsi="宋体" w:cs="宋体"/>
          <w:szCs w:val="21"/>
        </w:rPr>
        <w:t>1.6法律、行政法规规定的其他条件。</w:t>
      </w:r>
    </w:p>
    <w:p>
      <w:pPr>
        <w:tabs>
          <w:tab w:val="left" w:pos="312"/>
        </w:tabs>
        <w:spacing w:line="276" w:lineRule="auto"/>
        <w:ind w:left="420"/>
        <w:jc w:val="left"/>
        <w:rPr>
          <w:rFonts w:ascii="宋体" w:hAnsi="宋体" w:cs="宋体"/>
          <w:szCs w:val="21"/>
        </w:rPr>
      </w:pPr>
      <w:r>
        <w:rPr>
          <w:rFonts w:hint="eastAsia" w:ascii="宋体" w:hAnsi="宋体" w:cs="宋体"/>
          <w:szCs w:val="21"/>
        </w:rPr>
        <w:t>2.落实政府采购政策需满足的资格要求：</w:t>
      </w:r>
      <w:bookmarkStart w:id="10" w:name="_Toc28359091"/>
      <w:bookmarkStart w:id="11" w:name="_Toc35393631"/>
      <w:bookmarkStart w:id="12" w:name="_Toc28359014"/>
      <w:bookmarkStart w:id="13" w:name="_Toc35393800"/>
      <w:r>
        <w:rPr>
          <w:rFonts w:hint="eastAsia" w:ascii="宋体" w:hAnsi="宋体" w:cs="宋体"/>
          <w:szCs w:val="21"/>
        </w:rPr>
        <w:t>无。</w:t>
      </w:r>
    </w:p>
    <w:p>
      <w:pPr>
        <w:spacing w:line="276" w:lineRule="auto"/>
        <w:ind w:firstLine="420" w:firstLineChars="200"/>
        <w:rPr>
          <w:rFonts w:ascii="宋体" w:hAnsi="宋体" w:cs="宋体"/>
          <w:szCs w:val="21"/>
        </w:rPr>
      </w:pPr>
      <w:r>
        <w:rPr>
          <w:rFonts w:hint="eastAsia" w:ascii="宋体" w:hAnsi="宋体"/>
          <w:szCs w:val="21"/>
        </w:rPr>
        <w:t>3.</w:t>
      </w:r>
      <w:r>
        <w:rPr>
          <w:rFonts w:hint="eastAsia" w:ascii="宋体" w:hAnsi="宋体" w:cs="宋体"/>
          <w:szCs w:val="21"/>
        </w:rPr>
        <w:t>本项目的特定资格要求：无。</w:t>
      </w:r>
    </w:p>
    <w:p>
      <w:pPr>
        <w:spacing w:line="276" w:lineRule="auto"/>
        <w:ind w:firstLine="420" w:firstLineChars="200"/>
      </w:pPr>
      <w:r>
        <w:rPr>
          <w:rFonts w:hint="eastAsia" w:ascii="宋体" w:hAnsi="宋体" w:cs="宋体"/>
          <w:szCs w:val="21"/>
        </w:rPr>
        <w:t>4.供应商被“信用中国”网站(www.creditchina.gov.cn)、“中国政府采购网”(www.ccgp.gov.cn)列入失信被执行人、重大税收违法案件当事人名单、政府采购严重违法失信行为记录名单。</w:t>
      </w:r>
    </w:p>
    <w:p>
      <w:pPr>
        <w:spacing w:line="276" w:lineRule="auto"/>
        <w:ind w:firstLine="422" w:firstLineChars="200"/>
        <w:jc w:val="left"/>
        <w:rPr>
          <w:rFonts w:ascii="宋体" w:hAnsi="宋体" w:cs="宋体"/>
          <w:b/>
        </w:rPr>
      </w:pPr>
      <w:r>
        <w:rPr>
          <w:rFonts w:hint="eastAsia" w:ascii="宋体" w:hAnsi="宋体" w:cs="宋体"/>
          <w:b/>
        </w:rPr>
        <w:t>三、获取采购文件</w:t>
      </w:r>
      <w:bookmarkEnd w:id="10"/>
      <w:bookmarkEnd w:id="11"/>
      <w:bookmarkEnd w:id="12"/>
      <w:bookmarkEnd w:id="13"/>
    </w:p>
    <w:p>
      <w:pPr>
        <w:spacing w:line="276" w:lineRule="auto"/>
        <w:ind w:firstLine="420" w:firstLineChars="200"/>
        <w:rPr>
          <w:rFonts w:ascii="宋体" w:hAnsi="宋体" w:cs="宋体"/>
          <w:u w:val="single"/>
        </w:rPr>
      </w:pPr>
      <w:r>
        <w:rPr>
          <w:rFonts w:hint="eastAsia" w:ascii="宋体" w:hAnsi="宋体" w:cs="宋体"/>
          <w:u w:val="single"/>
        </w:rPr>
        <w:t>时间：2023年</w:t>
      </w:r>
      <w:r>
        <w:rPr>
          <w:rFonts w:hint="eastAsia" w:ascii="宋体" w:hAnsi="宋体" w:cs="宋体"/>
          <w:u w:val="single"/>
          <w:lang w:val="en-US" w:eastAsia="zh-CN"/>
        </w:rPr>
        <w:t>7</w:t>
      </w:r>
      <w:r>
        <w:rPr>
          <w:rFonts w:hint="eastAsia" w:ascii="宋体" w:hAnsi="宋体" w:cs="宋体"/>
          <w:u w:val="single"/>
        </w:rPr>
        <w:t>月</w:t>
      </w:r>
      <w:r>
        <w:rPr>
          <w:rFonts w:hint="eastAsia" w:ascii="宋体" w:hAnsi="宋体" w:cs="宋体"/>
          <w:u w:val="single"/>
          <w:lang w:val="en-US" w:eastAsia="zh-CN"/>
        </w:rPr>
        <w:t>14</w:t>
      </w:r>
      <w:r>
        <w:rPr>
          <w:rFonts w:hint="eastAsia" w:ascii="宋体" w:hAnsi="宋体" w:cs="宋体"/>
          <w:u w:val="single"/>
        </w:rPr>
        <w:t>日至2023年</w:t>
      </w:r>
      <w:r>
        <w:rPr>
          <w:rFonts w:hint="eastAsia" w:ascii="宋体" w:hAnsi="宋体" w:cs="宋体"/>
          <w:u w:val="single"/>
          <w:lang w:val="en-US" w:eastAsia="zh-CN"/>
        </w:rPr>
        <w:t>7</w:t>
      </w:r>
      <w:r>
        <w:rPr>
          <w:rFonts w:hint="eastAsia" w:ascii="宋体" w:hAnsi="宋体" w:cs="宋体"/>
          <w:u w:val="single"/>
        </w:rPr>
        <w:t>月</w:t>
      </w:r>
      <w:r>
        <w:rPr>
          <w:rFonts w:hint="eastAsia" w:ascii="宋体" w:hAnsi="宋体" w:cs="宋体"/>
          <w:u w:val="single"/>
          <w:lang w:val="en-US" w:eastAsia="zh-CN"/>
        </w:rPr>
        <w:t>20</w:t>
      </w:r>
      <w:r>
        <w:rPr>
          <w:rFonts w:hint="eastAsia" w:ascii="宋体" w:hAnsi="宋体" w:cs="宋体"/>
          <w:u w:val="single"/>
        </w:rPr>
        <w:t>日</w:t>
      </w:r>
      <w:r>
        <w:rPr>
          <w:rFonts w:hint="eastAsia" w:ascii="宋体" w:hAnsi="宋体" w:cs="宋体"/>
          <w:b/>
          <w:bCs/>
          <w:szCs w:val="21"/>
          <w:u w:val="single"/>
        </w:rPr>
        <w:t>（每个工作日的9时至12时，15时至18时）</w:t>
      </w:r>
    </w:p>
    <w:p>
      <w:pPr>
        <w:spacing w:line="276" w:lineRule="auto"/>
        <w:ind w:firstLine="420" w:firstLineChars="200"/>
        <w:rPr>
          <w:rFonts w:ascii="宋体" w:hAnsi="宋体" w:cs="宋体"/>
          <w:u w:val="single"/>
        </w:rPr>
      </w:pPr>
      <w:r>
        <w:rPr>
          <w:rFonts w:hint="eastAsia" w:ascii="宋体" w:hAnsi="宋体" w:cs="宋体"/>
          <w:u w:val="single"/>
        </w:rPr>
        <w:t>地点：</w:t>
      </w:r>
      <w:r>
        <w:rPr>
          <w:rFonts w:hint="eastAsia" w:ascii="宋体" w:hAnsi="宋体"/>
          <w:szCs w:val="21"/>
          <w:u w:val="single"/>
        </w:rPr>
        <w:t>盐城市府西路华邦国际西厦A区（东）302室</w:t>
      </w:r>
    </w:p>
    <w:p>
      <w:pPr>
        <w:spacing w:line="276" w:lineRule="auto"/>
        <w:ind w:firstLine="422" w:firstLineChars="200"/>
        <w:rPr>
          <w:rFonts w:ascii="宋体" w:hAnsi="宋体" w:cs="宋体"/>
          <w:b/>
          <w:bCs/>
          <w:szCs w:val="21"/>
        </w:rPr>
      </w:pPr>
      <w:bookmarkStart w:id="14" w:name="_Toc28359092"/>
      <w:bookmarkStart w:id="15" w:name="_Toc35393801"/>
      <w:bookmarkStart w:id="16" w:name="_Toc35393632"/>
      <w:bookmarkStart w:id="17" w:name="_Toc28359015"/>
      <w:r>
        <w:rPr>
          <w:rFonts w:hint="eastAsia" w:ascii="宋体" w:hAnsi="宋体" w:cs="宋体"/>
          <w:b/>
          <w:bCs/>
          <w:szCs w:val="21"/>
        </w:rPr>
        <w:t>方式：现场发售；投标人凭加盖公章的《供应商联系信息表》（见公告附件）、营业执照（复印件即可）到携手阳光公司领购（地址见本公告。注:未领购的任何单位或个人没有参与权以及相关知情权）</w:t>
      </w:r>
    </w:p>
    <w:p>
      <w:pPr>
        <w:spacing w:line="276" w:lineRule="auto"/>
        <w:ind w:firstLine="422" w:firstLineChars="200"/>
        <w:rPr>
          <w:rFonts w:ascii="宋体" w:hAnsi="宋体"/>
          <w:b/>
          <w:bCs/>
          <w:szCs w:val="21"/>
        </w:rPr>
      </w:pPr>
      <w:r>
        <w:rPr>
          <w:rFonts w:hint="eastAsia" w:ascii="宋体" w:hAnsi="宋体"/>
          <w:b/>
          <w:bCs/>
          <w:szCs w:val="21"/>
        </w:rPr>
        <w:t>售价（每个分包）：400元，售后不退；交纳方式：现金、支付宝（18662096009）等</w:t>
      </w:r>
    </w:p>
    <w:bookmarkEnd w:id="14"/>
    <w:bookmarkEnd w:id="15"/>
    <w:bookmarkEnd w:id="16"/>
    <w:bookmarkEnd w:id="17"/>
    <w:p>
      <w:pPr>
        <w:spacing w:line="276" w:lineRule="auto"/>
        <w:rPr>
          <w:rFonts w:ascii="宋体" w:hAnsi="宋体"/>
          <w:b/>
          <w:szCs w:val="22"/>
        </w:rPr>
      </w:pPr>
      <w:bookmarkStart w:id="18" w:name="_Toc28359082"/>
      <w:bookmarkStart w:id="19" w:name="_Toc28359005"/>
      <w:bookmarkStart w:id="20" w:name="_Toc35393624"/>
      <w:bookmarkStart w:id="21" w:name="_Toc35393793"/>
      <w:bookmarkStart w:id="22" w:name="_Toc35393802"/>
      <w:bookmarkStart w:id="23" w:name="_Toc28359016"/>
      <w:bookmarkStart w:id="24" w:name="_Toc28359093"/>
      <w:bookmarkStart w:id="25" w:name="_Toc35393633"/>
      <w:bookmarkStart w:id="26" w:name="_Toc35393626"/>
      <w:bookmarkStart w:id="27" w:name="_Toc35393795"/>
      <w:bookmarkStart w:id="28" w:name="_Toc35393635"/>
      <w:bookmarkStart w:id="29" w:name="_Toc35393804"/>
      <w:r>
        <w:rPr>
          <w:rFonts w:hint="eastAsia" w:ascii="宋体" w:hAnsi="宋体"/>
          <w:b/>
          <w:szCs w:val="22"/>
        </w:rPr>
        <w:t>四、提交投标文件</w:t>
      </w:r>
      <w:bookmarkEnd w:id="18"/>
      <w:bookmarkEnd w:id="19"/>
      <w:r>
        <w:rPr>
          <w:rFonts w:hint="eastAsia" w:ascii="宋体" w:hAnsi="宋体"/>
          <w:b/>
          <w:szCs w:val="22"/>
        </w:rPr>
        <w:t>截止时间（</w:t>
      </w:r>
      <w:r>
        <w:rPr>
          <w:rFonts w:hint="eastAsia" w:ascii="宋体" w:hAnsi="宋体" w:cs="宋体"/>
          <w:b/>
          <w:kern w:val="0"/>
          <w:szCs w:val="21"/>
        </w:rPr>
        <w:t>投标截止时间）</w:t>
      </w:r>
      <w:r>
        <w:rPr>
          <w:rFonts w:hint="eastAsia" w:ascii="宋体" w:hAnsi="宋体"/>
          <w:b/>
          <w:szCs w:val="22"/>
        </w:rPr>
        <w:t>、开标时间和地点</w:t>
      </w:r>
      <w:bookmarkEnd w:id="20"/>
      <w:bookmarkEnd w:id="21"/>
    </w:p>
    <w:p>
      <w:pPr>
        <w:spacing w:line="276" w:lineRule="auto"/>
        <w:ind w:firstLine="422" w:firstLineChars="200"/>
        <w:rPr>
          <w:rFonts w:ascii="宋体" w:hAnsi="宋体" w:cs="宋体"/>
          <w:b/>
          <w:u w:val="single"/>
        </w:rPr>
      </w:pPr>
      <w:r>
        <w:rPr>
          <w:rFonts w:hint="eastAsia" w:ascii="宋体" w:hAnsi="宋体" w:cs="宋体"/>
          <w:b/>
          <w:u w:val="single"/>
        </w:rPr>
        <w:t>时间：2023年</w:t>
      </w:r>
      <w:r>
        <w:rPr>
          <w:rFonts w:hint="eastAsia" w:ascii="宋体" w:hAnsi="宋体" w:cs="宋体"/>
          <w:b/>
          <w:u w:val="single"/>
          <w:lang w:val="en-US" w:eastAsia="zh-CN"/>
        </w:rPr>
        <w:t>7</w:t>
      </w:r>
      <w:r>
        <w:rPr>
          <w:rFonts w:hint="eastAsia" w:ascii="宋体" w:hAnsi="宋体" w:cs="宋体"/>
          <w:b/>
          <w:u w:val="single"/>
        </w:rPr>
        <w:t>月</w:t>
      </w:r>
      <w:r>
        <w:rPr>
          <w:rFonts w:hint="eastAsia" w:ascii="宋体" w:hAnsi="宋体" w:cs="宋体"/>
          <w:b/>
          <w:u w:val="single"/>
          <w:lang w:val="en-US" w:eastAsia="zh-CN"/>
        </w:rPr>
        <w:t>25</w:t>
      </w:r>
      <w:r>
        <w:rPr>
          <w:rFonts w:hint="eastAsia" w:ascii="宋体" w:hAnsi="宋体" w:cs="宋体"/>
          <w:b/>
          <w:u w:val="single"/>
        </w:rPr>
        <w:t>日</w:t>
      </w:r>
      <w:r>
        <w:rPr>
          <w:rFonts w:hint="eastAsia" w:ascii="宋体" w:hAnsi="宋体" w:cs="宋体"/>
          <w:b/>
          <w:u w:val="single"/>
          <w:lang w:val="en-US" w:eastAsia="zh-CN"/>
        </w:rPr>
        <w:t>15</w:t>
      </w:r>
      <w:r>
        <w:rPr>
          <w:rFonts w:hint="eastAsia" w:ascii="宋体" w:hAnsi="宋体" w:cs="宋体"/>
          <w:b/>
          <w:u w:val="single"/>
        </w:rPr>
        <w:t>点00分（北京时间）（逾期送达的为无效文件）</w:t>
      </w:r>
    </w:p>
    <w:p>
      <w:pPr>
        <w:spacing w:line="276" w:lineRule="auto"/>
        <w:ind w:firstLine="422" w:firstLineChars="200"/>
        <w:rPr>
          <w:rFonts w:ascii="宋体" w:hAnsi="宋体" w:cs="宋体"/>
          <w:b/>
          <w:u w:val="single"/>
        </w:rPr>
      </w:pPr>
      <w:r>
        <w:rPr>
          <w:rFonts w:hint="eastAsia" w:ascii="宋体" w:hAnsi="宋体" w:cs="宋体"/>
          <w:b/>
          <w:u w:val="single"/>
        </w:rPr>
        <w:t>地点：江苏医药职业学院（盐城市解放南路283号）行政楼210室。</w:t>
      </w:r>
    </w:p>
    <w:p>
      <w:pPr>
        <w:spacing w:line="276" w:lineRule="auto"/>
        <w:ind w:firstLine="422" w:firstLineChars="200"/>
        <w:rPr>
          <w:rFonts w:ascii="宋体" w:hAnsi="宋体" w:cs="宋体"/>
          <w:b/>
          <w:bCs/>
          <w:szCs w:val="21"/>
        </w:rPr>
      </w:pPr>
      <w:r>
        <w:rPr>
          <w:rFonts w:hint="eastAsia" w:ascii="宋体" w:hAnsi="宋体" w:cs="宋体"/>
          <w:b/>
          <w:bCs/>
          <w:szCs w:val="21"/>
        </w:rPr>
        <w:t>注：本项目开标方式为不见面开标</w:t>
      </w:r>
    </w:p>
    <w:p>
      <w:pPr>
        <w:spacing w:line="276" w:lineRule="auto"/>
        <w:ind w:firstLine="422" w:firstLineChars="200"/>
        <w:rPr>
          <w:rFonts w:ascii="宋体" w:hAnsi="宋体" w:cs="宋体"/>
          <w:b/>
          <w:bCs/>
          <w:szCs w:val="21"/>
        </w:rPr>
      </w:pPr>
      <w:r>
        <w:rPr>
          <w:rFonts w:hint="eastAsia" w:ascii="宋体" w:hAnsi="宋体" w:cs="宋体"/>
          <w:b/>
          <w:bCs/>
          <w:szCs w:val="21"/>
        </w:rPr>
        <w:t>（邮寄或提前现场送达地点：盐城市府西路华邦国际西厦A区（东）302室，联系人：施婷婷；电话：13270072015；时间建议在</w:t>
      </w:r>
      <w:r>
        <w:rPr>
          <w:rFonts w:hint="eastAsia" w:ascii="宋体" w:hAnsi="宋体" w:cs="宋体"/>
          <w:b/>
          <w:u w:val="single"/>
        </w:rPr>
        <w:t>2023年</w:t>
      </w:r>
      <w:r>
        <w:rPr>
          <w:rFonts w:hint="eastAsia" w:ascii="宋体" w:hAnsi="宋体" w:cs="宋体"/>
          <w:b/>
          <w:u w:val="single"/>
          <w:lang w:val="en-US" w:eastAsia="zh-CN"/>
        </w:rPr>
        <w:t>7</w:t>
      </w:r>
      <w:r>
        <w:rPr>
          <w:rFonts w:hint="eastAsia" w:ascii="宋体" w:hAnsi="宋体" w:cs="宋体"/>
          <w:b/>
          <w:u w:val="single"/>
        </w:rPr>
        <w:t>月</w:t>
      </w:r>
      <w:r>
        <w:rPr>
          <w:rFonts w:hint="eastAsia" w:ascii="宋体" w:hAnsi="宋体" w:cs="宋体"/>
          <w:b/>
          <w:u w:val="single"/>
          <w:lang w:val="en-US" w:eastAsia="zh-CN"/>
        </w:rPr>
        <w:t>25</w:t>
      </w:r>
      <w:r>
        <w:rPr>
          <w:rFonts w:hint="eastAsia" w:ascii="宋体" w:hAnsi="宋体" w:cs="宋体"/>
          <w:b/>
          <w:u w:val="single"/>
        </w:rPr>
        <w:t>日</w:t>
      </w:r>
      <w:r>
        <w:rPr>
          <w:rFonts w:hint="eastAsia" w:ascii="宋体" w:hAnsi="宋体" w:cs="宋体"/>
          <w:b/>
          <w:u w:val="single"/>
          <w:lang w:eastAsia="zh-CN"/>
        </w:rPr>
        <w:t>上</w:t>
      </w:r>
      <w:r>
        <w:rPr>
          <w:rFonts w:hint="eastAsia" w:ascii="宋体" w:hAnsi="宋体" w:cs="宋体"/>
          <w:b/>
          <w:u w:val="single"/>
        </w:rPr>
        <w:t>午送达）。</w:t>
      </w:r>
    </w:p>
    <w:p>
      <w:pPr>
        <w:spacing w:line="276" w:lineRule="auto"/>
        <w:ind w:firstLine="422" w:firstLineChars="200"/>
        <w:rPr>
          <w:rFonts w:ascii="宋体" w:hAnsi="宋体" w:cs="宋体"/>
          <w:b/>
        </w:rPr>
      </w:pPr>
      <w:r>
        <w:rPr>
          <w:rFonts w:hint="eastAsia" w:ascii="宋体" w:hAnsi="宋体" w:cs="宋体"/>
          <w:b/>
          <w:bCs/>
          <w:szCs w:val="21"/>
        </w:rPr>
        <w:t>投标文件可以邮寄或提前现场送达的方式递交（密封完好，响应文件提交截止时间前，</w:t>
      </w:r>
      <w:r>
        <w:rPr>
          <w:rFonts w:hint="eastAsia" w:ascii="宋体" w:hAnsi="宋体" w:cs="宋体"/>
          <w:b/>
          <w:u w:val="single"/>
        </w:rPr>
        <w:t>投标文件送达现场的，投标人不需要在现场等待），最后报价由代理公司另行通知（腾讯会议号在收到投标文件后发送到报名邮箱）</w:t>
      </w:r>
      <w:r>
        <w:rPr>
          <w:rFonts w:hint="eastAsia" w:ascii="宋体" w:hAnsi="宋体" w:cs="宋体"/>
          <w:b/>
        </w:rPr>
        <w:t>；</w:t>
      </w:r>
    </w:p>
    <w:p>
      <w:pPr>
        <w:spacing w:line="276" w:lineRule="auto"/>
        <w:ind w:firstLine="422" w:firstLineChars="200"/>
        <w:rPr>
          <w:rFonts w:ascii="宋体" w:hAnsi="宋体" w:cs="宋体"/>
          <w:b/>
          <w:bCs/>
          <w:szCs w:val="21"/>
        </w:rPr>
      </w:pPr>
      <w:r>
        <w:rPr>
          <w:rFonts w:hint="eastAsia" w:ascii="宋体" w:hAnsi="宋体" w:cs="宋体"/>
          <w:b/>
          <w:bCs/>
          <w:szCs w:val="21"/>
        </w:rPr>
        <w:t>邮寄方式递交的投标文件以快递签收时间为准（建议提前邮寄），快递风险自行承担，逾期或密封不完整的不予接收，如因此造成供应商权益受到损害的等影响的，均由供应商自负（视为供应商过错）。</w:t>
      </w:r>
    </w:p>
    <w:p>
      <w:pPr>
        <w:numPr>
          <w:ilvl w:val="0"/>
          <w:numId w:val="3"/>
        </w:numPr>
        <w:spacing w:line="276" w:lineRule="auto"/>
        <w:rPr>
          <w:rFonts w:ascii="宋体" w:hAnsi="宋体" w:cs="宋体"/>
          <w:b/>
          <w:u w:val="single"/>
        </w:rPr>
      </w:pPr>
      <w:r>
        <w:rPr>
          <w:rFonts w:hint="eastAsia" w:ascii="宋体" w:hAnsi="宋体" w:cs="宋体"/>
          <w:b/>
          <w:bCs/>
          <w:u w:val="single"/>
        </w:rPr>
        <w:t>开启</w:t>
      </w:r>
      <w:bookmarkEnd w:id="22"/>
      <w:bookmarkEnd w:id="23"/>
      <w:bookmarkEnd w:id="24"/>
      <w:bookmarkEnd w:id="25"/>
      <w:r>
        <w:rPr>
          <w:rFonts w:hint="eastAsia" w:ascii="宋体" w:hAnsi="宋体" w:cs="宋体"/>
          <w:b/>
          <w:bCs/>
          <w:u w:val="single"/>
        </w:rPr>
        <w:t>时间：2</w:t>
      </w:r>
      <w:r>
        <w:rPr>
          <w:rFonts w:hint="eastAsia" w:ascii="宋体" w:hAnsi="宋体" w:cs="宋体"/>
          <w:b/>
          <w:u w:val="single"/>
        </w:rPr>
        <w:t>023年</w:t>
      </w:r>
      <w:r>
        <w:rPr>
          <w:rFonts w:hint="eastAsia" w:ascii="宋体" w:hAnsi="宋体" w:cs="宋体"/>
          <w:b/>
          <w:u w:val="single"/>
          <w:lang w:val="en-US" w:eastAsia="zh-CN"/>
        </w:rPr>
        <w:t>7</w:t>
      </w:r>
      <w:r>
        <w:rPr>
          <w:rFonts w:hint="eastAsia" w:ascii="宋体" w:hAnsi="宋体" w:cs="宋体"/>
          <w:b/>
          <w:u w:val="single"/>
        </w:rPr>
        <w:t>月</w:t>
      </w:r>
      <w:r>
        <w:rPr>
          <w:rFonts w:hint="eastAsia" w:ascii="宋体" w:hAnsi="宋体" w:cs="宋体"/>
          <w:b/>
          <w:u w:val="single"/>
          <w:lang w:val="en-US" w:eastAsia="zh-CN"/>
        </w:rPr>
        <w:t>25</w:t>
      </w:r>
      <w:r>
        <w:rPr>
          <w:rFonts w:hint="eastAsia" w:ascii="宋体" w:hAnsi="宋体" w:cs="宋体"/>
          <w:b/>
          <w:u w:val="single"/>
        </w:rPr>
        <w:t>日</w:t>
      </w:r>
      <w:r>
        <w:rPr>
          <w:rFonts w:hint="eastAsia" w:ascii="宋体" w:hAnsi="宋体" w:cs="宋体"/>
          <w:b/>
          <w:u w:val="single"/>
          <w:lang w:val="en-US" w:eastAsia="zh-CN"/>
        </w:rPr>
        <w:t>15</w:t>
      </w:r>
      <w:r>
        <w:rPr>
          <w:rFonts w:hint="eastAsia" w:ascii="宋体" w:hAnsi="宋体" w:cs="宋体"/>
          <w:b/>
          <w:u w:val="single"/>
        </w:rPr>
        <w:t>点00分</w:t>
      </w:r>
      <w:r>
        <w:rPr>
          <w:rFonts w:hint="eastAsia" w:ascii="宋体" w:hAnsi="宋体" w:cs="宋体"/>
          <w:b/>
          <w:bCs/>
          <w:u w:val="single"/>
        </w:rPr>
        <w:t>（北京时间）</w:t>
      </w:r>
      <w:r>
        <w:rPr>
          <w:rFonts w:hint="eastAsia" w:ascii="宋体" w:hAnsi="宋体" w:cs="宋体"/>
          <w:b/>
          <w:u w:val="single"/>
        </w:rPr>
        <w:t>（逾期送达的为无效文件）</w:t>
      </w:r>
    </w:p>
    <w:p>
      <w:pPr>
        <w:spacing w:line="276" w:lineRule="auto"/>
        <w:ind w:firstLine="422" w:firstLineChars="200"/>
        <w:rPr>
          <w:rFonts w:ascii="宋体" w:hAnsi="宋体" w:cs="宋体"/>
          <w:b/>
          <w:bCs/>
          <w:u w:val="single"/>
        </w:rPr>
      </w:pPr>
      <w:r>
        <w:rPr>
          <w:rFonts w:hint="eastAsia" w:ascii="宋体" w:hAnsi="宋体" w:cs="宋体"/>
          <w:b/>
          <w:u w:val="single"/>
        </w:rPr>
        <w:t>地点：江苏医药职业学院（盐城市解放南路283号）行政楼210室。</w:t>
      </w:r>
    </w:p>
    <w:p>
      <w:pPr>
        <w:spacing w:line="276" w:lineRule="auto"/>
        <w:rPr>
          <w:rFonts w:ascii="宋体" w:hAnsi="宋体" w:cs="宋体"/>
          <w:b/>
          <w:bCs/>
        </w:rPr>
      </w:pPr>
      <w:r>
        <w:rPr>
          <w:rFonts w:hint="eastAsia" w:ascii="宋体" w:hAnsi="宋体" w:cs="宋体"/>
          <w:b/>
        </w:rPr>
        <w:t>六、公告期限</w:t>
      </w:r>
      <w:r>
        <w:rPr>
          <w:rFonts w:hint="eastAsia" w:ascii="宋体" w:hAnsi="宋体" w:cs="宋体"/>
          <w:b/>
          <w:bCs/>
        </w:rPr>
        <w:t>：</w:t>
      </w:r>
    </w:p>
    <w:p>
      <w:pPr>
        <w:spacing w:line="276" w:lineRule="auto"/>
        <w:ind w:firstLine="420" w:firstLineChars="200"/>
        <w:jc w:val="left"/>
        <w:rPr>
          <w:rFonts w:ascii="宋体" w:hAnsi="宋体" w:cs="宋体"/>
        </w:rPr>
      </w:pPr>
      <w:r>
        <w:rPr>
          <w:rFonts w:hint="eastAsia" w:ascii="宋体" w:hAnsi="宋体" w:cs="宋体"/>
          <w:kern w:val="0"/>
        </w:rPr>
        <w:t>自本公告发布之日起3个工作日(“江苏医药职业学院网站”)</w:t>
      </w:r>
    </w:p>
    <w:p>
      <w:pPr>
        <w:spacing w:line="276" w:lineRule="auto"/>
        <w:rPr>
          <w:rFonts w:ascii="宋体" w:hAnsi="宋体" w:cs="宋体"/>
          <w:b/>
        </w:rPr>
      </w:pPr>
      <w:r>
        <w:rPr>
          <w:rFonts w:hint="eastAsia" w:ascii="宋体" w:hAnsi="宋体"/>
          <w:b/>
          <w:bCs/>
        </w:rPr>
        <w:t>七、</w:t>
      </w:r>
      <w:r>
        <w:rPr>
          <w:rFonts w:hint="eastAsia" w:ascii="宋体" w:hAnsi="宋体" w:cs="宋体"/>
          <w:b/>
        </w:rPr>
        <w:t>凡对本次采购提出询问，请按以下方式联系</w:t>
      </w:r>
    </w:p>
    <w:bookmarkEnd w:id="26"/>
    <w:bookmarkEnd w:id="27"/>
    <w:p>
      <w:pPr>
        <w:spacing w:line="276" w:lineRule="auto"/>
        <w:ind w:firstLine="420" w:firstLineChars="200"/>
        <w:rPr>
          <w:rFonts w:ascii="宋体" w:hAnsi="宋体" w:cs="宋体"/>
          <w:szCs w:val="21"/>
        </w:rPr>
      </w:pPr>
      <w:bookmarkStart w:id="30" w:name="_Toc28359008"/>
      <w:bookmarkStart w:id="31" w:name="_Toc35393627"/>
      <w:bookmarkStart w:id="32" w:name="_Toc35393796"/>
      <w:bookmarkStart w:id="33" w:name="_Toc28359085"/>
      <w:r>
        <w:rPr>
          <w:rFonts w:hint="eastAsia" w:ascii="宋体" w:hAnsi="宋体" w:cs="宋体"/>
          <w:szCs w:val="21"/>
        </w:rPr>
        <w:t>1.项目</w:t>
      </w:r>
      <w:r>
        <w:rPr>
          <w:rFonts w:ascii="宋体" w:hAnsi="宋体" w:cs="宋体"/>
          <w:szCs w:val="21"/>
        </w:rPr>
        <w:t>联系方式</w:t>
      </w:r>
      <w:r>
        <w:rPr>
          <w:rFonts w:hint="eastAsia" w:ascii="宋体" w:hAnsi="宋体" w:cs="宋体"/>
          <w:szCs w:val="21"/>
        </w:rPr>
        <w:t>：</w:t>
      </w:r>
    </w:p>
    <w:p>
      <w:pPr>
        <w:spacing w:line="276" w:lineRule="auto"/>
        <w:ind w:firstLine="630" w:firstLineChars="300"/>
        <w:rPr>
          <w:rFonts w:ascii="宋体" w:hAnsi="宋体" w:cs="宋体"/>
          <w:szCs w:val="21"/>
        </w:rPr>
      </w:pPr>
      <w:r>
        <w:rPr>
          <w:rFonts w:hint="eastAsia" w:ascii="宋体" w:hAnsi="宋体" w:cs="宋体"/>
          <w:szCs w:val="21"/>
        </w:rPr>
        <w:t>项目联系人：赵老师；电话：15851077869；</w:t>
      </w:r>
    </w:p>
    <w:p>
      <w:pPr>
        <w:spacing w:line="276" w:lineRule="auto"/>
        <w:ind w:firstLine="420" w:firstLineChars="200"/>
        <w:rPr>
          <w:rFonts w:ascii="宋体" w:hAnsi="宋体" w:cs="宋体"/>
          <w:szCs w:val="21"/>
        </w:rPr>
      </w:pPr>
      <w:r>
        <w:rPr>
          <w:rFonts w:hint="eastAsia" w:ascii="宋体" w:hAnsi="宋体" w:cs="宋体"/>
          <w:szCs w:val="21"/>
        </w:rPr>
        <w:t>2.采购人信息：江苏医药职业学院；</w:t>
      </w:r>
    </w:p>
    <w:p>
      <w:pPr>
        <w:spacing w:line="276" w:lineRule="auto"/>
        <w:ind w:firstLine="630" w:firstLineChars="300"/>
        <w:rPr>
          <w:rFonts w:ascii="宋体" w:hAnsi="宋体" w:cs="宋体"/>
          <w:szCs w:val="21"/>
        </w:rPr>
      </w:pPr>
      <w:r>
        <w:rPr>
          <w:rFonts w:hint="eastAsia" w:ascii="宋体" w:hAnsi="宋体" w:cs="宋体"/>
          <w:szCs w:val="21"/>
        </w:rPr>
        <w:t>地址：盐城市解放南路283号行政楼208室；（邮编224005）</w:t>
      </w:r>
    </w:p>
    <w:p>
      <w:pPr>
        <w:spacing w:line="276" w:lineRule="auto"/>
        <w:ind w:firstLine="630" w:firstLineChars="300"/>
        <w:rPr>
          <w:rFonts w:ascii="宋体" w:hAnsi="宋体" w:cs="宋体"/>
          <w:szCs w:val="21"/>
        </w:rPr>
      </w:pPr>
      <w:r>
        <w:rPr>
          <w:rFonts w:hint="eastAsia" w:ascii="宋体" w:hAnsi="宋体" w:cs="宋体"/>
          <w:szCs w:val="21"/>
        </w:rPr>
        <w:t>联系方式：刘老师；电话：0515-88550311；</w:t>
      </w:r>
    </w:p>
    <w:p>
      <w:pPr>
        <w:spacing w:line="276" w:lineRule="auto"/>
        <w:ind w:firstLine="420" w:firstLineChars="200"/>
        <w:rPr>
          <w:rFonts w:ascii="宋体" w:hAnsi="宋体"/>
          <w:szCs w:val="21"/>
        </w:rPr>
      </w:pPr>
      <w:r>
        <w:rPr>
          <w:rFonts w:hint="eastAsia" w:ascii="宋体" w:hAnsi="宋体"/>
          <w:szCs w:val="21"/>
        </w:rPr>
        <w:t>3.</w:t>
      </w:r>
      <w:r>
        <w:rPr>
          <w:rFonts w:hint="eastAsia" w:ascii="宋体" w:hAnsi="宋体" w:cs="宋体"/>
          <w:szCs w:val="21"/>
        </w:rPr>
        <w:t>采购代理机构信息</w:t>
      </w:r>
      <w:r>
        <w:rPr>
          <w:rFonts w:hint="eastAsia" w:ascii="宋体" w:hAnsi="宋体"/>
          <w:szCs w:val="21"/>
        </w:rPr>
        <w:t>：盐城市携手阳光集中采购代理有限公司；</w:t>
      </w:r>
    </w:p>
    <w:p>
      <w:pPr>
        <w:spacing w:line="276" w:lineRule="auto"/>
        <w:ind w:firstLine="630" w:firstLineChars="300"/>
        <w:rPr>
          <w:rFonts w:ascii="宋体" w:hAnsi="宋体"/>
          <w:szCs w:val="21"/>
          <w:u w:val="single"/>
        </w:rPr>
      </w:pPr>
      <w:r>
        <w:rPr>
          <w:rFonts w:hint="eastAsia" w:ascii="宋体" w:hAnsi="宋体"/>
          <w:szCs w:val="21"/>
        </w:rPr>
        <w:t>联系方式：施婷婷；电话：</w:t>
      </w:r>
      <w:r>
        <w:rPr>
          <w:rFonts w:hint="eastAsia" w:ascii="宋体" w:hAnsi="宋体" w:cs="宋体"/>
          <w:szCs w:val="21"/>
        </w:rPr>
        <w:t>13270072015；</w:t>
      </w:r>
      <w:r>
        <w:rPr>
          <w:rFonts w:hint="eastAsia" w:ascii="宋体" w:hAnsi="宋体"/>
          <w:b/>
          <w:bCs/>
        </w:rPr>
        <w:t>邮箱：xsyg005@163.com</w:t>
      </w:r>
      <w:r>
        <w:rPr>
          <w:rFonts w:hint="eastAsia" w:ascii="宋体" w:hAnsi="宋体"/>
          <w:b/>
          <w:bCs/>
          <w:szCs w:val="21"/>
        </w:rPr>
        <w:t>；</w:t>
      </w:r>
    </w:p>
    <w:p>
      <w:pPr>
        <w:spacing w:line="276" w:lineRule="auto"/>
        <w:ind w:firstLine="630" w:firstLineChars="300"/>
        <w:rPr>
          <w:rFonts w:ascii="宋体" w:hAnsi="宋体"/>
          <w:szCs w:val="21"/>
        </w:rPr>
      </w:pPr>
      <w:r>
        <w:rPr>
          <w:rFonts w:hint="eastAsia" w:ascii="宋体" w:hAnsi="宋体"/>
          <w:szCs w:val="21"/>
        </w:rPr>
        <w:t>地址：盐城市府西路华邦国际西厦A区（东）302室（邮编224000）</w:t>
      </w:r>
    </w:p>
    <w:p>
      <w:pPr>
        <w:spacing w:line="276" w:lineRule="auto"/>
        <w:ind w:firstLine="630" w:firstLineChars="300"/>
        <w:rPr>
          <w:rFonts w:ascii="宋体" w:hAnsi="宋体"/>
          <w:szCs w:val="21"/>
        </w:rPr>
      </w:pPr>
      <w:r>
        <w:rPr>
          <w:rFonts w:hint="eastAsia" w:ascii="宋体" w:hAnsi="宋体"/>
          <w:szCs w:val="21"/>
        </w:rPr>
        <w:t>对项目需求部分的询问、质疑请向项目联系人提出，由项目联系人负责答复；对项目采购文件其它部分的询问、质疑向采购代理机构提出。</w:t>
      </w:r>
    </w:p>
    <w:p>
      <w:pPr>
        <w:spacing w:line="276" w:lineRule="auto"/>
        <w:rPr>
          <w:b/>
          <w:bCs/>
          <w:lang w:val="zh-TW" w:eastAsia="zh-TW"/>
        </w:rPr>
      </w:pPr>
      <w:r>
        <w:rPr>
          <w:rFonts w:hint="eastAsia" w:ascii="宋体" w:hAnsi="宋体"/>
          <w:b/>
        </w:rPr>
        <w:t>八、其他补充事宜</w:t>
      </w:r>
    </w:p>
    <w:p>
      <w:pPr>
        <w:widowControl/>
        <w:shd w:val="clear" w:color="auto" w:fill="FFFFFF"/>
        <w:spacing w:line="276" w:lineRule="auto"/>
        <w:ind w:firstLine="420"/>
        <w:jc w:val="left"/>
        <w:rPr>
          <w:rFonts w:ascii="微软雅黑" w:hAnsi="微软雅黑" w:eastAsia="微软雅黑" w:cs="微软雅黑"/>
          <w:color w:val="444444"/>
          <w:szCs w:val="21"/>
        </w:rPr>
      </w:pPr>
      <w:r>
        <w:rPr>
          <w:rFonts w:hint="eastAsia" w:ascii="宋体" w:hAnsi="宋体" w:cs="宋体"/>
          <w:color w:val="444444"/>
          <w:kern w:val="0"/>
          <w:szCs w:val="21"/>
          <w:shd w:val="clear" w:color="auto" w:fill="FFFFFF"/>
        </w:rPr>
        <w:t>本项目鼓励供应商开展信用担保（0515-88285999）、扶持不发达地区等政府采购政策。</w:t>
      </w:r>
    </w:p>
    <w:p>
      <w:pPr>
        <w:widowControl/>
        <w:shd w:val="clear" w:color="auto" w:fill="FFFFFF"/>
        <w:spacing w:line="276" w:lineRule="auto"/>
        <w:ind w:firstLine="420"/>
        <w:jc w:val="left"/>
        <w:rPr>
          <w:lang w:val="zh-TW" w:eastAsia="zh-TW"/>
        </w:rPr>
      </w:pPr>
      <w:r>
        <w:rPr>
          <w:rFonts w:hint="eastAsia" w:ascii="宋体" w:hAnsi="宋体" w:cs="宋体"/>
          <w:color w:val="444444"/>
          <w:kern w:val="0"/>
          <w:szCs w:val="21"/>
          <w:shd w:val="clear" w:color="auto" w:fill="FFFFFF"/>
        </w:rPr>
        <w:t>本项目使用时间：北京时间，24小时制；货币单位：人民币；</w:t>
      </w:r>
    </w:p>
    <w:bookmarkEnd w:id="28"/>
    <w:bookmarkEnd w:id="29"/>
    <w:bookmarkEnd w:id="30"/>
    <w:bookmarkEnd w:id="31"/>
    <w:bookmarkEnd w:id="32"/>
    <w:bookmarkEnd w:id="33"/>
    <w:p>
      <w:pPr>
        <w:spacing w:line="276" w:lineRule="auto"/>
        <w:jc w:val="right"/>
        <w:rPr>
          <w:rFonts w:ascii="宋体" w:hAnsi="宋体" w:cs="宋体"/>
          <w:szCs w:val="21"/>
        </w:rPr>
      </w:pPr>
    </w:p>
    <w:p>
      <w:pPr>
        <w:spacing w:line="276" w:lineRule="auto"/>
        <w:jc w:val="right"/>
        <w:rPr>
          <w:rFonts w:ascii="宋体" w:hAnsi="宋体" w:cs="宋体"/>
          <w:szCs w:val="21"/>
        </w:rPr>
      </w:pPr>
    </w:p>
    <w:p>
      <w:pPr>
        <w:spacing w:line="276" w:lineRule="auto"/>
        <w:jc w:val="right"/>
        <w:rPr>
          <w:rFonts w:ascii="宋体" w:hAnsi="宋体" w:cs="宋体"/>
          <w:szCs w:val="21"/>
        </w:rPr>
      </w:pPr>
      <w:r>
        <w:rPr>
          <w:rFonts w:hint="eastAsia" w:ascii="宋体" w:hAnsi="宋体" w:cs="宋体"/>
          <w:szCs w:val="21"/>
        </w:rPr>
        <w:t>盐城市携手阳光集中采购代理有限公司</w:t>
      </w:r>
    </w:p>
    <w:p>
      <w:pPr>
        <w:spacing w:line="276" w:lineRule="auto"/>
        <w:ind w:right="840"/>
        <w:jc w:val="right"/>
        <w:rPr>
          <w:rFonts w:ascii="宋体" w:hAnsi="宋体" w:cs="宋体"/>
          <w:szCs w:val="21"/>
        </w:rPr>
      </w:pPr>
      <w:r>
        <w:rPr>
          <w:rFonts w:hint="eastAsia" w:ascii="宋体" w:hAnsi="宋体" w:cs="宋体"/>
          <w:szCs w:val="21"/>
        </w:rPr>
        <w:t>2023年7月</w:t>
      </w:r>
      <w:r>
        <w:rPr>
          <w:rFonts w:hint="eastAsia" w:ascii="宋体" w:hAnsi="宋体" w:cs="宋体"/>
          <w:szCs w:val="21"/>
          <w:lang w:val="en-US" w:eastAsia="zh-CN"/>
        </w:rPr>
        <w:t>13</w:t>
      </w:r>
      <w:r>
        <w:rPr>
          <w:rFonts w:hint="eastAsia" w:ascii="宋体" w:hAnsi="宋体" w:cs="宋体"/>
          <w:szCs w:val="21"/>
        </w:rPr>
        <w:t>日</w:t>
      </w:r>
      <w:bookmarkStart w:id="34" w:name="_Toc120614213"/>
      <w:bookmarkStart w:id="35" w:name="_Toc403987204"/>
      <w:bookmarkStart w:id="36" w:name="_Toc436038552"/>
      <w:bookmarkStart w:id="37" w:name="_Toc436039138"/>
      <w:bookmarkStart w:id="38" w:name="_Toc436038460"/>
      <w:bookmarkStart w:id="39" w:name="_Toc436038399"/>
      <w:bookmarkStart w:id="40" w:name="_Toc20823274"/>
      <w:bookmarkStart w:id="41" w:name="_Toc513029202"/>
      <w:bookmarkStart w:id="42" w:name="_Toc436018347"/>
      <w:bookmarkStart w:id="43" w:name="_Toc16938518"/>
    </w:p>
    <w:bookmarkEnd w:id="34"/>
    <w:bookmarkEnd w:id="35"/>
    <w:bookmarkEnd w:id="36"/>
    <w:bookmarkEnd w:id="37"/>
    <w:bookmarkEnd w:id="38"/>
    <w:bookmarkEnd w:id="39"/>
    <w:bookmarkEnd w:id="40"/>
    <w:bookmarkEnd w:id="41"/>
    <w:bookmarkEnd w:id="42"/>
    <w:bookmarkEnd w:id="43"/>
    <w:p>
      <w:pPr>
        <w:spacing w:line="480" w:lineRule="auto"/>
        <w:jc w:val="center"/>
        <w:outlineLvl w:val="0"/>
        <w:rPr>
          <w:rFonts w:ascii="宋体" w:hAnsi="宋体" w:cs="宋体"/>
          <w:b/>
          <w:szCs w:val="28"/>
        </w:rPr>
      </w:pPr>
      <w:r>
        <w:rPr>
          <w:rFonts w:hint="eastAsia"/>
        </w:rPr>
        <w:br w:type="page"/>
      </w:r>
      <w:bookmarkStart w:id="44" w:name="_Toc122338085"/>
      <w:r>
        <w:rPr>
          <w:rFonts w:hint="eastAsia" w:ascii="宋体" w:hAnsi="宋体" w:cs="宋体"/>
          <w:b/>
          <w:sz w:val="32"/>
          <w:szCs w:val="21"/>
        </w:rPr>
        <w:t>第二章  供货商须知</w:t>
      </w:r>
      <w:bookmarkEnd w:id="44"/>
    </w:p>
    <w:p>
      <w:pPr>
        <w:spacing w:line="334" w:lineRule="auto"/>
        <w:jc w:val="center"/>
        <w:rPr>
          <w:rFonts w:ascii="宋体" w:hAnsi="宋体" w:cs="宋体"/>
          <w:b/>
          <w:szCs w:val="21"/>
        </w:rPr>
      </w:pPr>
      <w:r>
        <w:rPr>
          <w:rFonts w:hint="eastAsia" w:ascii="宋体" w:hAnsi="宋体" w:cs="宋体"/>
          <w:b/>
          <w:szCs w:val="21"/>
        </w:rPr>
        <w:t>供应商须知资料表</w:t>
      </w:r>
    </w:p>
    <w:p>
      <w:pPr>
        <w:spacing w:line="334" w:lineRule="auto"/>
        <w:ind w:firstLine="316" w:firstLineChars="150"/>
        <w:rPr>
          <w:rFonts w:ascii="宋体" w:hAnsi="宋体" w:cs="宋体"/>
          <w:b/>
          <w:szCs w:val="21"/>
        </w:rPr>
      </w:pPr>
      <w:r>
        <w:rPr>
          <w:rFonts w:hint="eastAsia" w:ascii="宋体" w:hAnsi="宋体" w:cs="宋体"/>
          <w:b/>
          <w:szCs w:val="21"/>
        </w:rPr>
        <w:t>★本表是本采购项目的具体资料，是对供应商须知的具体补充和修改，如有矛盾，应以本资料表为准。</w:t>
      </w:r>
    </w:p>
    <w:tbl>
      <w:tblPr>
        <w:tblStyle w:val="29"/>
        <w:tblW w:w="0" w:type="auto"/>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18"/>
        <w:gridCol w:w="80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418" w:type="dxa"/>
            <w:vAlign w:val="center"/>
          </w:tcPr>
          <w:p>
            <w:pPr>
              <w:spacing w:line="400" w:lineRule="exact"/>
              <w:jc w:val="center"/>
              <w:rPr>
                <w:rFonts w:asciiTheme="minorEastAsia" w:hAnsiTheme="minorEastAsia" w:eastAsiaTheme="minorEastAsia" w:cstheme="minorEastAsia"/>
                <w:b/>
                <w:szCs w:val="21"/>
              </w:rPr>
            </w:pPr>
            <w:bookmarkStart w:id="45" w:name="_Hlt26668836"/>
            <w:bookmarkEnd w:id="45"/>
            <w:bookmarkStart w:id="46" w:name="_Hlt26670330"/>
            <w:bookmarkEnd w:id="46"/>
            <w:bookmarkStart w:id="47" w:name="_Hlt26954824"/>
            <w:bookmarkEnd w:id="47"/>
            <w:bookmarkStart w:id="48" w:name="_Hlt26954810"/>
            <w:bookmarkEnd w:id="48"/>
            <w:bookmarkStart w:id="49" w:name="_Hlt26954907"/>
            <w:bookmarkEnd w:id="49"/>
            <w:r>
              <w:rPr>
                <w:rFonts w:hint="eastAsia" w:asciiTheme="minorEastAsia" w:hAnsiTheme="minorEastAsia" w:eastAsiaTheme="minorEastAsia" w:cstheme="minorEastAsia"/>
                <w:b/>
                <w:szCs w:val="21"/>
              </w:rPr>
              <w:t>条款号/名称</w:t>
            </w:r>
          </w:p>
        </w:tc>
        <w:tc>
          <w:tcPr>
            <w:tcW w:w="8096"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40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说明</w:t>
            </w:r>
          </w:p>
        </w:tc>
        <w:tc>
          <w:tcPr>
            <w:tcW w:w="8096" w:type="dxa"/>
            <w:vAlign w:val="center"/>
          </w:tcPr>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江苏医药职业学院是省卫健委直属全日制公办专科层次普通高等学校。本项目预算未达到现时有效的政府采购的限额标准，同时本项目的采购内容也未列入现时有效的集中采购目录，因此，本项目并不属于政府采购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适用</w:t>
            </w:r>
          </w:p>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法律</w:t>
            </w:r>
          </w:p>
        </w:tc>
        <w:tc>
          <w:tcPr>
            <w:tcW w:w="8096" w:type="dxa"/>
            <w:vAlign w:val="center"/>
          </w:tcPr>
          <w:p>
            <w:pPr>
              <w:spacing w:line="40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本次采购适用于采购人的内控制度（政府采购限额以下项目）。为规范采购活动，携手阳光公司参照政府采购程序组织本次采购活动。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采购文件</w:t>
            </w:r>
          </w:p>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的约束力</w:t>
            </w:r>
          </w:p>
        </w:tc>
        <w:tc>
          <w:tcPr>
            <w:tcW w:w="8096" w:type="dxa"/>
            <w:vAlign w:val="center"/>
          </w:tcPr>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供应商一旦下载了本采购文件并决定参加磋商，即代表供应商已阅读了本采购文件每一条条款，并接受了本采购文件所有的规定和约束。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40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与供应商</w:t>
            </w:r>
          </w:p>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的联系</w:t>
            </w:r>
          </w:p>
        </w:tc>
        <w:tc>
          <w:tcPr>
            <w:tcW w:w="8096" w:type="dxa"/>
            <w:vAlign w:val="center"/>
          </w:tcPr>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法律法规中规定采购人、采购代理机构须以书面形式通知供应商的，为提高政府采购效率，采购人、携手阳光公司可以</w:t>
            </w:r>
            <w:r>
              <w:rPr>
                <w:rFonts w:hint="eastAsia" w:asciiTheme="minorEastAsia" w:hAnsiTheme="minorEastAsia" w:eastAsiaTheme="minorEastAsia" w:cstheme="minorEastAsia"/>
                <w:bCs/>
                <w:spacing w:val="15"/>
                <w:kern w:val="0"/>
                <w:szCs w:val="21"/>
              </w:rPr>
              <w:t>以电子邮件</w:t>
            </w:r>
            <w:r>
              <w:rPr>
                <w:rFonts w:hint="eastAsia" w:asciiTheme="minorEastAsia" w:hAnsiTheme="minorEastAsia" w:eastAsiaTheme="minorEastAsia" w:cstheme="minorEastAsia"/>
                <w:bCs/>
                <w:szCs w:val="21"/>
              </w:rPr>
              <w:t>方式</w:t>
            </w:r>
            <w:r>
              <w:rPr>
                <w:rFonts w:hint="eastAsia" w:asciiTheme="minorEastAsia" w:hAnsiTheme="minorEastAsia" w:eastAsiaTheme="minorEastAsia" w:cstheme="minorEastAsia"/>
                <w:szCs w:val="21"/>
              </w:rPr>
              <w:t>通知供应商（视为书面形式）。</w:t>
            </w:r>
            <w:r>
              <w:rPr>
                <w:rFonts w:hint="eastAsia" w:asciiTheme="minorEastAsia" w:hAnsiTheme="minorEastAsia" w:eastAsiaTheme="minorEastAsia" w:cstheme="minorEastAsia"/>
                <w:bCs/>
                <w:spacing w:val="15"/>
                <w:kern w:val="0"/>
                <w:szCs w:val="21"/>
              </w:rPr>
              <w:t>本项目采购活动中，</w:t>
            </w:r>
            <w:r>
              <w:rPr>
                <w:rFonts w:hint="eastAsia" w:asciiTheme="minorEastAsia" w:hAnsiTheme="minorEastAsia" w:eastAsiaTheme="minorEastAsia" w:cstheme="minorEastAsia"/>
                <w:szCs w:val="21"/>
              </w:rPr>
              <w:t>携手阳光公司的</w:t>
            </w:r>
            <w:r>
              <w:rPr>
                <w:rFonts w:hint="eastAsia" w:asciiTheme="minorEastAsia" w:hAnsiTheme="minorEastAsia" w:eastAsiaTheme="minorEastAsia" w:cstheme="minorEastAsia"/>
                <w:bCs/>
                <w:spacing w:val="15"/>
                <w:kern w:val="0"/>
                <w:szCs w:val="21"/>
              </w:rPr>
              <w:t>电子邮箱以采购公告为准（下同</w:t>
            </w:r>
            <w:r>
              <w:rPr>
                <w:rFonts w:hint="eastAsia" w:asciiTheme="minorEastAsia" w:hAnsiTheme="minorEastAsia" w:eastAsiaTheme="minorEastAsia" w:cstheme="minorEastAsia"/>
                <w:bCs/>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投标有效期</w:t>
            </w:r>
          </w:p>
        </w:tc>
        <w:tc>
          <w:tcPr>
            <w:tcW w:w="8096" w:type="dxa"/>
            <w:vAlign w:val="center"/>
          </w:tcPr>
          <w:p>
            <w:pPr>
              <w:spacing w:line="400" w:lineRule="exact"/>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投标有效期（磋商响应有效期）：提交响应文件截止之日起</w:t>
            </w:r>
            <w:r>
              <w:rPr>
                <w:rFonts w:hint="eastAsia" w:asciiTheme="minorEastAsia" w:hAnsiTheme="minorEastAsia" w:eastAsiaTheme="minorEastAsia" w:cstheme="minorEastAsia"/>
                <w:szCs w:val="21"/>
                <w:u w:val="single"/>
              </w:rPr>
              <w:t>60个日历日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18"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投标（响应）文件份数</w:t>
            </w:r>
          </w:p>
        </w:tc>
        <w:tc>
          <w:tcPr>
            <w:tcW w:w="8096" w:type="dxa"/>
            <w:vAlign w:val="center"/>
          </w:tcPr>
          <w:p>
            <w:pPr>
              <w:spacing w:line="4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u w:val="single"/>
              </w:rPr>
              <w:t>投标（响应）文件：正本：1份、副本：4份（建议正本与副本分开封装）</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除上述文件外，还须递交投标（响应）文件电子文档1份</w:t>
            </w:r>
            <w:r>
              <w:rPr>
                <w:rFonts w:hint="eastAsia" w:asciiTheme="minorEastAsia" w:hAnsiTheme="minorEastAsia" w:eastAsiaTheme="minorEastAsia" w:cstheme="minorEastAsia"/>
                <w:b/>
                <w:bCs/>
                <w:szCs w:val="21"/>
              </w:rPr>
              <w:t>（建议U盘）</w:t>
            </w:r>
            <w:r>
              <w:rPr>
                <w:rFonts w:hint="eastAsia" w:asciiTheme="minorEastAsia" w:hAnsiTheme="minorEastAsia" w:eastAsiaTheme="minorEastAsia" w:cs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履约保证金</w:t>
            </w:r>
          </w:p>
        </w:tc>
        <w:tc>
          <w:tcPr>
            <w:tcW w:w="8096" w:type="dxa"/>
            <w:vAlign w:val="center"/>
          </w:tcPr>
          <w:p>
            <w:pPr>
              <w:spacing w:line="4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在签订合同前，中标人需向招标人交纳履约保证金（请将履约保证金汇款凭证发送至QQ邮箱：</w:t>
            </w:r>
            <w:r>
              <w:rPr>
                <w:rFonts w:hint="eastAsia"/>
              </w:rPr>
              <w:fldChar w:fldCharType="begin"/>
            </w:r>
            <w:r>
              <w:instrText xml:space="preserve"> HYPERLINK "mailto:532223373@qq.com），具体金额为中标价的5%25。拟中标人应当按照招标人的要求及时、足额缴纳履约保证金，履约保证金待项目验收结束后一次性无息退还。（凭" </w:instrText>
            </w:r>
            <w:r>
              <w:rPr>
                <w:rFonts w:hint="eastAsia"/>
              </w:rPr>
              <w:fldChar w:fldCharType="separate"/>
            </w:r>
            <w:r>
              <w:rPr>
                <w:rFonts w:hint="eastAsia"/>
              </w:rPr>
              <w:t>532223373@qq.com），具体金额为中标价的5%。拟中标人应当按照招标人的要求及时、足额缴纳履约保证金，履约保证金待项目验收结束后一次性无息退还。（凭“保证金请退函”到学校国资处办理退款手续）。如果中标人不履行合同约定的义务，未能完全履行合同规定的义务或其履行不符合合同的约定，招标人有权扣除履约保证金取得补偿。</w:t>
            </w:r>
            <w:r>
              <w:rPr>
                <w:rFonts w:hint="eastAsia"/>
              </w:rPr>
              <w:fldChar w:fldCharType="end"/>
            </w:r>
            <w:bookmarkStart w:id="50" w:name="_Toc118235408"/>
            <w:r>
              <w:rPr>
                <w:rFonts w:hint="eastAsia" w:asciiTheme="minorEastAsia" w:hAnsiTheme="minorEastAsia" w:eastAsiaTheme="minorEastAsia" w:cstheme="minorEastAsia"/>
                <w:szCs w:val="21"/>
              </w:rPr>
              <w:t>详见：《供货商须知》六、合同签订相关事项。</w:t>
            </w:r>
            <w:bookmarkEnd w:id="5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代理服务费</w:t>
            </w:r>
          </w:p>
        </w:tc>
        <w:tc>
          <w:tcPr>
            <w:tcW w:w="8096" w:type="dxa"/>
            <w:vAlign w:val="center"/>
          </w:tcPr>
          <w:p>
            <w:pPr>
              <w:spacing w:line="400" w:lineRule="exact"/>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代理服务费（中标服务费）：本项目的代理服务费由成交供应商承担。</w:t>
            </w:r>
          </w:p>
          <w:p>
            <w:pPr>
              <w:spacing w:line="4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代理服务费收费标准（每个分包）：</w:t>
            </w:r>
            <w:r>
              <w:rPr>
                <w:rFonts w:hint="eastAsia" w:asciiTheme="minorEastAsia" w:hAnsiTheme="minorEastAsia" w:eastAsiaTheme="minorEastAsia" w:cstheme="minorEastAsia"/>
                <w:szCs w:val="21"/>
              </w:rPr>
              <w:t>为方便计算，代理服务费参照原《招标代理服务收费管理暂行办法》（计价格[2002]1980号）</w:t>
            </w:r>
            <w:r>
              <w:rPr>
                <w:rFonts w:hint="eastAsia" w:ascii="宋体" w:hAnsi="宋体"/>
              </w:rPr>
              <w:t>收费标准的40%计取（如低于3000元的，按3000元计取）；</w:t>
            </w:r>
          </w:p>
          <w:p>
            <w:pPr>
              <w:pStyle w:val="2"/>
              <w:ind w:left="0" w:leftChars="0"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代理服务费支付形式为：电款、转账等；发票为普通发票。账户信息：开户名：盐城市携手阳光集中采购代理有限公司；开户行：兴业银行盐城分行；账号：402010100100119375）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版权所有</w:t>
            </w:r>
          </w:p>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翻版必究</w:t>
            </w:r>
          </w:p>
        </w:tc>
        <w:tc>
          <w:tcPr>
            <w:tcW w:w="8096" w:type="dxa"/>
            <w:vAlign w:val="center"/>
          </w:tcPr>
          <w:p>
            <w:pPr>
              <w:spacing w:line="400" w:lineRule="exact"/>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携手阳光公司创建之始（2012年），便致力于政府采购业务不断完善和改进。寒窗苦读不易，未经携手阳光公司书面授权，本采购文件内容严禁摘录、引用、传播或用于它处。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CSR</w:t>
            </w:r>
          </w:p>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企业社会责任</w:t>
            </w:r>
          </w:p>
        </w:tc>
        <w:tc>
          <w:tcPr>
            <w:tcW w:w="8096" w:type="dxa"/>
            <w:vAlign w:val="center"/>
          </w:tcPr>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盐城市携手阳光集中采购代理有限公司从成立起，重视社会责任，在第一份招标文件中，就已公开了自己的企业社会责任。</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绿色环保：我们建议供应商响应文件技术部分使用双面打印，以减少纸张的浪费。</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社会公益：我司定期安排拥军拥属以及其它社会公益行为。</w:t>
            </w:r>
          </w:p>
        </w:tc>
      </w:tr>
    </w:tbl>
    <w:p>
      <w:pPr>
        <w:spacing w:line="410" w:lineRule="exact"/>
        <w:jc w:val="center"/>
        <w:rPr>
          <w:rFonts w:ascii="宋体" w:hAnsi="宋体" w:cs="宋体"/>
          <w:b/>
          <w:szCs w:val="21"/>
        </w:rPr>
      </w:pPr>
      <w:r>
        <w:rPr>
          <w:rFonts w:hint="eastAsia" w:ascii="宋体" w:hAnsi="宋体" w:cs="宋体"/>
          <w:b/>
          <w:szCs w:val="21"/>
        </w:rPr>
        <w:t>（参加竞争性磋商的供应商以下简称“磋商供应商”）</w:t>
      </w:r>
    </w:p>
    <w:p>
      <w:pPr>
        <w:spacing w:line="262" w:lineRule="auto"/>
        <w:jc w:val="center"/>
        <w:outlineLvl w:val="1"/>
        <w:rPr>
          <w:rFonts w:asciiTheme="minorEastAsia" w:hAnsiTheme="minorEastAsia" w:eastAsiaTheme="minorEastAsia" w:cstheme="minorEastAsia"/>
          <w:b/>
          <w:szCs w:val="21"/>
        </w:rPr>
      </w:pPr>
      <w:bookmarkStart w:id="51" w:name="_Toc107916288"/>
      <w:bookmarkStart w:id="52" w:name="_Toc118275634"/>
      <w:bookmarkStart w:id="53" w:name="_Toc118275514"/>
      <w:bookmarkStart w:id="54" w:name="_Toc118235409"/>
      <w:bookmarkStart w:id="55" w:name="_Toc118275554"/>
      <w:r>
        <w:rPr>
          <w:rFonts w:hint="eastAsia" w:asciiTheme="minorEastAsia" w:hAnsiTheme="minorEastAsia" w:eastAsiaTheme="minorEastAsia" w:cstheme="minorEastAsia"/>
          <w:b/>
          <w:bCs/>
          <w:szCs w:val="21"/>
        </w:rPr>
        <w:t>一、</w:t>
      </w:r>
      <w:r>
        <w:rPr>
          <w:rFonts w:hint="eastAsia" w:asciiTheme="minorEastAsia" w:hAnsiTheme="minorEastAsia" w:eastAsiaTheme="minorEastAsia" w:cstheme="minorEastAsia"/>
          <w:b/>
          <w:szCs w:val="21"/>
        </w:rPr>
        <w:t>总则</w:t>
      </w:r>
      <w:bookmarkEnd w:id="51"/>
      <w:bookmarkEnd w:id="52"/>
      <w:bookmarkEnd w:id="53"/>
      <w:bookmarkEnd w:id="54"/>
      <w:bookmarkEnd w:id="55"/>
    </w:p>
    <w:p>
      <w:pPr>
        <w:pStyle w:val="9"/>
        <w:spacing w:line="240" w:lineRule="exact"/>
        <w:rPr>
          <w:rFonts w:asciiTheme="minorEastAsia" w:hAnsiTheme="minorEastAsia" w:eastAsiaTheme="minorEastAsia" w:cstheme="minorEastAsia"/>
          <w:sz w:val="21"/>
          <w:szCs w:val="21"/>
        </w:rPr>
      </w:pPr>
    </w:p>
    <w:p>
      <w:pPr>
        <w:spacing w:line="262"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w:t>
      </w:r>
      <w:bookmarkStart w:id="56" w:name="_Toc5999"/>
      <w:bookmarkStart w:id="57" w:name="_Toc32623"/>
      <w:bookmarkStart w:id="58" w:name="_Toc520356144"/>
      <w:bookmarkStart w:id="59" w:name="_Toc515647758"/>
      <w:bookmarkStart w:id="60" w:name="_Toc32189"/>
      <w:r>
        <w:rPr>
          <w:rFonts w:hint="eastAsia" w:asciiTheme="minorEastAsia" w:hAnsiTheme="minorEastAsia" w:eastAsiaTheme="minorEastAsia" w:cstheme="minorEastAsia"/>
          <w:b/>
          <w:szCs w:val="21"/>
        </w:rPr>
        <w:t>.适用法律、采购方式、采购磋商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1.1本次采购及由此产生的合同受中华人民共和国有关的法律法规制约和保护。</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1.2本次采购方式为：</w:t>
      </w:r>
      <w:r>
        <w:rPr>
          <w:rFonts w:hint="eastAsia" w:asciiTheme="minorEastAsia" w:hAnsiTheme="minorEastAsia" w:eastAsiaTheme="minorEastAsia" w:cstheme="minorEastAsia"/>
          <w:szCs w:val="21"/>
          <w:u w:val="single"/>
        </w:rPr>
        <w:t>磋商</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1.3采购磋商：略，本项目的采购磋商书同</w:t>
      </w:r>
      <w:r>
        <w:rPr>
          <w:rFonts w:hint="eastAsia" w:asciiTheme="minorEastAsia" w:hAnsiTheme="minorEastAsia" w:eastAsiaTheme="minorEastAsia" w:cstheme="minorEastAsia"/>
          <w:szCs w:val="21"/>
          <w:u w:val="single"/>
        </w:rPr>
        <w:t>采购公告</w:t>
      </w:r>
      <w:r>
        <w:rPr>
          <w:rFonts w:hint="eastAsia" w:asciiTheme="minorEastAsia" w:hAnsiTheme="minorEastAsia" w:eastAsiaTheme="minorEastAsia" w:cstheme="minorEastAsia"/>
          <w:szCs w:val="21"/>
        </w:rPr>
        <w:t>。</w:t>
      </w:r>
    </w:p>
    <w:p>
      <w:pPr>
        <w:spacing w:line="262"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2.采购人、采购代理机构及</w:t>
      </w:r>
      <w:bookmarkEnd w:id="56"/>
      <w:bookmarkEnd w:id="57"/>
      <w:bookmarkEnd w:id="58"/>
      <w:bookmarkEnd w:id="59"/>
      <w:bookmarkEnd w:id="60"/>
      <w:r>
        <w:rPr>
          <w:rFonts w:hint="eastAsia" w:asciiTheme="minorEastAsia" w:hAnsiTheme="minorEastAsia" w:eastAsiaTheme="minorEastAsia" w:cstheme="minorEastAsia"/>
          <w:b/>
          <w:szCs w:val="21"/>
        </w:rPr>
        <w:t>供应商</w:t>
      </w:r>
    </w:p>
    <w:p>
      <w:pPr>
        <w:spacing w:line="262" w:lineRule="auto"/>
        <w:ind w:firstLine="420"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2.1采购人：本项目的采购人见</w:t>
      </w:r>
      <w:r>
        <w:rPr>
          <w:rFonts w:hint="eastAsia" w:asciiTheme="minorEastAsia" w:hAnsiTheme="minorEastAsia" w:eastAsiaTheme="minorEastAsia" w:cstheme="minorEastAsia"/>
          <w:bCs/>
          <w:szCs w:val="21"/>
          <w:u w:val="single"/>
        </w:rPr>
        <w:t>采购公告</w:t>
      </w:r>
      <w:r>
        <w:rPr>
          <w:rFonts w:hint="eastAsia" w:asciiTheme="minorEastAsia" w:hAnsiTheme="minorEastAsia" w:eastAsiaTheme="minorEastAsia" w:cstheme="minorEastAsia"/>
          <w:szCs w:val="21"/>
        </w:rPr>
        <w:t>。</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2.2采购代理机构：盐城市携手阳光集中采购代理有限公司（本次采购活动中可简称：携手阳光公司；携手阳光公司的工作人员，可以简称工作人员）</w:t>
      </w:r>
    </w:p>
    <w:p>
      <w:pPr>
        <w:spacing w:line="262" w:lineRule="auto"/>
        <w:ind w:firstLine="420"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2.3供应商：是指向采购人提供产品（货物、工程或者服务。下同）的法人、非法人组织或者自然人。</w:t>
      </w:r>
    </w:p>
    <w:p>
      <w:pPr>
        <w:spacing w:line="262" w:lineRule="auto"/>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2.3.1供应商资格条件</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2.3.1.1供应商须符合</w:t>
      </w:r>
      <w:r>
        <w:rPr>
          <w:rFonts w:hint="eastAsia" w:asciiTheme="minorEastAsia" w:hAnsiTheme="minorEastAsia" w:eastAsiaTheme="minorEastAsia" w:cstheme="minorEastAsia"/>
          <w:bCs/>
          <w:szCs w:val="21"/>
          <w:u w:val="single"/>
        </w:rPr>
        <w:t>采购公告</w:t>
      </w:r>
      <w:r>
        <w:rPr>
          <w:rFonts w:hint="eastAsia" w:asciiTheme="minorEastAsia" w:hAnsiTheme="minorEastAsia" w:eastAsiaTheme="minorEastAsia" w:cstheme="minorEastAsia"/>
          <w:bCs/>
          <w:szCs w:val="21"/>
        </w:rPr>
        <w:t>中</w:t>
      </w:r>
      <w:r>
        <w:rPr>
          <w:rFonts w:hint="eastAsia" w:asciiTheme="minorEastAsia" w:hAnsiTheme="minorEastAsia" w:eastAsiaTheme="minorEastAsia" w:cstheme="minorEastAsia"/>
          <w:szCs w:val="21"/>
        </w:rPr>
        <w:t>申请人（</w:t>
      </w:r>
      <w:r>
        <w:rPr>
          <w:rFonts w:hint="eastAsia" w:asciiTheme="minorEastAsia" w:hAnsiTheme="minorEastAsia" w:eastAsiaTheme="minorEastAsia" w:cstheme="minorEastAsia"/>
          <w:kern w:val="0"/>
          <w:szCs w:val="21"/>
        </w:rPr>
        <w:t>供应商）</w:t>
      </w:r>
      <w:r>
        <w:rPr>
          <w:rFonts w:hint="eastAsia" w:asciiTheme="minorEastAsia" w:hAnsiTheme="minorEastAsia" w:eastAsiaTheme="minorEastAsia" w:cstheme="minorEastAsia"/>
          <w:szCs w:val="21"/>
        </w:rPr>
        <w:t>的资格要求；</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2.3.1.2供应商须以携手阳光公司认可的方式获得了本采购文件；</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2.3.1.3单位负责人为同一人或者存在直接控股、管理关系的不同供应商，不得参加同一合同项下的政府采购活动。为本项目提供整体设计、规范编制或者项目管理、监理、检测等服务的供应商，不得再参加本项目的其他采购活动；</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w:t>
      </w:r>
      <w:r>
        <w:rPr>
          <w:rFonts w:hint="eastAsia" w:asciiTheme="minorEastAsia" w:hAnsiTheme="minorEastAsia" w:eastAsiaTheme="minorEastAsia" w:cstheme="minorEastAsia"/>
          <w:b/>
          <w:bCs/>
          <w:szCs w:val="21"/>
        </w:rPr>
        <w:t>资金来源、</w:t>
      </w:r>
      <w:r>
        <w:rPr>
          <w:rFonts w:hint="eastAsia" w:asciiTheme="minorEastAsia" w:hAnsiTheme="minorEastAsia" w:eastAsiaTheme="minorEastAsia" w:cstheme="minorEastAsia"/>
          <w:b/>
          <w:szCs w:val="21"/>
        </w:rPr>
        <w:t>采购预算、采购需求</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3.1本项目的采购人已获得足以支付本次采购后所签订的合同项下的资金。</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3.2本项目采购预算</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kern w:val="0"/>
          <w:szCs w:val="21"/>
        </w:rPr>
        <w:t>最高限价</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rPr>
        <w:t>如有）</w:t>
      </w:r>
      <w:r>
        <w:rPr>
          <w:rFonts w:hint="eastAsia" w:asciiTheme="minorEastAsia" w:hAnsiTheme="minorEastAsia" w:eastAsiaTheme="minorEastAsia" w:cstheme="minorEastAsia"/>
          <w:szCs w:val="21"/>
        </w:rPr>
        <w:t>见</w:t>
      </w:r>
      <w:r>
        <w:rPr>
          <w:rFonts w:hint="eastAsia" w:asciiTheme="minorEastAsia" w:hAnsiTheme="minorEastAsia" w:eastAsiaTheme="minorEastAsia" w:cstheme="minorEastAsia"/>
          <w:bCs/>
          <w:szCs w:val="21"/>
          <w:u w:val="single"/>
        </w:rPr>
        <w:t>采购公告</w:t>
      </w:r>
      <w:r>
        <w:rPr>
          <w:rFonts w:hint="eastAsia" w:asciiTheme="minorEastAsia" w:hAnsiTheme="minorEastAsia" w:eastAsiaTheme="minorEastAsia" w:cstheme="minorEastAsia"/>
          <w:szCs w:val="21"/>
        </w:rPr>
        <w:t>。供应商报价超过采购文件规定的预算金额或者最高限价的，其投标将被认定为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3.3本项目的</w:t>
      </w:r>
      <w:r>
        <w:rPr>
          <w:rFonts w:hint="eastAsia" w:asciiTheme="minorEastAsia" w:hAnsiTheme="minorEastAsia" w:eastAsiaTheme="minorEastAsia" w:cstheme="minorEastAsia"/>
          <w:szCs w:val="21"/>
          <w:u w:val="single"/>
        </w:rPr>
        <w:t>采购需求见本采购文件第3章</w:t>
      </w:r>
      <w:r>
        <w:rPr>
          <w:rFonts w:hint="eastAsia" w:asciiTheme="minorEastAsia" w:hAnsiTheme="minorEastAsia" w:eastAsiaTheme="minorEastAsia" w:cstheme="minorEastAsia"/>
          <w:szCs w:val="21"/>
        </w:rPr>
        <w:t>“采购需求及政府采购合同（拟签订的合同文本）”。</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4.参加政府采购活动费用</w:t>
      </w:r>
    </w:p>
    <w:p>
      <w:pPr>
        <w:spacing w:line="30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不论结果如何，供应商应承担所有与准备和参加本次磋商采购有关的费用。采购人及携手阳光公司在任何情况下均无义务和责任承担这些费用。</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5.其它有关说明</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5.1供应商提交的响应文件以及供应商与采购人、携手阳光公司就有关投标的所有来往通知、函件和文件均须使用</w:t>
      </w:r>
      <w:r>
        <w:rPr>
          <w:rFonts w:hint="eastAsia" w:asciiTheme="minorEastAsia" w:hAnsiTheme="minorEastAsia" w:eastAsiaTheme="minorEastAsia" w:cstheme="minorEastAsia"/>
          <w:szCs w:val="21"/>
          <w:u w:val="single"/>
        </w:rPr>
        <w:t>简体中文</w:t>
      </w:r>
      <w:r>
        <w:rPr>
          <w:rFonts w:hint="eastAsia" w:asciiTheme="minorEastAsia" w:hAnsiTheme="minorEastAsia" w:eastAsiaTheme="minorEastAsia" w:cstheme="minorEastAsia"/>
          <w:b/>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5.2采购文件中所称的“以上”、“以下”、“内”、“以内”，包括本数；所称的“不足”，不包括本数。</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5.3如供应商为非法人单位的，“法定代表人”可为自然人本人、经营者本人、负责人。如供应商为自然人的，可由自然人以签字替代盖章。</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5.4本次采购活动（含采购文件）中的产品（货物、服务、工程）包括其相关伴随产品（货物、服务、工程）等为实现采购人采购需要（需求）而涉及的所有产品及事宜。</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5.5★特别说明（约定性条款）：</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获取本采购文件后，应当及时、全面悉知采购文件的全部内容（含采购需求以及需实现的功能或者目标等全部内容。下同）及相关事宜。携手阳光公司不能保证本采购文件无编辑错误，如采购文件中有表述不清或不完整的（包括表述不规范完整或不准确的、界定或形容不清，可多层理解或解释的、未能达到法律规定明确的要求等任何情形），按照</w:t>
      </w:r>
      <w:r>
        <w:rPr>
          <w:rFonts w:hint="eastAsia" w:asciiTheme="minorEastAsia" w:hAnsiTheme="minorEastAsia" w:eastAsiaTheme="minorEastAsia" w:cstheme="minorEastAsia"/>
          <w:b/>
          <w:spacing w:val="15"/>
          <w:kern w:val="0"/>
          <w:szCs w:val="21"/>
        </w:rPr>
        <w:t>提高采购效率，降低纠错成本的原则，请</w:t>
      </w:r>
      <w:r>
        <w:rPr>
          <w:rFonts w:hint="eastAsia" w:asciiTheme="minorEastAsia" w:hAnsiTheme="minorEastAsia" w:eastAsiaTheme="minorEastAsia" w:cstheme="minorEastAsia"/>
          <w:b/>
          <w:szCs w:val="21"/>
        </w:rPr>
        <w:t>供应商在提交响应文件截止之日5日前，以电邮或书面方式（均须加盖公章）向携手阳光公司提出询问或要求进行澄清，以便采购人及时校正。如供应商参加了本项目采购活动，视为供应商对本采购文件无任何异议，并自愿在本项目采购活动中，一切以携手阳光公司理解、解释为准（本采购文件所有的解释权完全归携手阳光公司所有）。因此产生的风险（含响应文件无效）由供应商承担（含过错赔偿）。</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5.6采购文件的约束力</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供应商一旦下载了本采购文件并决定参加投标，即代表供应商接受了本采购文件所有的规定和约束</w:t>
      </w:r>
      <w:bookmarkStart w:id="61" w:name="_Hlt26954828"/>
      <w:bookmarkEnd w:id="61"/>
      <w:bookmarkStart w:id="62" w:name="_Hlt26668969"/>
      <w:bookmarkEnd w:id="62"/>
      <w:bookmarkStart w:id="63" w:name="_Hlt26954832"/>
      <w:bookmarkEnd w:id="63"/>
      <w:bookmarkStart w:id="64" w:name="_Hlt26670348"/>
      <w:bookmarkEnd w:id="64"/>
      <w:bookmarkStart w:id="65" w:name="_Hlt26670354"/>
      <w:bookmarkEnd w:id="65"/>
      <w:bookmarkStart w:id="66" w:name="_Hlt26954830"/>
      <w:bookmarkEnd w:id="66"/>
      <w:bookmarkStart w:id="67" w:name="_Hlt26670345"/>
      <w:bookmarkEnd w:id="67"/>
      <w:bookmarkStart w:id="68" w:name="_Toc513029213"/>
      <w:bookmarkStart w:id="69" w:name="_Toc14577351"/>
      <w:bookmarkStart w:id="70" w:name="_Toc462564072"/>
      <w:bookmarkStart w:id="71" w:name="_Toc61149553"/>
    </w:p>
    <w:p>
      <w:pPr>
        <w:pStyle w:val="9"/>
        <w:spacing w:line="240" w:lineRule="exact"/>
        <w:rPr>
          <w:rFonts w:asciiTheme="minorEastAsia" w:hAnsiTheme="minorEastAsia" w:eastAsiaTheme="minorEastAsia" w:cstheme="minorEastAsia"/>
          <w:sz w:val="21"/>
          <w:szCs w:val="21"/>
        </w:rPr>
      </w:pPr>
    </w:p>
    <w:p>
      <w:pPr>
        <w:spacing w:line="262" w:lineRule="auto"/>
        <w:ind w:firstLine="422" w:firstLineChars="200"/>
        <w:jc w:val="center"/>
        <w:outlineLvl w:val="1"/>
        <w:rPr>
          <w:rFonts w:asciiTheme="minorEastAsia" w:hAnsiTheme="minorEastAsia" w:eastAsiaTheme="minorEastAsia" w:cstheme="minorEastAsia"/>
          <w:b/>
          <w:szCs w:val="21"/>
        </w:rPr>
      </w:pPr>
      <w:bookmarkStart w:id="72" w:name="_Toc118275555"/>
      <w:bookmarkStart w:id="73" w:name="_Toc118275635"/>
      <w:bookmarkStart w:id="74" w:name="_Toc107916289"/>
      <w:bookmarkStart w:id="75" w:name="_Toc118275515"/>
      <w:bookmarkStart w:id="76" w:name="_Toc118235410"/>
      <w:r>
        <w:rPr>
          <w:rFonts w:hint="eastAsia" w:asciiTheme="minorEastAsia" w:hAnsiTheme="minorEastAsia" w:eastAsiaTheme="minorEastAsia" w:cstheme="minorEastAsia"/>
          <w:b/>
          <w:szCs w:val="21"/>
        </w:rPr>
        <w:t>二、采购文件</w:t>
      </w:r>
      <w:bookmarkEnd w:id="72"/>
      <w:bookmarkEnd w:id="73"/>
      <w:bookmarkEnd w:id="74"/>
      <w:bookmarkEnd w:id="75"/>
      <w:bookmarkEnd w:id="76"/>
    </w:p>
    <w:p>
      <w:pPr>
        <w:pStyle w:val="9"/>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1.采购文件构成</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1.1采购文件共5章，内容如下：</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第1章  采购公告（采购磋商）</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 xml:space="preserve">    第2章  供货商须知</w:t>
      </w:r>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第3章  采购需求及政府采购合同（拟签订的合同文本）</w:t>
      </w:r>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第4章  评审方法和标准（主要部分）</w:t>
      </w:r>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第5章  投标（响应）文件格式</w:t>
      </w:r>
    </w:p>
    <w:p>
      <w:pPr>
        <w:spacing w:line="262" w:lineRule="auto"/>
        <w:ind w:left="785" w:leftChars="199" w:hanging="367" w:hanging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请供应商仔细检查采购文件是否齐全，如有缺漏请立即与</w:t>
      </w:r>
      <w:r>
        <w:rPr>
          <w:rFonts w:hint="eastAsia" w:asciiTheme="minorEastAsia" w:hAnsiTheme="minorEastAsia" w:eastAsiaTheme="minorEastAsia" w:cstheme="minorEastAsia"/>
          <w:bCs/>
          <w:szCs w:val="21"/>
        </w:rPr>
        <w:t>携手阳光公司</w:t>
      </w:r>
      <w:r>
        <w:rPr>
          <w:rFonts w:hint="eastAsia" w:asciiTheme="minorEastAsia" w:hAnsiTheme="minorEastAsia" w:eastAsiaTheme="minorEastAsia" w:cstheme="minorEastAsia"/>
          <w:szCs w:val="21"/>
        </w:rPr>
        <w:t>联系。</w:t>
      </w:r>
    </w:p>
    <w:p>
      <w:pPr>
        <w:tabs>
          <w:tab w:val="left" w:pos="0"/>
        </w:tabs>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1.2如本采购文件的前后内容不一致，以最后描述为准。</w:t>
      </w:r>
    </w:p>
    <w:p>
      <w:pPr>
        <w:tabs>
          <w:tab w:val="left" w:pos="0"/>
        </w:tabs>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供应商应认真阅读采购文件所有的事项、格式、条款和技术规范等。如供应商没有按照采购文件要求提交全部资料，或者响应文件没有对采购文件在各方面都做出实质性响应，可能导致其投标（响应）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bookmarkStart w:id="77" w:name="_Toc515904805"/>
      <w:bookmarkStart w:id="78" w:name="_Toc26044"/>
      <w:bookmarkStart w:id="79" w:name="_Toc1922"/>
      <w:bookmarkStart w:id="80" w:name="_Toc9232"/>
    </w:p>
    <w:p>
      <w:pPr>
        <w:tabs>
          <w:tab w:val="left" w:pos="0"/>
        </w:tabs>
        <w:spacing w:line="262"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w:t>
      </w:r>
      <w:r>
        <w:rPr>
          <w:rFonts w:hint="eastAsia" w:asciiTheme="minorEastAsia" w:hAnsiTheme="minorEastAsia" w:eastAsiaTheme="minorEastAsia" w:cstheme="minorEastAsia"/>
          <w:b/>
          <w:szCs w:val="21"/>
        </w:rPr>
        <w:t>采购文件</w:t>
      </w:r>
      <w:r>
        <w:rPr>
          <w:rFonts w:hint="eastAsia" w:asciiTheme="minorEastAsia" w:hAnsiTheme="minorEastAsia" w:eastAsiaTheme="minorEastAsia" w:cstheme="minorEastAsia"/>
          <w:b/>
          <w:bCs/>
          <w:szCs w:val="21"/>
        </w:rPr>
        <w:t>的澄清</w:t>
      </w:r>
      <w:bookmarkEnd w:id="77"/>
      <w:r>
        <w:rPr>
          <w:rFonts w:hint="eastAsia" w:asciiTheme="minorEastAsia" w:hAnsiTheme="minorEastAsia" w:eastAsiaTheme="minorEastAsia" w:cstheme="minorEastAsia"/>
          <w:b/>
          <w:bCs/>
          <w:szCs w:val="21"/>
        </w:rPr>
        <w:t>与修改</w:t>
      </w:r>
      <w:bookmarkEnd w:id="78"/>
      <w:bookmarkEnd w:id="79"/>
      <w:bookmarkEnd w:id="80"/>
    </w:p>
    <w:p>
      <w:pPr>
        <w:spacing w:line="262" w:lineRule="auto"/>
        <w:ind w:firstLine="420" w:firstLineChars="200"/>
        <w:rPr>
          <w:rFonts w:asciiTheme="minorEastAsia" w:hAnsiTheme="minorEastAsia" w:eastAsiaTheme="minorEastAsia" w:cstheme="minorEastAsia"/>
          <w:szCs w:val="21"/>
        </w:rPr>
      </w:pPr>
      <w:bookmarkStart w:id="81" w:name="_Toc515904806"/>
      <w:r>
        <w:rPr>
          <w:rFonts w:hint="eastAsia" w:asciiTheme="minorEastAsia" w:hAnsiTheme="minorEastAsia" w:eastAsiaTheme="minorEastAsia" w:cstheme="minorEastAsia"/>
          <w:szCs w:val="21"/>
        </w:rPr>
        <w:t>2.1为了保证对采购文件的澄清和修改满足法律的时限要求，任何要求对采购文件进行澄清的供应商，均应在提交响应文件截止时间5日前按采购公告中的通讯地址，以书面形式通知采购代理机构（提出询问）。提交响应文件截止之日前，采购人、采购代理机构或者磋商小组可以对已发出的采购文件进行必要的澄清或者修改，澄清或者修改的内容作为采购文件的组成部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2.2澄清或者修改的内容可能影响响应文件编制的，携手阳光公司将以书面形式通知所有购买采购文件的潜在供应商，并对其具有约束力。</w:t>
      </w:r>
      <w:r>
        <w:rPr>
          <w:rFonts w:hint="eastAsia" w:asciiTheme="minorEastAsia" w:hAnsiTheme="minorEastAsia" w:eastAsiaTheme="minorEastAsia" w:cstheme="minorEastAsia"/>
          <w:b/>
          <w:bCs/>
          <w:szCs w:val="21"/>
        </w:rPr>
        <w:t>供应商在收到上述通知后，应及时向采购代理机构回函确认，否视为该供应商已接受</w:t>
      </w:r>
      <w:r>
        <w:rPr>
          <w:rFonts w:hint="eastAsia" w:asciiTheme="minorEastAsia" w:hAnsiTheme="minorEastAsia" w:eastAsiaTheme="minorEastAsia" w:cstheme="minorEastAsia"/>
          <w:szCs w:val="21"/>
        </w:rPr>
        <w:t xml:space="preserve">。 </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bookmarkStart w:id="82" w:name="_Toc14569"/>
      <w:bookmarkStart w:id="83" w:name="_Toc25635"/>
      <w:bookmarkStart w:id="84" w:name="_Toc12448"/>
      <w:r>
        <w:rPr>
          <w:rFonts w:hint="eastAsia" w:asciiTheme="minorEastAsia" w:hAnsiTheme="minorEastAsia" w:eastAsiaTheme="minorEastAsia" w:cstheme="minorEastAsia"/>
          <w:szCs w:val="21"/>
        </w:rPr>
        <w:t>对没有加盖公章或非实名方式的询问、要求澄清等任何非实名的来函（信息），采购人、携手 阳光公司均有权</w:t>
      </w:r>
      <w:r>
        <w:rPr>
          <w:rFonts w:hint="eastAsia" w:asciiTheme="minorEastAsia" w:hAnsiTheme="minorEastAsia" w:eastAsiaTheme="minorEastAsia" w:cstheme="minorEastAsia"/>
          <w:b/>
          <w:szCs w:val="21"/>
        </w:rPr>
        <w:t>视为与本次采购活动无关而不予接收或受理</w:t>
      </w:r>
      <w:r>
        <w:rPr>
          <w:rFonts w:hint="eastAsia" w:asciiTheme="minorEastAsia" w:hAnsiTheme="minorEastAsia" w:eastAsiaTheme="minorEastAsia" w:cstheme="minorEastAsia"/>
          <w:szCs w:val="21"/>
        </w:rPr>
        <w:t>。采购人、携手阳光公司</w:t>
      </w:r>
      <w:r>
        <w:rPr>
          <w:rFonts w:hint="eastAsia" w:asciiTheme="minorEastAsia" w:hAnsiTheme="minorEastAsia" w:eastAsiaTheme="minorEastAsia" w:cstheme="minorEastAsia"/>
          <w:b/>
          <w:szCs w:val="21"/>
        </w:rPr>
        <w:t>仅对加盖公章的书面形式回复负责</w:t>
      </w:r>
      <w:r>
        <w:rPr>
          <w:rFonts w:hint="eastAsia" w:asciiTheme="minorEastAsia" w:hAnsiTheme="minorEastAsia" w:eastAsiaTheme="minorEastAsia" w:cstheme="minorEastAsia"/>
          <w:szCs w:val="21"/>
        </w:rPr>
        <w:t>，采购人或携手阳光公司不承担电话问答、口头问答等非书面形式回复的有效性。</w:t>
      </w:r>
    </w:p>
    <w:bookmarkEnd w:id="81"/>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3.</w:t>
      </w:r>
      <w:r>
        <w:rPr>
          <w:rFonts w:hint="eastAsia" w:asciiTheme="minorEastAsia" w:hAnsiTheme="minorEastAsia" w:eastAsiaTheme="minorEastAsia" w:cstheme="minorEastAsia"/>
          <w:b/>
          <w:szCs w:val="21"/>
        </w:rPr>
        <w:t xml:space="preserve"> 提交响应文件截止时间</w:t>
      </w:r>
      <w:r>
        <w:rPr>
          <w:rFonts w:hint="eastAsia" w:asciiTheme="minorEastAsia" w:hAnsiTheme="minorEastAsia" w:eastAsiaTheme="minorEastAsia" w:cstheme="minorEastAsia"/>
          <w:b/>
          <w:bCs/>
          <w:szCs w:val="21"/>
        </w:rPr>
        <w:t>的顺延</w:t>
      </w:r>
      <w:bookmarkEnd w:id="82"/>
      <w:bookmarkEnd w:id="83"/>
      <w:bookmarkEnd w:id="84"/>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为使供应商准备投标时有足够的时间对采购文件的澄清或者修改部分进行研究，采购人将依法决定是否顺延提交响应文件截止时间。</w:t>
      </w:r>
    </w:p>
    <w:p>
      <w:pPr>
        <w:spacing w:line="262" w:lineRule="auto"/>
        <w:jc w:val="center"/>
        <w:outlineLvl w:val="1"/>
        <w:rPr>
          <w:rFonts w:asciiTheme="minorEastAsia" w:hAnsiTheme="minorEastAsia" w:eastAsiaTheme="minorEastAsia" w:cstheme="minorEastAsia"/>
          <w:b/>
          <w:szCs w:val="21"/>
        </w:rPr>
      </w:pPr>
      <w:bookmarkStart w:id="85" w:name="_Toc107916290"/>
      <w:bookmarkStart w:id="86" w:name="_Toc118275516"/>
      <w:bookmarkStart w:id="87" w:name="_Toc118275556"/>
      <w:bookmarkStart w:id="88" w:name="_Toc118235411"/>
      <w:bookmarkStart w:id="89" w:name="_Toc118275636"/>
      <w:r>
        <w:rPr>
          <w:rFonts w:hint="eastAsia" w:asciiTheme="minorEastAsia" w:hAnsiTheme="minorEastAsia" w:eastAsiaTheme="minorEastAsia" w:cstheme="minorEastAsia"/>
          <w:b/>
          <w:szCs w:val="21"/>
        </w:rPr>
        <w:t>三、</w:t>
      </w:r>
      <w:bookmarkEnd w:id="68"/>
      <w:bookmarkEnd w:id="69"/>
      <w:bookmarkEnd w:id="70"/>
      <w:bookmarkEnd w:id="71"/>
      <w:r>
        <w:rPr>
          <w:rFonts w:hint="eastAsia" w:asciiTheme="minorEastAsia" w:hAnsiTheme="minorEastAsia" w:eastAsiaTheme="minorEastAsia" w:cstheme="minorEastAsia"/>
          <w:b/>
          <w:szCs w:val="21"/>
        </w:rPr>
        <w:t>响应文件编制要求及保证金</w:t>
      </w:r>
      <w:bookmarkEnd w:id="85"/>
      <w:bookmarkEnd w:id="86"/>
      <w:bookmarkEnd w:id="87"/>
      <w:bookmarkEnd w:id="88"/>
      <w:bookmarkEnd w:id="89"/>
    </w:p>
    <w:p>
      <w:pPr>
        <w:pStyle w:val="9"/>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1.投标范围及响应文件中标准和计量单位的使用</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1.1如“采购需求”中没有限定，供应商可对采购文件其中某一个或几个采购包进行投标。</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1.2本项目按采购包确定成交供应商。供应商应当对所投采购包中“采购需求”所列的所有内容进行投标，如仅响应某一包中的部分内容，其该包投标将被认定为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1.3无论采购文件是否要求，供应商所投产品均应符合国家强制性标准。除采购文件中有特殊要求外，响应文件中所使用的计量单位，应采用中华人民共和国法定计量单位。</w:t>
      </w:r>
      <w:bookmarkStart w:id="90" w:name="_Toc516367022"/>
      <w:bookmarkStart w:id="91" w:name="_Ref467306195"/>
      <w:bookmarkStart w:id="92" w:name="_Ref467306676"/>
      <w:bookmarkStart w:id="93" w:name="_Toc515647768"/>
      <w:bookmarkStart w:id="94" w:name="_Toc28307"/>
      <w:bookmarkStart w:id="95" w:name="_Toc18692"/>
      <w:bookmarkStart w:id="96" w:name="_Toc520356152"/>
      <w:bookmarkStart w:id="97" w:name="_Toc10364"/>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2.投标</w:t>
      </w:r>
      <w:bookmarkEnd w:id="90"/>
      <w:bookmarkEnd w:id="91"/>
      <w:bookmarkEnd w:id="92"/>
      <w:r>
        <w:rPr>
          <w:rFonts w:hint="eastAsia" w:asciiTheme="minorEastAsia" w:hAnsiTheme="minorEastAsia" w:eastAsiaTheme="minorEastAsia" w:cstheme="minorEastAsia"/>
          <w:b/>
          <w:szCs w:val="21"/>
        </w:rPr>
        <w:t>（响应）文件构成</w:t>
      </w:r>
      <w:bookmarkEnd w:id="93"/>
      <w:bookmarkEnd w:id="94"/>
      <w:bookmarkEnd w:id="95"/>
      <w:bookmarkEnd w:id="96"/>
      <w:bookmarkEnd w:id="97"/>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2.1供应商应完整地按采购文件提供的响应文件格式及要求编写响应文件，响应文件应装订成册，分别密封递交。供应商应承担封装失误产生的任何后果。</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2.2上述文件应按照采购文件规定的格式填写、签署和盖章</w:t>
      </w:r>
      <w:bookmarkStart w:id="98" w:name="_Toc515647769"/>
      <w:bookmarkStart w:id="99" w:name="_Toc516367023"/>
      <w:bookmarkStart w:id="100" w:name="_Toc520356153"/>
      <w:bookmarkStart w:id="101" w:name="_Toc10379"/>
      <w:bookmarkStart w:id="102" w:name="_Toc4601"/>
      <w:bookmarkStart w:id="103" w:name="_Toc13143"/>
      <w:r>
        <w:rPr>
          <w:rFonts w:hint="eastAsia" w:asciiTheme="minorEastAsia" w:hAnsiTheme="minorEastAsia" w:eastAsiaTheme="minorEastAsia" w:cstheme="minorEastAsia"/>
          <w:szCs w:val="21"/>
        </w:rPr>
        <w:t>（法定印章。不包括发票等业务专用章）。</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2.3供应商应当遵循格式规范、便于查找的原则编辑响应文件目录（如：《评分索引表》等）。如响应文件出现目录（含页码）编辑错误、漏页或缺页等情况，后果由供应商承担（含承担</w:t>
      </w:r>
      <w:r>
        <w:rPr>
          <w:rFonts w:hint="eastAsia" w:asciiTheme="minorEastAsia" w:hAnsiTheme="minorEastAsia" w:eastAsiaTheme="minorEastAsia" w:cstheme="minorEastAsia"/>
          <w:b/>
          <w:szCs w:val="21"/>
          <w:shd w:val="clear" w:color="auto" w:fill="FFFFFF"/>
        </w:rPr>
        <w:t>过错赔偿等）</w:t>
      </w:r>
      <w:r>
        <w:rPr>
          <w:rFonts w:hint="eastAsia" w:asciiTheme="minorEastAsia" w:hAnsiTheme="minorEastAsia" w:eastAsiaTheme="minorEastAsia" w:cstheme="minorEastAsia"/>
          <w:b/>
          <w:szCs w:val="21"/>
        </w:rPr>
        <w:t>。</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3.证明投标标的的合格性和符合采购文件规定的技术文件（响应文件）</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3.1供应商应提交证明文件，证明其投标内容（产品）符合采购文件规定。该证明文件是投标（响应）文件的一部分。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3.2上款所述的证明文件，可以是文字资料、图纸和数据，它包括：</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3.2.1产品主要技术指标和性能的详细说明；</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3.2.2产品从买方开始使用至采购文件规定的保质期内正常、连续地使用所必须的各项费用价格。</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3.2.3对照采购文件技术规格，逐条说明所提供产品[含其相关伴随产品（货物、服务、工程）等]已对采购文件的技术规格做出了实质性的响应，或申明与技术规格条文的偏差和例外。</w:t>
      </w:r>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供应商证明材料非简体中文的，供应商须同时提供简体中文翻译说明并加盖公章，否评审人员有权仅按简体中文部分评审。</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3.3</w:t>
      </w:r>
      <w:r>
        <w:rPr>
          <w:rFonts w:hint="eastAsia" w:asciiTheme="minorEastAsia" w:hAnsiTheme="minorEastAsia" w:eastAsiaTheme="minorEastAsia" w:cstheme="minorEastAsia"/>
          <w:b/>
          <w:szCs w:val="21"/>
        </w:rPr>
        <w:t>供应商提交的证明应当证明提供的产品质量和服务均能满足采购文件规定的实质性要求。供应商应当以详细具体的内容证明响应文件响应采购文件。供应商以“完全响应”等简单文字、过度复制采购文件内容等方式（无具体或无实质性内容）进行响应的，其内容按无效处理（不予认可）。</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4.价格构成（报价要求）</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4.1所有投标（报价）均以人民币报价。</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供应商的报价应遵守《中华人民共和国价格法》。同时，根据《中华人民共和国政府采购法》第二条的规定，为保证公平竞争，如有主体投标标的的赠与行为，其投标将被认定为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人也不接受明显不合理或者低于成本的报价（有可能影响商品质量和不能诚信履约的报价。例：主体投标标的低于进价或工资标准低于国家标准等），其投标将被认定为投标无效（视为明显不合理或者低于成本的报价）。</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4.2供应商应按照采购文件规定格式填写报价一览表(报价表)、分项报价表以及相关内容。</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如果报价一览表（报价表）内容与分项报价表内容不一致的，以报价一览表（报价表）内容为准。供应商报价大写金额和小写金额不一致的，以大写金额为准。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在分项报价表上标明投标产品及相关伴随产品（货物、服务、工程）的单价（如适用）和总价。供应商所报的各分项投标单价在合同履行过程中是固定不变的，不得以任何理由予以变更。任何包含价格调整要求的投标，其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每种产品只能有一个投标报价，任何有选择的报价将不予接受 (如有备选配件，备选配件的报价不属于有选择的报价)。采购人不接受具有附加条件的报价。</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供应商分项报价表内容应当全面完整，充分体现其报价的组成。</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的，应当考虑：投标货物（包括备品备件、专用工具等）的出厂价（包括已在中国国内的进口货物完税后的仓库交货价、展室交货价或货架交货价），投标货物安装、调试、检验、技术服务和培训费用、货物运至最终目的地的运输费和保险费用以及相关税费等。服务的，应当考虑：知识产权（如有）、人员工资、加班费、设备使用或损耗、技术服务和培训费用、以及相关税费等。工程的，应当按照采购人提供的工程量清单、图纸（如有）等相关资料，并结合勘察情况、国家及地方标准（如：《建设工程工程量清单计价规范》、以及地方住建部门相关规定等）以及相关税费等。</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次采购采用总承包方式，因此供应商的报价应包括全部产品（含其相关伴随产品等）的价格、相关税费以及履行合同产生的所有费用等。采购文件未列明，而供应商认为必需的费用也需列入报价（在合同履行过程中，采购人不再增加任何费用）。</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5.保证金（磋商保证金）及供应商过错赔偿（不予退还保证金的情形）</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5.1保证金交纳数额和形式</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保证金交纳数额和形式见</w:t>
      </w:r>
      <w:r>
        <w:rPr>
          <w:rFonts w:hint="eastAsia" w:asciiTheme="minorEastAsia" w:hAnsiTheme="minorEastAsia" w:eastAsiaTheme="minorEastAsia" w:cstheme="minorEastAsia"/>
          <w:b/>
          <w:szCs w:val="21"/>
          <w:u w:val="single"/>
        </w:rPr>
        <w:t>采购公告</w:t>
      </w:r>
      <w:r>
        <w:rPr>
          <w:rFonts w:hint="eastAsia" w:asciiTheme="minorEastAsia" w:hAnsiTheme="minorEastAsia" w:eastAsiaTheme="minorEastAsia" w:cstheme="minorEastAsia"/>
          <w:b/>
          <w:szCs w:val="21"/>
        </w:rPr>
        <w:t>。供应商应当按照采购公告的要求提交（交纳。下同）保证金。供应商未按照采购公告要求提交保证金的，投标（响应）无效。</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5.2成交公告发布后，供应商应及时到携手阳光公司办理退还手续（如：提供账户信息、收据等），否视为因供应商自身原因导致无法及时退还。 </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5.3供应商有下列情形之一的，视为</w:t>
      </w:r>
      <w:r>
        <w:rPr>
          <w:rFonts w:hint="eastAsia" w:asciiTheme="minorEastAsia" w:hAnsiTheme="minorEastAsia" w:eastAsiaTheme="minorEastAsia" w:cstheme="minorEastAsia"/>
          <w:b/>
          <w:szCs w:val="21"/>
          <w:shd w:val="clear" w:color="auto" w:fill="FFFFFF"/>
        </w:rPr>
        <w:t>因</w:t>
      </w:r>
      <w:r>
        <w:rPr>
          <w:rFonts w:hint="eastAsia" w:asciiTheme="minorEastAsia" w:hAnsiTheme="minorEastAsia" w:eastAsiaTheme="minorEastAsia" w:cstheme="minorEastAsia"/>
          <w:b/>
          <w:szCs w:val="21"/>
        </w:rPr>
        <w:t>供应商</w:t>
      </w:r>
      <w:r>
        <w:rPr>
          <w:rFonts w:hint="eastAsia" w:asciiTheme="minorEastAsia" w:hAnsiTheme="minorEastAsia" w:eastAsiaTheme="minorEastAsia" w:cstheme="minorEastAsia"/>
          <w:b/>
          <w:szCs w:val="21"/>
          <w:shd w:val="clear" w:color="auto" w:fill="FFFFFF"/>
        </w:rPr>
        <w:t>过错且造成</w:t>
      </w:r>
      <w:r>
        <w:rPr>
          <w:rFonts w:hint="eastAsia" w:asciiTheme="minorEastAsia" w:hAnsiTheme="minorEastAsia" w:eastAsiaTheme="minorEastAsia" w:cstheme="minorEastAsia"/>
          <w:b/>
          <w:szCs w:val="21"/>
        </w:rPr>
        <w:t>携手阳光公司</w:t>
      </w:r>
      <w:r>
        <w:rPr>
          <w:rFonts w:hint="eastAsia" w:asciiTheme="minorEastAsia" w:hAnsiTheme="minorEastAsia" w:eastAsiaTheme="minorEastAsia" w:cstheme="minorEastAsia"/>
          <w:b/>
          <w:szCs w:val="21"/>
          <w:shd w:val="clear" w:color="auto" w:fill="FFFFFF"/>
        </w:rPr>
        <w:t>相关权益的损害，</w:t>
      </w:r>
      <w:r>
        <w:rPr>
          <w:rFonts w:hint="eastAsia" w:asciiTheme="minorEastAsia" w:hAnsiTheme="minorEastAsia" w:eastAsiaTheme="minorEastAsia" w:cstheme="minorEastAsia"/>
          <w:b/>
          <w:szCs w:val="21"/>
        </w:rPr>
        <w:t>供应商</w:t>
      </w:r>
      <w:r>
        <w:rPr>
          <w:rFonts w:hint="eastAsia" w:asciiTheme="minorEastAsia" w:hAnsiTheme="minorEastAsia" w:eastAsiaTheme="minorEastAsia" w:cstheme="minorEastAsia"/>
          <w:b/>
          <w:szCs w:val="21"/>
          <w:shd w:val="clear" w:color="auto" w:fill="FFFFFF"/>
        </w:rPr>
        <w:t>应当承担侵权责任，</w:t>
      </w:r>
      <w:r>
        <w:rPr>
          <w:rFonts w:hint="eastAsia" w:asciiTheme="minorEastAsia" w:hAnsiTheme="minorEastAsia" w:eastAsiaTheme="minorEastAsia" w:cstheme="minorEastAsia"/>
          <w:b/>
          <w:szCs w:val="21"/>
        </w:rPr>
        <w:t>携手阳光公司有权要求供应商进行损害赔偿（赔偿给携手阳光公司。赔偿标准：预算金额的2%）或保证金不予退还（全额）。</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（1）供应商报名后未参加投标（响应）（提前告知的除外）或在在投标有效期内，撤销投标的；</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（2）因供应商原因（如响应文件目录编写错误等）导致本项目重新评审或重新采购的；</w:t>
      </w:r>
      <w:r>
        <w:rPr>
          <w:rFonts w:hint="eastAsia" w:asciiTheme="minorEastAsia" w:hAnsiTheme="minorEastAsia" w:eastAsiaTheme="minorEastAsia" w:cstheme="minorEastAsia"/>
          <w:b/>
          <w:szCs w:val="21"/>
        </w:rPr>
        <w:t xml:space="preserve"> </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（3）供应商所提供的有关资料（含质疑材料）不真实或</w:t>
      </w:r>
      <w:r>
        <w:rPr>
          <w:rFonts w:hint="eastAsia" w:asciiTheme="minorEastAsia" w:hAnsiTheme="minorEastAsia" w:eastAsiaTheme="minorEastAsia" w:cstheme="minorEastAsia"/>
          <w:kern w:val="0"/>
          <w:szCs w:val="21"/>
        </w:rPr>
        <w:t>以非法手段取得的；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（4）除因不可抗力或采购文件认可的情形以外，成交供应商不与采购人签订合同的；</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（5）不按本须知的规定缴纳代理服务费的；</w:t>
      </w:r>
    </w:p>
    <w:p>
      <w:pPr>
        <w:spacing w:line="262"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（6）法律、法规及本采购文件规定的其他情况。</w:t>
      </w:r>
    </w:p>
    <w:p>
      <w:pPr>
        <w:spacing w:line="262" w:lineRule="auto"/>
        <w:rPr>
          <w:rFonts w:asciiTheme="minorEastAsia" w:hAnsiTheme="minorEastAsia" w:eastAsiaTheme="minorEastAsia" w:cstheme="minorEastAsia"/>
          <w:b/>
          <w:szCs w:val="21"/>
        </w:rPr>
      </w:pPr>
      <w:bookmarkStart w:id="104" w:name="_Toc520356157"/>
      <w:bookmarkStart w:id="105" w:name="_Toc32569"/>
      <w:bookmarkStart w:id="106" w:name="_Toc23590"/>
      <w:bookmarkStart w:id="107" w:name="_Toc22901"/>
      <w:bookmarkStart w:id="108" w:name="_Toc515647772"/>
      <w:r>
        <w:rPr>
          <w:rFonts w:hint="eastAsia" w:asciiTheme="minorEastAsia" w:hAnsiTheme="minorEastAsia" w:eastAsiaTheme="minorEastAsia" w:cstheme="minorEastAsia"/>
          <w:b/>
          <w:szCs w:val="21"/>
        </w:rPr>
        <w:t>6.投标有效期</w:t>
      </w:r>
      <w:bookmarkEnd w:id="104"/>
      <w:bookmarkEnd w:id="105"/>
      <w:bookmarkEnd w:id="106"/>
      <w:bookmarkEnd w:id="107"/>
      <w:bookmarkEnd w:id="108"/>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6.1投标应在</w:t>
      </w:r>
      <w:r>
        <w:rPr>
          <w:rFonts w:hint="eastAsia" w:asciiTheme="minorEastAsia" w:hAnsiTheme="minorEastAsia" w:eastAsiaTheme="minorEastAsia" w:cstheme="minorEastAsia"/>
          <w:szCs w:val="21"/>
          <w:u w:val="single"/>
        </w:rPr>
        <w:t>供应商须知资料表</w:t>
      </w:r>
      <w:r>
        <w:rPr>
          <w:rFonts w:hint="eastAsia" w:asciiTheme="minorEastAsia" w:hAnsiTheme="minorEastAsia" w:eastAsiaTheme="minorEastAsia" w:cstheme="minorEastAsia"/>
          <w:szCs w:val="21"/>
        </w:rPr>
        <w:t>中规定时间内保持有效。投标有效期不满足要求的投标，其投标将被认定为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6.2为保证有充分时间签订合同，采购人或采购代理机构可根据实际情况，在原投标有效期截止之前，要求供应商延长响应文件的有效期，接受该要求的供应商将不会被要求和允许修正其投标。</w:t>
      </w:r>
      <w:bookmarkStart w:id="109" w:name="_Toc17074"/>
      <w:bookmarkStart w:id="110" w:name="_Toc515647773"/>
      <w:bookmarkStart w:id="111" w:name="_Toc520356158"/>
      <w:bookmarkStart w:id="112" w:name="_Toc17609"/>
      <w:bookmarkStart w:id="113" w:name="_Toc493"/>
    </w:p>
    <w:bookmarkEnd w:id="109"/>
    <w:bookmarkEnd w:id="110"/>
    <w:bookmarkEnd w:id="111"/>
    <w:bookmarkEnd w:id="112"/>
    <w:bookmarkEnd w:id="113"/>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7.响应文件的签署及规定</w:t>
      </w:r>
    </w:p>
    <w:p>
      <w:pPr>
        <w:pStyle w:val="17"/>
        <w:spacing w:line="262" w:lineRule="auto"/>
        <w:ind w:firstLine="42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7.1供应商应按</w:t>
      </w:r>
      <w:r>
        <w:rPr>
          <w:rFonts w:hint="eastAsia" w:asciiTheme="minorEastAsia" w:hAnsiTheme="minorEastAsia" w:eastAsiaTheme="minorEastAsia" w:cstheme="minorEastAsia"/>
          <w:sz w:val="21"/>
          <w:szCs w:val="21"/>
          <w:u w:val="single"/>
        </w:rPr>
        <w:t>供应商须知资料表</w:t>
      </w:r>
      <w:r>
        <w:rPr>
          <w:rFonts w:hint="eastAsia" w:asciiTheme="minorEastAsia" w:hAnsiTheme="minorEastAsia" w:eastAsiaTheme="minorEastAsia" w:cstheme="minorEastAsia"/>
          <w:sz w:val="21"/>
          <w:szCs w:val="21"/>
        </w:rPr>
        <w:t>中的规定，准备和递交响应文件正本、副本和电子文档，每份响应文件封皮须清楚地标明“正本”或“副本”。若正本和副本不符，以正本为准。如响应文件未标明或未清楚标准明正本或副本的，所引起的后果由供应商负责（含承担</w:t>
      </w:r>
      <w:r>
        <w:rPr>
          <w:rFonts w:hint="eastAsia" w:asciiTheme="minorEastAsia" w:hAnsiTheme="minorEastAsia" w:eastAsiaTheme="minorEastAsia" w:cstheme="minorEastAsia"/>
          <w:sz w:val="21"/>
          <w:szCs w:val="21"/>
          <w:shd w:val="clear" w:color="auto" w:fill="FFFFFF"/>
        </w:rPr>
        <w:t>过错赔偿）</w:t>
      </w:r>
      <w:r>
        <w:rPr>
          <w:rFonts w:hint="eastAsia" w:asciiTheme="minorEastAsia" w:hAnsiTheme="minorEastAsia" w:eastAsiaTheme="minorEastAsia" w:cstheme="minorEastAsia"/>
          <w:sz w:val="21"/>
          <w:szCs w:val="21"/>
        </w:rPr>
        <w:t>。</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7.2响应文件的正本需打印或用不褪色墨水书写，并由供应商的法定代表人或经其正式委托代理人按采购文件规定在响应文件上签字并加盖单位印章。如对响应文件进行了修改，则应由供应商的法定代表人或其委托代理人在每一修改处签字。响应文件的副本可采用正本的复印件。</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7.3所有响应文件请采用不可拆装的胶订或订书机方式装订。响应文件因字迹潦草、表达不清或装订不当等原因所引起的后果由供应商负责。</w:t>
      </w:r>
    </w:p>
    <w:p>
      <w:pPr>
        <w:spacing w:line="262" w:lineRule="auto"/>
        <w:ind w:firstLine="422" w:firstLineChars="200"/>
        <w:jc w:val="center"/>
        <w:outlineLvl w:val="1"/>
        <w:rPr>
          <w:rFonts w:asciiTheme="minorEastAsia" w:hAnsiTheme="minorEastAsia" w:eastAsiaTheme="minorEastAsia" w:cstheme="minorEastAsia"/>
          <w:b/>
          <w:bCs/>
          <w:szCs w:val="21"/>
        </w:rPr>
      </w:pPr>
      <w:bookmarkStart w:id="114" w:name="_Toc107916291"/>
      <w:bookmarkStart w:id="115" w:name="_Toc118235412"/>
      <w:bookmarkStart w:id="116" w:name="_Toc118275517"/>
      <w:bookmarkStart w:id="117" w:name="_Toc118275637"/>
      <w:bookmarkStart w:id="118" w:name="_Toc118275557"/>
      <w:r>
        <w:rPr>
          <w:rFonts w:hint="eastAsia" w:asciiTheme="minorEastAsia" w:hAnsiTheme="minorEastAsia" w:eastAsiaTheme="minorEastAsia" w:cstheme="minorEastAsia"/>
          <w:b/>
          <w:bCs/>
          <w:szCs w:val="21"/>
        </w:rPr>
        <w:t>四、响应文件的递交</w:t>
      </w:r>
      <w:r>
        <w:rPr>
          <w:rFonts w:hint="eastAsia" w:asciiTheme="minorEastAsia" w:hAnsiTheme="minorEastAsia" w:eastAsiaTheme="minorEastAsia" w:cstheme="minorEastAsia"/>
          <w:b/>
          <w:szCs w:val="21"/>
        </w:rPr>
        <w:t>及</w:t>
      </w:r>
      <w:r>
        <w:rPr>
          <w:rFonts w:hint="eastAsia" w:asciiTheme="minorEastAsia" w:hAnsiTheme="minorEastAsia" w:eastAsiaTheme="minorEastAsia" w:cstheme="minorEastAsia"/>
          <w:b/>
          <w:bCs/>
          <w:szCs w:val="21"/>
        </w:rPr>
        <w:t>接收</w:t>
      </w:r>
      <w:bookmarkEnd w:id="114"/>
      <w:bookmarkEnd w:id="115"/>
      <w:bookmarkEnd w:id="116"/>
      <w:bookmarkEnd w:id="117"/>
      <w:bookmarkEnd w:id="118"/>
    </w:p>
    <w:p>
      <w:pPr>
        <w:pStyle w:val="9"/>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1.响应文件的密封及递交（</w:t>
      </w:r>
      <w:r>
        <w:rPr>
          <w:rFonts w:hint="eastAsia" w:asciiTheme="minorEastAsia" w:hAnsiTheme="minorEastAsia" w:eastAsiaTheme="minorEastAsia" w:cstheme="minorEastAsia"/>
          <w:b/>
          <w:bCs/>
          <w:szCs w:val="21"/>
        </w:rPr>
        <w:t>接收</w:t>
      </w:r>
      <w:r>
        <w:rPr>
          <w:rFonts w:hint="eastAsia" w:asciiTheme="minorEastAsia" w:hAnsiTheme="minorEastAsia" w:eastAsiaTheme="minorEastAsia" w:cstheme="minorEastAsia"/>
          <w:b/>
          <w:szCs w:val="21"/>
        </w:rPr>
        <w:t>）</w:t>
      </w:r>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1.1提交响应文件截止时间及地点：</w:t>
      </w:r>
      <w:r>
        <w:rPr>
          <w:rFonts w:hint="eastAsia" w:asciiTheme="minorEastAsia" w:hAnsiTheme="minorEastAsia" w:eastAsiaTheme="minorEastAsia" w:cstheme="minorEastAsia"/>
          <w:szCs w:val="21"/>
        </w:rPr>
        <w:t>提交响应文件截止时间及地点见</w:t>
      </w:r>
      <w:r>
        <w:rPr>
          <w:rFonts w:hint="eastAsia" w:asciiTheme="minorEastAsia" w:hAnsiTheme="minorEastAsia" w:eastAsiaTheme="minorEastAsia" w:cstheme="minorEastAsia"/>
          <w:szCs w:val="21"/>
          <w:u w:val="single"/>
        </w:rPr>
        <w:t>采购公告</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供应商应当在采购文件（</w:t>
      </w:r>
      <w:r>
        <w:rPr>
          <w:rFonts w:hint="eastAsia" w:asciiTheme="minorEastAsia" w:hAnsiTheme="minorEastAsia" w:eastAsiaTheme="minorEastAsia" w:cstheme="minorEastAsia"/>
          <w:szCs w:val="21"/>
          <w:u w:val="single"/>
        </w:rPr>
        <w:t>采购公告）</w:t>
      </w:r>
      <w:r>
        <w:rPr>
          <w:rFonts w:hint="eastAsia" w:asciiTheme="minorEastAsia" w:hAnsiTheme="minorEastAsia" w:eastAsiaTheme="minorEastAsia" w:cstheme="minorEastAsia"/>
          <w:szCs w:val="21"/>
        </w:rPr>
        <w:t>要求的截止时间前，将响应文件密封（</w:t>
      </w:r>
      <w:r>
        <w:rPr>
          <w:rFonts w:hint="eastAsia" w:asciiTheme="minorEastAsia" w:hAnsiTheme="minorEastAsia" w:eastAsiaTheme="minorEastAsia" w:cstheme="minorEastAsia"/>
          <w:b/>
          <w:szCs w:val="21"/>
        </w:rPr>
        <w:t>无法直接换取即可。但建议密封严实</w:t>
      </w:r>
      <w:r>
        <w:rPr>
          <w:rFonts w:hint="eastAsia" w:asciiTheme="minorEastAsia" w:hAnsiTheme="minorEastAsia" w:eastAsiaTheme="minorEastAsia" w:cstheme="minorEastAsia"/>
          <w:szCs w:val="21"/>
        </w:rPr>
        <w:t>）送达指定地点。在截止时间后送达的响应文件为无效文件，携手阳 光公司等予以拒收。请供应商在密封包装上注明供应商名称、项目名称（编号）等信息，以便携手阳光公司接受。</w:t>
      </w:r>
    </w:p>
    <w:p>
      <w:pPr>
        <w:pStyle w:val="17"/>
        <w:spacing w:line="262" w:lineRule="auto"/>
        <w:ind w:firstLine="420" w:firstLineChars="200"/>
        <w:jc w:val="left"/>
        <w:rPr>
          <w:rFonts w:asciiTheme="minorEastAsia" w:hAnsiTheme="minorEastAsia" w:eastAsiaTheme="minorEastAsia" w:cstheme="minorEastAsia"/>
          <w:sz w:val="21"/>
          <w:szCs w:val="21"/>
        </w:rPr>
      </w:pPr>
      <w:bookmarkStart w:id="119" w:name="_Toc8324"/>
      <w:bookmarkStart w:id="120" w:name="_Toc2421"/>
      <w:bookmarkStart w:id="121" w:name="_Toc518926877"/>
      <w:r>
        <w:rPr>
          <w:rFonts w:hint="eastAsia" w:asciiTheme="minorEastAsia" w:hAnsiTheme="minorEastAsia" w:eastAsiaTheme="minorEastAsia" w:cstheme="minorEastAsia"/>
          <w:sz w:val="21"/>
          <w:szCs w:val="21"/>
        </w:rPr>
        <w:t>1.2采购人和采购代理机构有权按本须知的规定，延迟投标截止时间。在此情况下，采购人、携手阳光公司和供应商受投标截止时间制约的所有权利和义务均应延长至新的截止时间。</w:t>
      </w:r>
    </w:p>
    <w:p>
      <w:pPr>
        <w:pStyle w:val="17"/>
        <w:spacing w:line="262" w:lineRule="auto"/>
        <w:ind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1.3采购方对供应商误投或过早启封概不负责。</w:t>
      </w:r>
      <w:r>
        <w:rPr>
          <w:rFonts w:hint="eastAsia" w:asciiTheme="minorEastAsia" w:hAnsiTheme="minorEastAsia" w:eastAsiaTheme="minorEastAsia" w:cstheme="minorEastAsia"/>
          <w:bCs/>
          <w:sz w:val="21"/>
          <w:szCs w:val="21"/>
        </w:rPr>
        <w:t>不论供应商是否成交，</w:t>
      </w:r>
      <w:r>
        <w:rPr>
          <w:rFonts w:hint="eastAsia" w:asciiTheme="minorEastAsia" w:hAnsiTheme="minorEastAsia" w:eastAsiaTheme="minorEastAsia" w:cstheme="minorEastAsia"/>
          <w:sz w:val="21"/>
          <w:szCs w:val="21"/>
        </w:rPr>
        <w:t>响应文件</w:t>
      </w:r>
      <w:r>
        <w:rPr>
          <w:rFonts w:hint="eastAsia" w:asciiTheme="minorEastAsia" w:hAnsiTheme="minorEastAsia" w:eastAsiaTheme="minorEastAsia" w:cstheme="minorEastAsia"/>
          <w:bCs/>
          <w:sz w:val="21"/>
          <w:szCs w:val="21"/>
        </w:rPr>
        <w:t>均不退回。</w:t>
      </w:r>
    </w:p>
    <w:p>
      <w:pPr>
        <w:pStyle w:val="17"/>
        <w:spacing w:line="262" w:lineRule="auto"/>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2.响应文件的修改与撤回</w:t>
      </w:r>
    </w:p>
    <w:p>
      <w:pPr>
        <w:pStyle w:val="17"/>
        <w:spacing w:line="262" w:lineRule="auto"/>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    </w:t>
      </w:r>
      <w:r>
        <w:rPr>
          <w:rFonts w:hint="eastAsia" w:asciiTheme="minorEastAsia" w:hAnsiTheme="minorEastAsia" w:eastAsiaTheme="minorEastAsia" w:cstheme="minorEastAsia"/>
          <w:sz w:val="21"/>
          <w:szCs w:val="21"/>
        </w:rPr>
        <w:t>2.1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须密封并在提交响应文件截止时间前重新递交）。</w:t>
      </w:r>
    </w:p>
    <w:p>
      <w:pPr>
        <w:pStyle w:val="17"/>
        <w:spacing w:line="262" w:lineRule="auto"/>
        <w:ind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bookmarkEnd w:id="119"/>
      <w:bookmarkEnd w:id="120"/>
      <w:bookmarkEnd w:id="121"/>
      <w:r>
        <w:rPr>
          <w:rFonts w:hint="eastAsia" w:asciiTheme="minorEastAsia" w:hAnsiTheme="minorEastAsia" w:eastAsiaTheme="minorEastAsia" w:cstheme="minorEastAsia"/>
          <w:sz w:val="21"/>
          <w:szCs w:val="21"/>
        </w:rPr>
        <w:t>供应商在提交响应文件截止时间后撤回响应文件的，</w:t>
      </w:r>
      <w:r>
        <w:rPr>
          <w:rFonts w:hint="eastAsia" w:asciiTheme="minorEastAsia" w:hAnsiTheme="minorEastAsia" w:eastAsiaTheme="minorEastAsia" w:cstheme="minorEastAsia"/>
          <w:b/>
          <w:sz w:val="21"/>
          <w:szCs w:val="21"/>
        </w:rPr>
        <w:t>供应商须承担</w:t>
      </w:r>
      <w:r>
        <w:rPr>
          <w:rFonts w:hint="eastAsia" w:asciiTheme="minorEastAsia" w:hAnsiTheme="minorEastAsia" w:eastAsiaTheme="minorEastAsia" w:cstheme="minorEastAsia"/>
          <w:b/>
          <w:sz w:val="21"/>
          <w:szCs w:val="21"/>
          <w:shd w:val="clear" w:color="auto" w:fill="FFFFFF"/>
        </w:rPr>
        <w:t>过错赔偿</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b/>
          <w:bCs/>
          <w:sz w:val="21"/>
          <w:szCs w:val="21"/>
        </w:rPr>
        <w:t xml:space="preserve">   </w:t>
      </w:r>
    </w:p>
    <w:p>
      <w:pPr>
        <w:pStyle w:val="17"/>
        <w:spacing w:line="262" w:lineRule="auto"/>
        <w:ind w:firstLine="420"/>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2.3</w:t>
      </w:r>
      <w:bookmarkEnd w:id="98"/>
      <w:bookmarkEnd w:id="99"/>
      <w:bookmarkEnd w:id="100"/>
      <w:bookmarkEnd w:id="101"/>
      <w:bookmarkEnd w:id="102"/>
      <w:bookmarkEnd w:id="103"/>
      <w:bookmarkStart w:id="122" w:name="_Toc61149562"/>
      <w:bookmarkStart w:id="123" w:name="_Toc513029224"/>
      <w:bookmarkStart w:id="124" w:name="_Toc14577362"/>
      <w:r>
        <w:rPr>
          <w:rFonts w:hint="eastAsia" w:asciiTheme="minorEastAsia" w:hAnsiTheme="minorEastAsia" w:eastAsiaTheme="minorEastAsia" w:cstheme="minorEastAsia"/>
          <w:sz w:val="21"/>
          <w:szCs w:val="21"/>
        </w:rPr>
        <w:t>供应商在提交最后报价之前，可以根据磋商情况退出磋商。但如无正当理由退出且造成在采购过程中符合竞争要求的供应商或者报价未超过采购预算的供应商不足3家的，</w:t>
      </w:r>
      <w:r>
        <w:rPr>
          <w:rFonts w:hint="eastAsia" w:asciiTheme="minorEastAsia" w:hAnsiTheme="minorEastAsia" w:eastAsiaTheme="minorEastAsia" w:cstheme="minorEastAsia"/>
          <w:b/>
          <w:sz w:val="21"/>
          <w:szCs w:val="21"/>
        </w:rPr>
        <w:t>供应商须承担</w:t>
      </w:r>
      <w:r>
        <w:rPr>
          <w:rFonts w:hint="eastAsia" w:asciiTheme="minorEastAsia" w:hAnsiTheme="minorEastAsia" w:eastAsiaTheme="minorEastAsia" w:cstheme="minorEastAsia"/>
          <w:b/>
          <w:sz w:val="21"/>
          <w:szCs w:val="21"/>
          <w:shd w:val="clear" w:color="auto" w:fill="FFFFFF"/>
        </w:rPr>
        <w:t>过错赔偿</w:t>
      </w:r>
      <w:r>
        <w:rPr>
          <w:rFonts w:hint="eastAsia" w:asciiTheme="minorEastAsia" w:hAnsiTheme="minorEastAsia" w:eastAsiaTheme="minorEastAsia" w:cstheme="minorEastAsia"/>
          <w:b/>
          <w:sz w:val="21"/>
          <w:szCs w:val="21"/>
        </w:rPr>
        <w:t>。</w:t>
      </w:r>
    </w:p>
    <w:p>
      <w:pPr>
        <w:pStyle w:val="9"/>
        <w:spacing w:line="240" w:lineRule="exact"/>
        <w:rPr>
          <w:rFonts w:asciiTheme="minorEastAsia" w:hAnsiTheme="minorEastAsia" w:eastAsiaTheme="minorEastAsia" w:cstheme="minorEastAsia"/>
          <w:sz w:val="21"/>
          <w:szCs w:val="21"/>
        </w:rPr>
      </w:pPr>
    </w:p>
    <w:bookmarkEnd w:id="122"/>
    <w:bookmarkEnd w:id="123"/>
    <w:bookmarkEnd w:id="124"/>
    <w:p>
      <w:pPr>
        <w:spacing w:line="262" w:lineRule="auto"/>
        <w:jc w:val="center"/>
        <w:outlineLvl w:val="1"/>
        <w:rPr>
          <w:rFonts w:asciiTheme="minorEastAsia" w:hAnsiTheme="minorEastAsia" w:eastAsiaTheme="minorEastAsia" w:cstheme="minorEastAsia"/>
          <w:szCs w:val="21"/>
        </w:rPr>
      </w:pPr>
      <w:bookmarkStart w:id="125" w:name="_Hlt26670523"/>
      <w:bookmarkEnd w:id="125"/>
      <w:bookmarkStart w:id="126" w:name="_Hlt26954864"/>
      <w:bookmarkEnd w:id="126"/>
      <w:bookmarkStart w:id="127" w:name="_Hlt26954856"/>
      <w:bookmarkEnd w:id="127"/>
      <w:bookmarkStart w:id="128" w:name="_Toc118235413"/>
      <w:bookmarkStart w:id="129" w:name="_Toc118275558"/>
      <w:bookmarkStart w:id="130" w:name="_Toc118275518"/>
      <w:bookmarkStart w:id="131" w:name="_Toc118275638"/>
      <w:bookmarkStart w:id="132" w:name="_Toc107916292"/>
      <w:r>
        <w:rPr>
          <w:rFonts w:hint="eastAsia" w:asciiTheme="minorEastAsia" w:hAnsiTheme="minorEastAsia" w:eastAsiaTheme="minorEastAsia" w:cstheme="minorEastAsia"/>
          <w:b/>
          <w:szCs w:val="21"/>
        </w:rPr>
        <w:t>五、响应开启、评审程序与评审</w:t>
      </w:r>
      <w:bookmarkEnd w:id="128"/>
      <w:bookmarkEnd w:id="129"/>
      <w:bookmarkEnd w:id="130"/>
      <w:bookmarkEnd w:id="131"/>
      <w:bookmarkEnd w:id="132"/>
      <w:bookmarkStart w:id="133" w:name="_Toc513029230"/>
      <w:bookmarkStart w:id="134" w:name="_Toc16938546"/>
      <w:bookmarkStart w:id="135" w:name="_Toc20823302"/>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w:t>
      </w:r>
      <w:bookmarkEnd w:id="133"/>
      <w:bookmarkEnd w:id="134"/>
      <w:bookmarkEnd w:id="135"/>
      <w:r>
        <w:rPr>
          <w:rFonts w:hint="eastAsia" w:asciiTheme="minorEastAsia" w:hAnsiTheme="minorEastAsia" w:eastAsiaTheme="minorEastAsia" w:cstheme="minorEastAsia"/>
          <w:b/>
          <w:szCs w:val="21"/>
        </w:rPr>
        <w:t>.响应</w:t>
      </w:r>
      <w:bookmarkStart w:id="136" w:name="_Toc513029231"/>
      <w:bookmarkStart w:id="137" w:name="_Toc16938547"/>
      <w:bookmarkStart w:id="138" w:name="_Toc20823303"/>
      <w:r>
        <w:rPr>
          <w:rFonts w:hint="eastAsia" w:asciiTheme="minorEastAsia" w:hAnsiTheme="minorEastAsia" w:eastAsiaTheme="minorEastAsia" w:cstheme="minorEastAsia"/>
          <w:b/>
          <w:szCs w:val="21"/>
        </w:rPr>
        <w:t>开启时间及地点</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本项目响应文件开启时间及地点见</w:t>
      </w:r>
      <w:r>
        <w:rPr>
          <w:rFonts w:hint="eastAsia" w:asciiTheme="minorEastAsia" w:hAnsiTheme="minorEastAsia" w:eastAsiaTheme="minorEastAsia" w:cstheme="minorEastAsia"/>
          <w:b/>
          <w:bCs/>
          <w:szCs w:val="21"/>
          <w:u w:val="single"/>
        </w:rPr>
        <w:t>采购公告</w:t>
      </w:r>
      <w:r>
        <w:rPr>
          <w:rFonts w:hint="eastAsia" w:asciiTheme="minorEastAsia" w:hAnsiTheme="minorEastAsia" w:eastAsiaTheme="minorEastAsia" w:cstheme="minorEastAsia"/>
          <w:szCs w:val="21"/>
        </w:rPr>
        <w:t>。</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2.评审小组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2.1评审小组由采购人代表和评审专家共3人以上单数组成，其中评审专家人数不得少于评审小组成员总数的2/3。评审专家应当遵守评审工作纪律，不得泄露评审情况和评审中获悉的商业秘密。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bookmarkEnd w:id="136"/>
      <w:bookmarkEnd w:id="137"/>
      <w:bookmarkEnd w:id="138"/>
      <w:r>
        <w:rPr>
          <w:rFonts w:hint="eastAsia" w:asciiTheme="minorEastAsia" w:hAnsiTheme="minorEastAsia" w:eastAsiaTheme="minorEastAsia" w:cstheme="minorEastAsia"/>
          <w:szCs w:val="21"/>
        </w:rPr>
        <w:t>评审小组成员应当按照客观、公正、审慎的原则，根据采购文件规定的评审程序、评审方法和评审标准进行独立评审。未实质性响应采购文件的响应文件按无效响应处理。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2.3在评审过程中，供应商不得以任何行为影响评审过程，否则其响应文件将被作为无效响应文件。</w:t>
      </w:r>
      <w:bookmarkStart w:id="139" w:name="_Toc20823305"/>
      <w:bookmarkStart w:id="140" w:name="_Toc513029233"/>
      <w:bookmarkStart w:id="141" w:name="_Toc16938549"/>
    </w:p>
    <w:p>
      <w:pPr>
        <w:spacing w:line="247"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3.有效的响应文件</w:t>
      </w:r>
    </w:p>
    <w:bookmarkEnd w:id="139"/>
    <w:bookmarkEnd w:id="140"/>
    <w:bookmarkEnd w:id="141"/>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3.1评审小组在对响应文件的有效性、完整性和响应程度进行审查</w:t>
      </w:r>
      <w:r>
        <w:rPr>
          <w:rFonts w:hint="eastAsia" w:asciiTheme="minorEastAsia" w:hAnsiTheme="minorEastAsia" w:eastAsiaTheme="minorEastAsia" w:cstheme="minorEastAsia"/>
          <w:b/>
          <w:szCs w:val="21"/>
        </w:rPr>
        <w:t>。</w:t>
      </w:r>
    </w:p>
    <w:p>
      <w:pPr>
        <w:spacing w:line="262" w:lineRule="auto"/>
        <w:ind w:firstLine="420" w:firstLineChars="200"/>
        <w:rPr>
          <w:rFonts w:asciiTheme="minorEastAsia" w:hAnsiTheme="minorEastAsia" w:eastAsiaTheme="minorEastAsia" w:cstheme="minorEastAsia"/>
          <w:szCs w:val="21"/>
        </w:rPr>
      </w:pPr>
      <w:bookmarkStart w:id="142" w:name="_Toc16938550"/>
      <w:bookmarkStart w:id="143" w:name="_Toc20823306"/>
      <w:bookmarkStart w:id="144" w:name="_Toc513029234"/>
      <w:r>
        <w:rPr>
          <w:rFonts w:hint="eastAsia" w:asciiTheme="minorEastAsia" w:hAnsiTheme="minorEastAsia" w:eastAsiaTheme="minorEastAsia" w:cstheme="minorEastAsia"/>
          <w:szCs w:val="21"/>
        </w:rPr>
        <w:t>3.2被认定为未实质性响应采购文件的响应文件的情形：</w:t>
      </w:r>
    </w:p>
    <w:p>
      <w:pPr>
        <w:spacing w:line="262" w:lineRule="auto"/>
        <w:ind w:firstLine="420" w:firstLineChars="200"/>
        <w:rPr>
          <w:rFonts w:asciiTheme="minorEastAsia" w:hAnsiTheme="minorEastAsia" w:eastAsiaTheme="minorEastAsia" w:cstheme="minorEastAsia"/>
          <w:szCs w:val="21"/>
        </w:rPr>
      </w:pPr>
      <w:bookmarkStart w:id="145" w:name="_Toc16938548"/>
      <w:bookmarkStart w:id="146" w:name="_Toc513029232"/>
      <w:bookmarkStart w:id="147" w:name="_Toc20823304"/>
      <w:r>
        <w:rPr>
          <w:rFonts w:hint="eastAsia" w:asciiTheme="minorEastAsia" w:hAnsiTheme="minorEastAsia" w:eastAsiaTheme="minorEastAsia" w:cstheme="minorEastAsia"/>
          <w:szCs w:val="21"/>
        </w:rPr>
        <w:t>（1）未按要求交纳保证金的（限要求提交保证金的项目）；</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（2）未按照采购文件规定要求签署、盖章的；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（3）提供的产品质量和服务没有满足采购文件规定的实质性要求的；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（4）评审小组认为供应商的报价明显低于其他通过符合性检查供应商的报价</w:t>
      </w:r>
      <w:r>
        <w:rPr>
          <w:rFonts w:hint="eastAsia" w:asciiTheme="minorEastAsia" w:hAnsiTheme="minorEastAsia" w:eastAsiaTheme="minorEastAsia" w:cstheme="minorEastAsia"/>
          <w:kern w:val="0"/>
          <w:szCs w:val="21"/>
        </w:rPr>
        <w:t>，有可能影响采购质量（例：所投产品品牌档次无可比性或非同一级别的等）或者不能诚信履约的；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（5）不符合法规和采购文件中规定的其他实质性要求的（例：</w:t>
      </w:r>
      <w:r>
        <w:rPr>
          <w:rFonts w:hint="eastAsia" w:asciiTheme="minorEastAsia" w:hAnsiTheme="minorEastAsia" w:eastAsiaTheme="minorEastAsia" w:cstheme="minorEastAsia"/>
          <w:kern w:val="0"/>
          <w:szCs w:val="21"/>
        </w:rPr>
        <w:t>超过预算金额、</w:t>
      </w:r>
      <w:r>
        <w:rPr>
          <w:rFonts w:hint="eastAsia" w:asciiTheme="minorEastAsia" w:hAnsiTheme="minorEastAsia" w:eastAsiaTheme="minorEastAsia" w:cstheme="minorEastAsia"/>
          <w:szCs w:val="21"/>
        </w:rPr>
        <w:t>采用选择性报价等）。</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4.评审过程的澄清</w:t>
      </w:r>
      <w:bookmarkEnd w:id="145"/>
      <w:bookmarkEnd w:id="146"/>
      <w:bookmarkEnd w:id="147"/>
      <w:r>
        <w:rPr>
          <w:rFonts w:hint="eastAsia" w:asciiTheme="minorEastAsia" w:hAnsiTheme="minorEastAsia" w:eastAsiaTheme="minorEastAsia" w:cstheme="minorEastAsia"/>
          <w:b/>
          <w:szCs w:val="21"/>
        </w:rPr>
        <w:t>、说明和更正</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4.1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接到评审小组要求的供应商应派人按评审小组通知的时间和地点做出书面澄清、说明或更正。供应商的澄清、说明或者更正应当由法定代表人或其授权代表签字或者加盖公章。由授权代表签字的，应当附法人授权书。</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 接到评审小组澄清要求的供应商如未按规定做出澄清，其风险由供应商自行承担。</w:t>
      </w:r>
      <w:bookmarkEnd w:id="142"/>
      <w:bookmarkEnd w:id="143"/>
      <w:bookmarkEnd w:id="144"/>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w:t>
      </w:r>
      <w:bookmarkStart w:id="148" w:name="_Toc16938551"/>
      <w:bookmarkStart w:id="149" w:name="_Toc513029235"/>
      <w:bookmarkStart w:id="150" w:name="_Toc20823307"/>
      <w:r>
        <w:rPr>
          <w:rFonts w:hint="eastAsia" w:asciiTheme="minorEastAsia" w:hAnsiTheme="minorEastAsia" w:eastAsiaTheme="minorEastAsia" w:cstheme="minorEastAsia"/>
          <w:b/>
          <w:szCs w:val="21"/>
        </w:rPr>
        <w:t>评审方法、评审标准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5.1评审方法：综合评分法。</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评分法，是指响应文件满足采购文件全部实质性要求且按评审因素的量化指标评审得分最高的供应商为成交候选供应商的评审方法。评审时，评审小组各成员独立对每个有效响应的文件进行评价、打分，然后汇总每个供应商每项评分因素的得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5.2评审标准：略，见本采购文件第4章规定。</w:t>
      </w:r>
    </w:p>
    <w:p>
      <w:pPr>
        <w:spacing w:line="262" w:lineRule="auto"/>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5.3采购人视情执行政府采购政策。具体优先采购办法见采购文件第4章。</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5.4评审小组根据综合评分情况，按照评审得分由高到低顺序推荐成交候选供应商，并编写评审报告。评审得分相同的，按照最后报价由低到高的顺序推荐。评审得分且最后报价相同的，按照技术指标优劣顺序推荐。采购人根据评审小组推荐的成交候选人确定成交供应商（多种并列情形的，采购人将自行确定）。采购人确定成交供应商后，将发布公告或以电子邮件等方式通知所有参加采购的供应商。</w:t>
      </w:r>
    </w:p>
    <w:bookmarkEnd w:id="148"/>
    <w:bookmarkEnd w:id="149"/>
    <w:bookmarkEnd w:id="150"/>
    <w:p>
      <w:pPr>
        <w:spacing w:line="262" w:lineRule="auto"/>
        <w:jc w:val="center"/>
        <w:outlineLvl w:val="1"/>
        <w:rPr>
          <w:rFonts w:asciiTheme="minorEastAsia" w:hAnsiTheme="minorEastAsia" w:eastAsiaTheme="minorEastAsia" w:cstheme="minorEastAsia"/>
          <w:szCs w:val="21"/>
        </w:rPr>
      </w:pPr>
      <w:bookmarkStart w:id="151" w:name="_Toc118235414"/>
      <w:bookmarkStart w:id="152" w:name="_Toc107916293"/>
      <w:bookmarkStart w:id="153" w:name="_Toc118275559"/>
      <w:bookmarkStart w:id="154" w:name="_Toc118275639"/>
      <w:bookmarkStart w:id="155" w:name="_Toc118275519"/>
      <w:r>
        <w:rPr>
          <w:rFonts w:hint="eastAsia" w:asciiTheme="minorEastAsia" w:hAnsiTheme="minorEastAsia" w:eastAsiaTheme="minorEastAsia" w:cstheme="minorEastAsia"/>
          <w:b/>
          <w:szCs w:val="21"/>
        </w:rPr>
        <w:t>六、合同签订相关事项</w:t>
      </w:r>
      <w:bookmarkEnd w:id="151"/>
      <w:bookmarkEnd w:id="152"/>
      <w:bookmarkEnd w:id="153"/>
      <w:bookmarkEnd w:id="154"/>
      <w:bookmarkEnd w:id="155"/>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 合同草案条款及签订合同</w:t>
      </w:r>
    </w:p>
    <w:p>
      <w:pPr>
        <w:spacing w:line="262" w:lineRule="auto"/>
        <w:ind w:firstLine="432"/>
        <w:rPr>
          <w:rFonts w:asciiTheme="minorEastAsia" w:hAnsiTheme="minorEastAsia" w:eastAsiaTheme="minorEastAsia" w:cstheme="minorEastAsia"/>
          <w:spacing w:val="15"/>
          <w:kern w:val="0"/>
          <w:szCs w:val="21"/>
        </w:rPr>
      </w:pPr>
      <w:r>
        <w:rPr>
          <w:rFonts w:hint="eastAsia" w:asciiTheme="minorEastAsia" w:hAnsiTheme="minorEastAsia" w:eastAsiaTheme="minorEastAsia" w:cstheme="minorEastAsia"/>
          <w:szCs w:val="21"/>
        </w:rPr>
        <w:t>1.l成交供应商确定后，</w:t>
      </w:r>
      <w:r>
        <w:rPr>
          <w:rFonts w:hint="eastAsia" w:asciiTheme="minorEastAsia" w:hAnsiTheme="minorEastAsia" w:eastAsiaTheme="minorEastAsia" w:cstheme="minorEastAsia"/>
          <w:bCs/>
          <w:szCs w:val="21"/>
        </w:rPr>
        <w:t>携手阳光公司</w:t>
      </w:r>
      <w:r>
        <w:rPr>
          <w:rFonts w:hint="eastAsia" w:asciiTheme="minorEastAsia" w:hAnsiTheme="minorEastAsia" w:eastAsiaTheme="minorEastAsia" w:cstheme="minorEastAsia"/>
          <w:szCs w:val="21"/>
        </w:rPr>
        <w:t>将向成交供应商发出成交通知书。</w:t>
      </w:r>
      <w:r>
        <w:rPr>
          <w:rFonts w:hint="eastAsia" w:asciiTheme="minorEastAsia" w:hAnsiTheme="minorEastAsia" w:eastAsiaTheme="minorEastAsia" w:cstheme="minorEastAsia"/>
          <w:spacing w:val="15"/>
          <w:kern w:val="0"/>
          <w:szCs w:val="21"/>
        </w:rPr>
        <w:t>成交供应商应当在成交通知书发出之日起7日内，按照采购文件确定的事项签订政府采购合同。</w:t>
      </w:r>
    </w:p>
    <w:p>
      <w:pPr>
        <w:spacing w:line="262" w:lineRule="auto"/>
        <w:ind w:firstLine="43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1.2合同草案条款（拟签订的合同文本）见采购文件第3章。采购文件、成交供应商的响应文件及采购过程中有关澄清、承诺文件均应为合同的组成部分。</w:t>
      </w:r>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1.3成交供应商不得将政府采购合同转包。未经采购人同意，成交供应商也不得采取分包的形式履行合同。否则采购人有权终止合同及履约保证金将不予退还。造成损失的，成交供应商应承担赔偿责任。</w:t>
      </w:r>
    </w:p>
    <w:p>
      <w:pPr>
        <w:numPr>
          <w:ilvl w:val="0"/>
          <w:numId w:val="4"/>
        </w:num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履约保证金</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2.1在签订合同前，中标人需向招标人交纳履约保证金（请将履约保证金汇款凭证发送至QQ邮箱：532223373@qq.com），具体金额为中标价的5%。拟中标人应当按照招标人的要求及时、足额缴纳履约保证金，履约保证金待项目验收结束后一次性无息退还。</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2.2履约保证金专户帐户信息</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单位名称：江苏医药职业学院</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开户行名称：建行盐城市城南支行</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银行帐号：32001735038052500575</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地    址：江苏省盐城市解放南路283号</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电    话：0515-88550311</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2.3如果拟中标人没有在规定的时间内交纳履约保证金，或放弃中标、或被查实存在影响中标结果的违法行为、或其他供应商对招标项目的质疑（投诉）成立、或拒绝遵守招标文件规定、响应承诺，或拒绝签订合同、或虽签署合同但不予履行等，则取消（拟）中标人资格，已经缴纳的履约保证金作为违约金不予退还。</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2.4履约保证金退还：中标人缴纳的履约保证金待项目验收结束后无质量问题一次性无息退还，（凭“保证金请退函”到学校国资处办理退款手续）。如果中标人不履行合同约定的义务，未能完全履行合同规定的义务或其履行不符合合同的约定，招标人有权扣除履约保证金取得补偿。</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2.5履约保证金用以约束成交供应商在合同履行中的行为，弥补合同执行中由于自身行为可能给采购人带来的各种损失（履约保证金将不予退还）。</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3.代理服务费</w:t>
      </w:r>
    </w:p>
    <w:p>
      <w:pPr>
        <w:spacing w:line="262" w:lineRule="auto"/>
        <w:ind w:firstLine="408"/>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3.1</w:t>
      </w:r>
      <w:r>
        <w:rPr>
          <w:rFonts w:hint="eastAsia" w:asciiTheme="minorEastAsia" w:hAnsiTheme="minorEastAsia" w:eastAsiaTheme="minorEastAsia" w:cstheme="minorEastAsia"/>
          <w:bCs/>
          <w:szCs w:val="21"/>
        </w:rPr>
        <w:t>代理服务费收费标准：见</w:t>
      </w:r>
      <w:r>
        <w:rPr>
          <w:rFonts w:hint="eastAsia" w:asciiTheme="minorEastAsia" w:hAnsiTheme="minorEastAsia" w:eastAsiaTheme="minorEastAsia" w:cstheme="minorEastAsia"/>
          <w:bCs/>
          <w:szCs w:val="21"/>
          <w:u w:val="single"/>
        </w:rPr>
        <w:t>供应商须知资料表</w:t>
      </w:r>
      <w:r>
        <w:rPr>
          <w:rFonts w:hint="eastAsia" w:asciiTheme="minorEastAsia" w:hAnsiTheme="minorEastAsia" w:eastAsiaTheme="minorEastAsia" w:cstheme="minorEastAsia"/>
          <w:szCs w:val="21"/>
        </w:rPr>
        <w:t>。</w:t>
      </w:r>
    </w:p>
    <w:p>
      <w:pPr>
        <w:spacing w:line="262" w:lineRule="auto"/>
        <w:ind w:firstLine="408"/>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3.2如</w:t>
      </w:r>
      <w:r>
        <w:rPr>
          <w:rFonts w:hint="eastAsia" w:asciiTheme="minorEastAsia" w:hAnsiTheme="minorEastAsia" w:eastAsiaTheme="minorEastAsia" w:cstheme="minorEastAsia"/>
          <w:bCs/>
          <w:szCs w:val="21"/>
          <w:u w:val="single"/>
        </w:rPr>
        <w:t>供应商须知资料表</w:t>
      </w:r>
      <w:r>
        <w:rPr>
          <w:rFonts w:hint="eastAsia" w:asciiTheme="minorEastAsia" w:hAnsiTheme="minorEastAsia" w:eastAsiaTheme="minorEastAsia" w:cstheme="minorEastAsia"/>
          <w:bCs/>
          <w:szCs w:val="21"/>
        </w:rPr>
        <w:t>规定代理服务费由成交供应商承担的。成交供应商须在领取成交通知书时，按照</w:t>
      </w:r>
      <w:r>
        <w:rPr>
          <w:rFonts w:hint="eastAsia" w:asciiTheme="minorEastAsia" w:hAnsiTheme="minorEastAsia" w:eastAsiaTheme="minorEastAsia" w:cstheme="minorEastAsia"/>
          <w:bCs/>
          <w:szCs w:val="21"/>
          <w:u w:val="single"/>
        </w:rPr>
        <w:t>供应商须知资料表</w:t>
      </w:r>
      <w:r>
        <w:rPr>
          <w:rFonts w:hint="eastAsia" w:asciiTheme="minorEastAsia" w:hAnsiTheme="minorEastAsia" w:eastAsiaTheme="minorEastAsia" w:cstheme="minorEastAsia"/>
          <w:bCs/>
          <w:szCs w:val="21"/>
        </w:rPr>
        <w:t>规定的收费标准向携手阳光公司支付代理服务费（一次性付清）。</w:t>
      </w:r>
      <w:r>
        <w:rPr>
          <w:rFonts w:hint="eastAsia" w:asciiTheme="minorEastAsia" w:hAnsiTheme="minorEastAsia" w:eastAsiaTheme="minorEastAsia" w:cstheme="minorEastAsia"/>
          <w:szCs w:val="21"/>
        </w:rPr>
        <w:t>该费用折算在供应商报价中，不在响应文件中单独列出。</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3.3代理服务费支付形式为：电款、转账等；发票为</w:t>
      </w:r>
      <w:r>
        <w:rPr>
          <w:rFonts w:hint="eastAsia" w:asciiTheme="minorEastAsia" w:hAnsiTheme="minorEastAsia" w:eastAsiaTheme="minorEastAsia" w:cstheme="minorEastAsia"/>
          <w:szCs w:val="21"/>
        </w:rPr>
        <w:t>普通发票。账户信息：开户名：盐城市携手阳光集中采购代理有限公司；开户行：兴业银行盐城分行；账号：402010100100119375）。</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4.成交供应商违约、违规责任</w:t>
      </w:r>
    </w:p>
    <w:p>
      <w:pPr>
        <w:spacing w:line="262" w:lineRule="auto"/>
        <w:ind w:firstLine="420" w:firstLineChars="200"/>
        <w:rPr>
          <w:rFonts w:asciiTheme="minorEastAsia" w:hAnsiTheme="minorEastAsia" w:eastAsiaTheme="minorEastAsia" w:cstheme="minorEastAsia"/>
          <w:spacing w:val="15"/>
          <w:kern w:val="0"/>
          <w:szCs w:val="21"/>
        </w:rPr>
      </w:pPr>
      <w:r>
        <w:rPr>
          <w:rFonts w:hint="eastAsia" w:asciiTheme="minorEastAsia" w:hAnsiTheme="minorEastAsia" w:eastAsiaTheme="minorEastAsia" w:cstheme="minorEastAsia"/>
          <w:szCs w:val="21"/>
        </w:rPr>
        <w:t>4.1</w:t>
      </w:r>
      <w:r>
        <w:rPr>
          <w:rFonts w:hint="eastAsia" w:asciiTheme="minorEastAsia" w:hAnsiTheme="minorEastAsia" w:eastAsiaTheme="minorEastAsia" w:cstheme="minorEastAsia"/>
          <w:spacing w:val="15"/>
          <w:kern w:val="0"/>
          <w:szCs w:val="21"/>
        </w:rPr>
        <w:t>政府采购遵循诚实信用原则。为保证政府采购效率及采购人的合法权益，</w:t>
      </w:r>
      <w:r>
        <w:rPr>
          <w:rFonts w:hint="eastAsia" w:asciiTheme="minorEastAsia" w:hAnsiTheme="minorEastAsia" w:eastAsiaTheme="minorEastAsia" w:cstheme="minorEastAsia"/>
          <w:szCs w:val="21"/>
        </w:rPr>
        <w:t>成交供应商出现违约、违规的，按照有利于采购人的原则处理。即：如采购文件、投标（响应）文件及合同条款约定中对成交供应商有不同违约、违规规定的，按照处罚最高的规定处理（供应商承担）。</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如成交供应商出现下例情况的，采购人或采购代理机构有权拒绝其供应商参加采购代理机构代理的或采购人的各类采购活动（视为没有良好的商业信誉而拒绝参加）：1、未及时与采购人签订合同（放弃成交）；2、未按照采购文件、响应文件及合同条款履行合同的；3、未及时向携手阳光公司支持代理服务费的；4、出现其它违法、违规、违约行为的。以上情节严重的，将报请政府采购监督管理部门进行相应的行政处罚。造成采购人损失的，成交供应商须承担全部赔偿责任，采购人保留诉讼的权利。</w:t>
      </w:r>
      <w:r>
        <w:rPr>
          <w:rFonts w:hint="eastAsia" w:asciiTheme="minorEastAsia" w:hAnsiTheme="minorEastAsia" w:eastAsiaTheme="minorEastAsia" w:cstheme="minorEastAsia"/>
          <w:spacing w:val="15"/>
          <w:kern w:val="0"/>
          <w:szCs w:val="21"/>
        </w:rPr>
        <w:t> </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4.3法律法规规定的其它违约、违规责任。</w:t>
      </w:r>
    </w:p>
    <w:p>
      <w:pPr>
        <w:spacing w:line="262" w:lineRule="auto"/>
        <w:ind w:firstLine="422" w:firstLineChars="200"/>
        <w:jc w:val="center"/>
        <w:outlineLvl w:val="1"/>
        <w:rPr>
          <w:rFonts w:asciiTheme="minorEastAsia" w:hAnsiTheme="minorEastAsia" w:eastAsiaTheme="minorEastAsia" w:cstheme="minorEastAsia"/>
          <w:b/>
          <w:szCs w:val="21"/>
        </w:rPr>
      </w:pPr>
      <w:bookmarkStart w:id="156" w:name="_Toc107916294"/>
      <w:bookmarkStart w:id="157" w:name="_Toc118235415"/>
      <w:bookmarkStart w:id="158" w:name="_Toc118275560"/>
      <w:bookmarkStart w:id="159" w:name="_Toc118275520"/>
      <w:bookmarkStart w:id="160" w:name="_Toc118275640"/>
      <w:r>
        <w:rPr>
          <w:rFonts w:hint="eastAsia" w:asciiTheme="minorEastAsia" w:hAnsiTheme="minorEastAsia" w:eastAsiaTheme="minorEastAsia" w:cstheme="minorEastAsia"/>
          <w:b/>
          <w:szCs w:val="21"/>
        </w:rPr>
        <w:t>七、质疑受理</w:t>
      </w:r>
      <w:bookmarkEnd w:id="156"/>
      <w:bookmarkEnd w:id="157"/>
      <w:bookmarkEnd w:id="158"/>
      <w:bookmarkEnd w:id="159"/>
      <w:bookmarkEnd w:id="160"/>
    </w:p>
    <w:p>
      <w:pPr>
        <w:pStyle w:val="9"/>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szCs w:val="21"/>
        </w:rPr>
      </w:pPr>
      <w:bookmarkStart w:id="161" w:name="_Toc20823309"/>
      <w:bookmarkStart w:id="162" w:name="_Toc513029237"/>
      <w:bookmarkStart w:id="163" w:name="_Toc16938553"/>
      <w:r>
        <w:rPr>
          <w:rFonts w:hint="eastAsia" w:asciiTheme="minorEastAsia" w:hAnsiTheme="minorEastAsia" w:eastAsiaTheme="minorEastAsia" w:cstheme="minorEastAsia"/>
          <w:b/>
          <w:szCs w:val="21"/>
        </w:rPr>
        <w:t>1.质疑受理</w:t>
      </w:r>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1.1供应商认为采购文件采购过程和成交结果使自己的权益受到损害的，可以在3个工作日内向</w:t>
      </w:r>
      <w:r>
        <w:rPr>
          <w:rFonts w:hint="eastAsia" w:asciiTheme="minorEastAsia" w:hAnsiTheme="minorEastAsia" w:eastAsiaTheme="minorEastAsia" w:cstheme="minorEastAsia"/>
          <w:b/>
          <w:bCs/>
          <w:szCs w:val="21"/>
        </w:rPr>
        <w:t>携手阳光公司（采购人受权接受）</w:t>
      </w:r>
      <w:r>
        <w:rPr>
          <w:rFonts w:hint="eastAsia" w:asciiTheme="minorEastAsia" w:hAnsiTheme="minorEastAsia" w:eastAsiaTheme="minorEastAsia" w:cstheme="minorEastAsia"/>
          <w:b/>
          <w:szCs w:val="21"/>
        </w:rPr>
        <w:t>提出质疑。</w:t>
      </w:r>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1.2质疑供应商应按照财政部制定的《政府采购质疑函范本》格式（可从财政部官方网站下载）和《政府采购质疑和投诉办法》的要求，在法定质疑期内以书面形式提出质疑，针对同一采购程序环节的质疑应一次性提出。</w:t>
      </w:r>
    </w:p>
    <w:p>
      <w:pPr>
        <w:spacing w:line="262" w:lineRule="auto"/>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超出约定质疑期的、重复提出的、分次提出的或内容、形式不符合《政府采购质疑和投诉办法》的，质疑供应商将依法承担不利后果。</w:t>
      </w:r>
    </w:p>
    <w:p>
      <w:pPr>
        <w:spacing w:line="262" w:lineRule="auto"/>
        <w:ind w:firstLine="422" w:firstLineChars="200"/>
        <w:jc w:val="left"/>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b/>
          <w:szCs w:val="21"/>
        </w:rPr>
        <w:t>1.3质疑供应商对采购人、携手阳光公司的答复不满意或者采购人、采购代理机构未在规定的时间内作出答复的，可以在答复期满后3个工作日内向采购人内控管理部门反映（投诉）</w:t>
      </w:r>
      <w:r>
        <w:rPr>
          <w:rFonts w:hint="eastAsia" w:asciiTheme="minorEastAsia" w:hAnsiTheme="minorEastAsia" w:eastAsiaTheme="minorEastAsia" w:cstheme="minorEastAsia"/>
          <w:szCs w:val="21"/>
          <w:shd w:val="clear" w:color="auto" w:fill="FFFFFF"/>
        </w:rPr>
        <w:t>。</w:t>
      </w:r>
    </w:p>
    <w:p>
      <w:pPr>
        <w:pStyle w:val="9"/>
        <w:spacing w:line="240" w:lineRule="exact"/>
        <w:rPr>
          <w:rFonts w:asciiTheme="minorEastAsia" w:hAnsiTheme="minorEastAsia" w:eastAsiaTheme="minorEastAsia" w:cstheme="minorEastAsia"/>
          <w:sz w:val="21"/>
          <w:szCs w:val="21"/>
        </w:rPr>
      </w:pPr>
    </w:p>
    <w:p>
      <w:pPr>
        <w:spacing w:line="262" w:lineRule="auto"/>
        <w:ind w:firstLine="422" w:firstLineChars="200"/>
        <w:jc w:val="center"/>
        <w:outlineLvl w:val="1"/>
        <w:rPr>
          <w:rFonts w:asciiTheme="minorEastAsia" w:hAnsiTheme="minorEastAsia" w:eastAsiaTheme="minorEastAsia" w:cstheme="minorEastAsia"/>
          <w:b/>
          <w:szCs w:val="21"/>
        </w:rPr>
      </w:pPr>
      <w:bookmarkStart w:id="164" w:name="_Toc118275561"/>
      <w:bookmarkStart w:id="165" w:name="_Toc118235416"/>
      <w:bookmarkStart w:id="166" w:name="_Toc107916295"/>
      <w:bookmarkStart w:id="167" w:name="_Toc118275641"/>
      <w:bookmarkStart w:id="168" w:name="_Toc118275521"/>
      <w:r>
        <w:rPr>
          <w:rFonts w:hint="eastAsia" w:asciiTheme="minorEastAsia" w:hAnsiTheme="minorEastAsia" w:eastAsiaTheme="minorEastAsia" w:cstheme="minorEastAsia"/>
          <w:b/>
          <w:szCs w:val="21"/>
        </w:rPr>
        <w:t>八、终止磋商采购活动</w:t>
      </w:r>
      <w:bookmarkEnd w:id="164"/>
      <w:bookmarkEnd w:id="165"/>
      <w:bookmarkEnd w:id="166"/>
      <w:bookmarkEnd w:id="167"/>
      <w:bookmarkEnd w:id="168"/>
    </w:p>
    <w:p>
      <w:pPr>
        <w:pStyle w:val="9"/>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终止磋商采购活动</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出现下列情形之一的，采购人或者采购代理机构应当终止磋商采购活动，发布项目终止公告并说明原因，重新开展采购活动：</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（1）因情况变化，不再符合规定的磋商采购方式适用情形的；</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（2）出现影响采购公正的违法、违规行为的；</w:t>
      </w:r>
    </w:p>
    <w:bookmarkEnd w:id="161"/>
    <w:bookmarkEnd w:id="162"/>
    <w:bookmarkEnd w:id="163"/>
    <w:p>
      <w:pPr>
        <w:spacing w:line="386"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在采购过程中符合竞争要求的供应商或者报价未超过采购预算的供应商不足3家的，采购人可以终止采购活动，也可以按照“以合理的价格购买数量、质量合适的产品”的原则继续评审。</w:t>
      </w:r>
    </w:p>
    <w:p>
      <w:pPr>
        <w:pStyle w:val="9"/>
        <w:spacing w:line="240" w:lineRule="exact"/>
        <w:rPr>
          <w:rFonts w:asciiTheme="minorEastAsia" w:hAnsiTheme="minorEastAsia" w:eastAsiaTheme="minorEastAsia" w:cstheme="minorEastAsia"/>
          <w:sz w:val="21"/>
          <w:szCs w:val="21"/>
        </w:rPr>
      </w:pPr>
    </w:p>
    <w:p>
      <w:pPr>
        <w:spacing w:line="262" w:lineRule="auto"/>
        <w:jc w:val="center"/>
        <w:outlineLvl w:val="1"/>
        <w:rPr>
          <w:rFonts w:asciiTheme="minorEastAsia" w:hAnsiTheme="minorEastAsia" w:eastAsiaTheme="minorEastAsia" w:cstheme="minorEastAsia"/>
          <w:b/>
          <w:szCs w:val="21"/>
        </w:rPr>
      </w:pPr>
      <w:bookmarkStart w:id="169" w:name="_Toc118275522"/>
      <w:bookmarkStart w:id="170" w:name="_Toc118275562"/>
      <w:bookmarkStart w:id="171" w:name="_Toc118275642"/>
      <w:bookmarkStart w:id="172" w:name="_Toc118235417"/>
      <w:bookmarkStart w:id="173" w:name="_Toc107916296"/>
      <w:r>
        <w:rPr>
          <w:rFonts w:hint="eastAsia" w:asciiTheme="minorEastAsia" w:hAnsiTheme="minorEastAsia" w:eastAsiaTheme="minorEastAsia" w:cstheme="minorEastAsia"/>
          <w:b/>
          <w:szCs w:val="21"/>
        </w:rPr>
        <w:t>九、其他</w:t>
      </w:r>
      <w:bookmarkEnd w:id="169"/>
      <w:bookmarkEnd w:id="170"/>
      <w:bookmarkEnd w:id="171"/>
      <w:bookmarkEnd w:id="172"/>
      <w:bookmarkEnd w:id="173"/>
    </w:p>
    <w:p>
      <w:pPr>
        <w:pStyle w:val="9"/>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1.政府采购履约资金扶持政策</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根据国家扶持中小企业的有关政策，政府采购成交供应商在履约过程中如遇到资金困难，凭成交通知书在相关金融机构办理授信申请。相关事宜向采购代理机构咨询。</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2.解释（定义）及其它：</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本采购文件当中“投标”、“投标人”、“投标文件”、“中标”、“中标人”，分别是指 “参加磋商响应”、“供应商”、“响应文件”、“成交”、“成交供应商”。</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确保响应文件中证明材料的有效性。如证明材料有效性不受其证明材料所注明的时间影响等情形的（例：证书上有效时间已过期，但政策规定向后延期），供应商应当在响应文件中进行说明并提供相关法律依据。如供应商未提供的，评审人员有权仅按自身理解评审（后果由供应商自负）。</w:t>
      </w:r>
    </w:p>
    <w:p>
      <w:pPr>
        <w:spacing w:line="262" w:lineRule="auto"/>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本采购文件仅限于政府采购参加人参加本次政府采购活动使用。版权所有（2021.4版），未经携手阳光公司书面授权，本采购文件内容严禁摘录、引用、传播或用于它处。</w:t>
      </w:r>
    </w:p>
    <w:p>
      <w:pPr>
        <w:spacing w:line="480" w:lineRule="auto"/>
        <w:jc w:val="center"/>
        <w:outlineLvl w:val="0"/>
        <w:rPr>
          <w:rFonts w:ascii="宋体" w:hAnsi="宋体" w:cs="宋体"/>
          <w:b/>
          <w:color w:val="000000"/>
          <w:sz w:val="32"/>
          <w:szCs w:val="21"/>
        </w:rPr>
      </w:pPr>
      <w:bookmarkStart w:id="174" w:name="_Toc122338093"/>
      <w:r>
        <w:rPr>
          <w:rFonts w:hint="eastAsia" w:ascii="宋体" w:hAnsi="宋体" w:cs="宋体"/>
          <w:b/>
          <w:color w:val="000000"/>
          <w:sz w:val="32"/>
          <w:szCs w:val="21"/>
        </w:rPr>
        <w:t>第三章  采购需求及政府采购合同（拟签订的合同文本）</w:t>
      </w:r>
      <w:bookmarkEnd w:id="174"/>
    </w:p>
    <w:p>
      <w:pPr>
        <w:spacing w:line="480" w:lineRule="auto"/>
        <w:jc w:val="center"/>
        <w:outlineLvl w:val="1"/>
        <w:rPr>
          <w:rFonts w:ascii="宋体" w:hAnsi="宋体"/>
          <w:color w:val="000000"/>
          <w:szCs w:val="21"/>
        </w:rPr>
      </w:pPr>
      <w:bookmarkStart w:id="175" w:name="_Toc122338094"/>
      <w:r>
        <w:rPr>
          <w:rFonts w:hint="eastAsia" w:ascii="宋体" w:hAnsi="宋体" w:cs="宋体"/>
          <w:b/>
          <w:bCs/>
          <w:color w:val="000000"/>
          <w:szCs w:val="21"/>
        </w:rPr>
        <w:t>采购需求及</w:t>
      </w:r>
      <w:r>
        <w:rPr>
          <w:rFonts w:hint="eastAsia" w:ascii="宋体" w:hAnsi="宋体"/>
          <w:b/>
          <w:color w:val="000000"/>
          <w:szCs w:val="21"/>
        </w:rPr>
        <w:t>政府采购合同</w:t>
      </w:r>
      <w:r>
        <w:rPr>
          <w:rFonts w:hint="eastAsia" w:ascii="宋体" w:hAnsi="宋体" w:cs="宋体"/>
          <w:b/>
          <w:bCs/>
          <w:color w:val="000000"/>
          <w:szCs w:val="21"/>
        </w:rPr>
        <w:t>前附表</w:t>
      </w:r>
      <w:bookmarkEnd w:id="175"/>
    </w:p>
    <w:p>
      <w:pPr>
        <w:spacing w:line="480" w:lineRule="auto"/>
        <w:ind w:left="420"/>
        <w:jc w:val="center"/>
        <w:rPr>
          <w:rFonts w:ascii="宋体" w:hAnsi="宋体"/>
          <w:b/>
          <w:color w:val="000000"/>
        </w:rPr>
      </w:pPr>
      <w:r>
        <w:rPr>
          <w:rFonts w:hint="eastAsia" w:ascii="宋体" w:hAnsi="宋体"/>
          <w:b/>
          <w:color w:val="000000"/>
        </w:rPr>
        <w:t>★本表是</w:t>
      </w:r>
      <w:r>
        <w:rPr>
          <w:rFonts w:hint="eastAsia" w:ascii="宋体" w:hAnsi="宋体" w:cs="宋体"/>
          <w:b/>
          <w:bCs/>
          <w:color w:val="000000"/>
          <w:szCs w:val="21"/>
        </w:rPr>
        <w:t>采购需求及</w:t>
      </w:r>
      <w:r>
        <w:rPr>
          <w:rFonts w:hint="eastAsia" w:ascii="宋体" w:hAnsi="宋体"/>
          <w:b/>
          <w:color w:val="000000"/>
          <w:szCs w:val="21"/>
        </w:rPr>
        <w:t>政府采购合同</w:t>
      </w:r>
      <w:r>
        <w:rPr>
          <w:rFonts w:hint="eastAsia" w:ascii="宋体" w:hAnsi="宋体"/>
          <w:b/>
          <w:color w:val="000000"/>
        </w:rPr>
        <w:t>相关内容的</w:t>
      </w:r>
      <w:r>
        <w:rPr>
          <w:rFonts w:ascii="宋体" w:hAnsi="宋体"/>
          <w:b/>
          <w:color w:val="000000"/>
        </w:rPr>
        <w:t>说明和补充</w:t>
      </w:r>
      <w:r>
        <w:rPr>
          <w:rFonts w:hint="eastAsia" w:ascii="宋体" w:hAnsi="宋体"/>
          <w:b/>
          <w:color w:val="000000"/>
        </w:rPr>
        <w:t>，如有矛盾，应以本表为准。</w:t>
      </w:r>
    </w:p>
    <w:tbl>
      <w:tblPr>
        <w:tblStyle w:val="29"/>
        <w:tblW w:w="10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902"/>
        <w:gridCol w:w="71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2902" w:type="dxa"/>
            <w:noWrap/>
            <w:vAlign w:val="center"/>
          </w:tcPr>
          <w:p>
            <w:pPr>
              <w:spacing w:line="276" w:lineRule="auto"/>
              <w:jc w:val="center"/>
              <w:rPr>
                <w:rFonts w:ascii="宋体" w:hAnsi="宋体"/>
                <w:b/>
                <w:color w:val="000000"/>
              </w:rPr>
            </w:pPr>
            <w:r>
              <w:rPr>
                <w:rFonts w:hint="eastAsia" w:ascii="宋体" w:hAnsi="宋体"/>
                <w:b/>
                <w:color w:val="000000"/>
              </w:rPr>
              <w:t>内容</w:t>
            </w:r>
          </w:p>
        </w:tc>
        <w:tc>
          <w:tcPr>
            <w:tcW w:w="7170" w:type="dxa"/>
            <w:noWrap/>
            <w:vAlign w:val="center"/>
          </w:tcPr>
          <w:p>
            <w:pPr>
              <w:spacing w:line="276" w:lineRule="auto"/>
              <w:jc w:val="center"/>
              <w:rPr>
                <w:rFonts w:ascii="宋体" w:hAnsi="宋体"/>
                <w:b/>
                <w:color w:val="000000"/>
              </w:rPr>
            </w:pPr>
            <w:r>
              <w:rPr>
                <w:rFonts w:hint="eastAsia" w:ascii="宋体" w:hAnsi="宋体"/>
                <w:b/>
                <w:color w:val="000000"/>
              </w:rPr>
              <w:t>相关要求（说明）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21" w:hRule="atLeast"/>
          <w:jc w:val="center"/>
        </w:trPr>
        <w:tc>
          <w:tcPr>
            <w:tcW w:w="2902" w:type="dxa"/>
            <w:noWrap/>
            <w:vAlign w:val="center"/>
          </w:tcPr>
          <w:p>
            <w:pPr>
              <w:jc w:val="center"/>
              <w:rPr>
                <w:b/>
                <w:color w:val="000000"/>
              </w:rPr>
            </w:pPr>
            <w:r>
              <w:rPr>
                <w:rFonts w:hint="eastAsia"/>
                <w:b/>
                <w:color w:val="000000"/>
              </w:rPr>
              <w:t>采购标的需实现的功能或者目标，采购标的的数量，</w:t>
            </w:r>
            <w:r>
              <w:rPr>
                <w:b/>
                <w:color w:val="000000"/>
              </w:rPr>
              <w:t>所有技术、服务、安全等要求</w:t>
            </w:r>
          </w:p>
        </w:tc>
        <w:tc>
          <w:tcPr>
            <w:tcW w:w="7170" w:type="dxa"/>
            <w:noWrap/>
            <w:vAlign w:val="center"/>
          </w:tcPr>
          <w:p>
            <w:pPr>
              <w:spacing w:line="276" w:lineRule="auto"/>
              <w:jc w:val="center"/>
              <w:rPr>
                <w:color w:val="000000"/>
              </w:rPr>
            </w:pPr>
            <w:r>
              <w:rPr>
                <w:rFonts w:hint="eastAsia"/>
                <w:color w:val="000000"/>
              </w:rPr>
              <w:t>略，详见“采购需求”部分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85" w:hRule="atLeast"/>
          <w:jc w:val="center"/>
        </w:trPr>
        <w:tc>
          <w:tcPr>
            <w:tcW w:w="2902" w:type="dxa"/>
            <w:noWrap/>
            <w:vAlign w:val="center"/>
          </w:tcPr>
          <w:p>
            <w:pPr>
              <w:spacing w:line="276" w:lineRule="auto"/>
              <w:jc w:val="center"/>
              <w:rPr>
                <w:b/>
                <w:color w:val="000000"/>
              </w:rPr>
            </w:pPr>
            <w:r>
              <w:rPr>
                <w:rFonts w:hint="eastAsia" w:ascii="宋体" w:hAnsi="宋体"/>
                <w:b/>
                <w:color w:val="000000"/>
              </w:rPr>
              <w:t>★工期</w:t>
            </w:r>
          </w:p>
        </w:tc>
        <w:tc>
          <w:tcPr>
            <w:tcW w:w="7170" w:type="dxa"/>
            <w:noWrap/>
            <w:vAlign w:val="center"/>
          </w:tcPr>
          <w:p>
            <w:pPr>
              <w:spacing w:line="276" w:lineRule="auto"/>
              <w:ind w:firstLine="420" w:firstLineChars="200"/>
              <w:jc w:val="left"/>
              <w:rPr>
                <w:rFonts w:ascii="宋体" w:hAnsi="宋体" w:cs="宋体"/>
                <w:szCs w:val="21"/>
              </w:rPr>
            </w:pPr>
            <w:r>
              <w:rPr>
                <w:rFonts w:hint="eastAsia"/>
              </w:rPr>
              <w:t>采购包一：</w:t>
            </w:r>
            <w:r>
              <w:rPr>
                <w:rFonts w:hint="eastAsia" w:ascii="宋体" w:hAnsi="宋体" w:cs="宋体"/>
                <w:szCs w:val="21"/>
              </w:rPr>
              <w:t>2023年9月1日前完成供货、安装调试并通过采购人验收</w:t>
            </w:r>
          </w:p>
          <w:p>
            <w:pPr>
              <w:pStyle w:val="2"/>
              <w:ind w:left="0" w:leftChars="0" w:firstLine="420" w:firstLineChars="200"/>
            </w:pPr>
            <w:r>
              <w:rPr>
                <w:rFonts w:hint="eastAsia"/>
              </w:rPr>
              <w:t>采购包二：</w:t>
            </w:r>
            <w:r>
              <w:rPr>
                <w:rFonts w:hint="eastAsia" w:ascii="宋体" w:hAnsi="宋体" w:cs="宋体"/>
                <w:szCs w:val="21"/>
              </w:rPr>
              <w:t>2023年10月1日前完成供货、安装调试并通过采购人验收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55" w:hRule="atLeast"/>
          <w:jc w:val="center"/>
        </w:trPr>
        <w:tc>
          <w:tcPr>
            <w:tcW w:w="2902" w:type="dxa"/>
            <w:noWrap/>
            <w:vAlign w:val="center"/>
          </w:tcPr>
          <w:p>
            <w:pPr>
              <w:spacing w:line="276" w:lineRule="auto"/>
              <w:jc w:val="center"/>
              <w:rPr>
                <w:rFonts w:ascii="宋体" w:hAnsi="宋体"/>
                <w:b/>
                <w:color w:val="000000"/>
              </w:rPr>
            </w:pPr>
            <w:r>
              <w:rPr>
                <w:rFonts w:hint="eastAsia" w:ascii="宋体" w:hAnsi="宋体"/>
                <w:b/>
                <w:color w:val="000000"/>
              </w:rPr>
              <w:t>★质保期</w:t>
            </w:r>
          </w:p>
        </w:tc>
        <w:tc>
          <w:tcPr>
            <w:tcW w:w="7170" w:type="dxa"/>
            <w:noWrap/>
            <w:vAlign w:val="center"/>
          </w:tcPr>
          <w:p>
            <w:pPr>
              <w:spacing w:line="276" w:lineRule="auto"/>
              <w:ind w:firstLine="420" w:firstLineChars="200"/>
              <w:jc w:val="left"/>
            </w:pPr>
            <w:r>
              <w:t>≥</w:t>
            </w:r>
            <w:r>
              <w:rPr>
                <w:rFonts w:hint="eastAsia"/>
              </w:rPr>
              <w:t>3年，质保期自验收合格之日起算。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37" w:hRule="atLeast"/>
          <w:jc w:val="center"/>
        </w:trPr>
        <w:tc>
          <w:tcPr>
            <w:tcW w:w="2902" w:type="dxa"/>
            <w:noWrap/>
            <w:vAlign w:val="center"/>
          </w:tcPr>
          <w:p>
            <w:pPr>
              <w:spacing w:line="276" w:lineRule="auto"/>
              <w:jc w:val="center"/>
              <w:rPr>
                <w:b/>
                <w:color w:val="000000"/>
              </w:rPr>
            </w:pPr>
            <w:r>
              <w:rPr>
                <w:rFonts w:hint="eastAsia" w:ascii="宋体" w:hAnsi="宋体"/>
                <w:b/>
                <w:color w:val="000000"/>
              </w:rPr>
              <w:t>★</w:t>
            </w:r>
            <w:r>
              <w:rPr>
                <w:rFonts w:hint="eastAsia"/>
                <w:b/>
                <w:color w:val="000000"/>
              </w:rPr>
              <w:t>交付或者实施的地点</w:t>
            </w:r>
          </w:p>
          <w:p>
            <w:pPr>
              <w:spacing w:line="276" w:lineRule="auto"/>
              <w:jc w:val="center"/>
              <w:rPr>
                <w:b/>
                <w:color w:val="000000"/>
              </w:rPr>
            </w:pPr>
            <w:r>
              <w:rPr>
                <w:rFonts w:hint="eastAsia"/>
                <w:b/>
                <w:color w:val="000000"/>
              </w:rPr>
              <w:t>（</w:t>
            </w:r>
            <w:r>
              <w:rPr>
                <w:b/>
                <w:color w:val="000000"/>
              </w:rPr>
              <w:t>交付</w:t>
            </w:r>
            <w:r>
              <w:rPr>
                <w:rFonts w:hint="eastAsia"/>
                <w:b/>
                <w:color w:val="000000"/>
              </w:rPr>
              <w:t>地点或施工地点）</w:t>
            </w:r>
          </w:p>
        </w:tc>
        <w:tc>
          <w:tcPr>
            <w:tcW w:w="7170" w:type="dxa"/>
            <w:noWrap/>
            <w:vAlign w:val="center"/>
          </w:tcPr>
          <w:p>
            <w:pPr>
              <w:spacing w:line="276" w:lineRule="auto"/>
              <w:jc w:val="center"/>
              <w:rPr>
                <w:color w:val="000000"/>
              </w:rPr>
            </w:pPr>
            <w:r>
              <w:rPr>
                <w:rFonts w:hint="eastAsia"/>
                <w:color w:val="000000"/>
              </w:rPr>
              <w:t>江苏医药职业学院指定地点（具体地点以采购人另行通知的为准）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07" w:hRule="atLeast"/>
          <w:jc w:val="center"/>
        </w:trPr>
        <w:tc>
          <w:tcPr>
            <w:tcW w:w="2902" w:type="dxa"/>
            <w:noWrap/>
            <w:vAlign w:val="center"/>
          </w:tcPr>
          <w:p>
            <w:pPr>
              <w:spacing w:line="276" w:lineRule="auto"/>
              <w:jc w:val="center"/>
              <w:rPr>
                <w:rFonts w:ascii="宋体" w:hAnsi="宋体"/>
                <w:b/>
                <w:color w:val="000000"/>
              </w:rPr>
            </w:pPr>
            <w:r>
              <w:rPr>
                <w:rFonts w:hint="eastAsia" w:ascii="宋体" w:hAnsi="宋体"/>
                <w:b/>
              </w:rPr>
              <w:t>★采购资金的支付方式、时间、条件（付款方式）</w:t>
            </w:r>
          </w:p>
        </w:tc>
        <w:tc>
          <w:tcPr>
            <w:tcW w:w="7170" w:type="dxa"/>
            <w:noWrap/>
            <w:vAlign w:val="center"/>
          </w:tcPr>
          <w:p>
            <w:pPr>
              <w:spacing w:line="276" w:lineRule="auto"/>
              <w:ind w:firstLine="422" w:firstLineChars="200"/>
              <w:rPr>
                <w:rFonts w:ascii="宋体" w:hAnsi="宋体"/>
                <w:b/>
              </w:rPr>
            </w:pPr>
            <w:r>
              <w:rPr>
                <w:rFonts w:hint="eastAsia" w:ascii="宋体" w:hAnsi="宋体"/>
                <w:b/>
              </w:rPr>
              <w:t xml:space="preserve">1.支付方式：电汇或转账等非现金方式  </w:t>
            </w:r>
          </w:p>
          <w:p>
            <w:pPr>
              <w:spacing w:line="276" w:lineRule="auto"/>
              <w:ind w:firstLine="422" w:firstLineChars="200"/>
              <w:rPr>
                <w:rFonts w:ascii="宋体" w:hAnsi="宋体"/>
                <w:b/>
                <w:bCs/>
                <w:szCs w:val="21"/>
              </w:rPr>
            </w:pPr>
            <w:r>
              <w:rPr>
                <w:rFonts w:hint="eastAsia" w:ascii="宋体" w:hAnsi="宋体"/>
                <w:b/>
                <w:bCs/>
                <w:szCs w:val="21"/>
              </w:rPr>
              <w:t>2.支付时间、条件付款方式：</w:t>
            </w:r>
          </w:p>
          <w:p>
            <w:pPr>
              <w:pStyle w:val="15"/>
              <w:spacing w:line="276" w:lineRule="auto"/>
              <w:ind w:firstLine="422"/>
              <w:rPr>
                <w:color w:val="000000"/>
              </w:rPr>
            </w:pPr>
            <w:r>
              <w:rPr>
                <w:rFonts w:hint="eastAsia"/>
                <w:b/>
                <w:color w:val="auto"/>
                <w:szCs w:val="24"/>
              </w:rPr>
              <w:t>项目验收合格后无质量问题支付合同价的70%款项；审计合格后付至审计价的90%，余款待验收合格质保结束后无质量问题一次性无息付清。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1" w:hRule="atLeast"/>
          <w:jc w:val="center"/>
        </w:trPr>
        <w:tc>
          <w:tcPr>
            <w:tcW w:w="10072" w:type="dxa"/>
            <w:gridSpan w:val="2"/>
            <w:noWrap/>
            <w:vAlign w:val="center"/>
          </w:tcPr>
          <w:p>
            <w:pPr>
              <w:spacing w:line="276" w:lineRule="auto"/>
              <w:jc w:val="center"/>
              <w:rPr>
                <w:rFonts w:ascii="宋体" w:hAnsi="宋体"/>
                <w:b/>
                <w:color w:val="000000"/>
              </w:rPr>
            </w:pPr>
            <w:r>
              <w:rPr>
                <w:rFonts w:hint="eastAsia" w:ascii="宋体" w:hAnsi="宋体"/>
                <w:b/>
                <w:color w:val="000000"/>
              </w:rPr>
              <w:t>本表当中，加★部分为实质性要求，不接受负偏离。</w:t>
            </w:r>
          </w:p>
        </w:tc>
      </w:tr>
    </w:tbl>
    <w:p>
      <w:pPr>
        <w:pStyle w:val="9"/>
        <w:jc w:val="center"/>
        <w:rPr>
          <w:rFonts w:ascii="宋体" w:hAnsi="宋体" w:eastAsia="宋体" w:cs="宋体"/>
          <w:b/>
        </w:rPr>
      </w:pPr>
      <w:bookmarkStart w:id="176" w:name="_Toc122338096"/>
    </w:p>
    <w:p>
      <w:pPr>
        <w:pStyle w:val="9"/>
        <w:jc w:val="center"/>
        <w:rPr>
          <w:rFonts w:ascii="宋体" w:hAnsi="宋体" w:eastAsia="宋体" w:cs="宋体"/>
          <w:b/>
        </w:rPr>
      </w:pPr>
    </w:p>
    <w:p>
      <w:pPr>
        <w:pStyle w:val="10"/>
        <w:outlineLvl w:val="9"/>
      </w:pPr>
    </w:p>
    <w:p>
      <w:pPr>
        <w:pStyle w:val="12"/>
      </w:pPr>
    </w:p>
    <w:p/>
    <w:p>
      <w:pPr>
        <w:pStyle w:val="17"/>
      </w:pPr>
    </w:p>
    <w:p>
      <w:pPr>
        <w:pStyle w:val="9"/>
        <w:numPr>
          <w:ilvl w:val="0"/>
          <w:numId w:val="5"/>
        </w:numPr>
        <w:jc w:val="center"/>
        <w:outlineLvl w:val="1"/>
        <w:rPr>
          <w:rFonts w:ascii="宋体" w:hAnsi="宋体" w:eastAsia="宋体" w:cs="宋体"/>
          <w:b/>
        </w:rPr>
      </w:pPr>
      <w:r>
        <w:rPr>
          <w:rFonts w:hint="eastAsia" w:ascii="宋体" w:hAnsi="宋体" w:eastAsia="宋体" w:cs="宋体"/>
          <w:b/>
        </w:rPr>
        <w:t xml:space="preserve"> 采购需求</w:t>
      </w:r>
      <w:bookmarkEnd w:id="176"/>
    </w:p>
    <w:p>
      <w:pPr>
        <w:spacing w:line="336" w:lineRule="auto"/>
        <w:rPr>
          <w:rFonts w:ascii="宋体" w:hAnsi="宋体" w:cs="宋体"/>
          <w:b/>
          <w:kern w:val="0"/>
          <w:sz w:val="24"/>
        </w:rPr>
      </w:pPr>
      <w:r>
        <w:rPr>
          <w:rFonts w:hint="eastAsia" w:ascii="宋体" w:hAnsi="宋体" w:cs="宋体"/>
          <w:b/>
          <w:kern w:val="0"/>
          <w:sz w:val="24"/>
        </w:rPr>
        <w:t>采购包一：校内护理设备及校内急救、外科护理设备</w:t>
      </w:r>
    </w:p>
    <w:p>
      <w:pPr>
        <w:spacing w:line="336"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一、项目内容：</w:t>
      </w:r>
    </w:p>
    <w:p>
      <w:pPr>
        <w:spacing w:line="33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主要用于补充、更新校内护理、助产专业的基础护理课程的设备，高级病床、多功能注射模块、智能平板一体机、高级皮内注射模块、高级静脉输液手臂、臀部肌肉注射模型、旋转式桡动脉穿刺手臂模型、高级着装式女性导尿模型，及用于补充、更新护理、助产专业急救护理、外科护理、血液透析课程的设备，婴儿哽塞窒息急救训练模拟人、心肺复苏训练考核器、瘘管造口术护理仿真模型、血液透析模拟人，均是课程教学所需。</w:t>
      </w:r>
    </w:p>
    <w:p>
      <w:pPr>
        <w:spacing w:line="336"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二、主要技术参数：</w:t>
      </w:r>
    </w:p>
    <w:tbl>
      <w:tblPr>
        <w:tblStyle w:val="29"/>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731"/>
        <w:gridCol w:w="5245"/>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2" w:type="dxa"/>
            <w:vAlign w:val="center"/>
          </w:tcPr>
          <w:p>
            <w:pPr>
              <w:widowControl/>
              <w:spacing w:line="336"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731" w:type="dxa"/>
            <w:vAlign w:val="center"/>
          </w:tcPr>
          <w:p>
            <w:pPr>
              <w:widowControl/>
              <w:spacing w:line="336"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名称</w:t>
            </w:r>
          </w:p>
        </w:tc>
        <w:tc>
          <w:tcPr>
            <w:tcW w:w="5245" w:type="dxa"/>
            <w:tcBorders>
              <w:top w:val="single" w:color="000000" w:sz="4" w:space="0"/>
            </w:tcBorders>
            <w:vAlign w:val="center"/>
          </w:tcPr>
          <w:p>
            <w:pPr>
              <w:widowControl/>
              <w:spacing w:line="336"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主要技术需求</w:t>
            </w:r>
          </w:p>
        </w:tc>
        <w:tc>
          <w:tcPr>
            <w:tcW w:w="851" w:type="dxa"/>
            <w:vAlign w:val="center"/>
          </w:tcPr>
          <w:p>
            <w:pPr>
              <w:widowControl/>
              <w:spacing w:line="336"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数量</w:t>
            </w:r>
          </w:p>
        </w:tc>
        <w:tc>
          <w:tcPr>
            <w:tcW w:w="850" w:type="dxa"/>
            <w:vAlign w:val="center"/>
          </w:tcPr>
          <w:p>
            <w:pPr>
              <w:widowControl/>
              <w:spacing w:line="336"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419" w:type="dxa"/>
            <w:gridSpan w:val="5"/>
            <w:vAlign w:val="center"/>
          </w:tcPr>
          <w:p>
            <w:pPr>
              <w:widowControl/>
              <w:spacing w:line="336" w:lineRule="auto"/>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szCs w:val="21"/>
              </w:rPr>
              <w:t>校内护理设备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p>
        </w:tc>
        <w:tc>
          <w:tcPr>
            <w:tcW w:w="1731"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高级病床</w:t>
            </w:r>
          </w:p>
        </w:tc>
        <w:tc>
          <w:tcPr>
            <w:tcW w:w="5245" w:type="dxa"/>
            <w:vAlign w:val="center"/>
          </w:tcPr>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1.ABS床头尾板，可快拆式，四角带一体化可转动的防撞轮。</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2.整体钢板冲孔床面，床框方管尺寸≥30×70×1.5mm（长×宽×厚度），床框四角塑件包角，整床含外包尺寸≥2190×990×480mm。</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两侧带护栏，不锈钢立杆，可以不用螺丝固定，具备护栏快速拆装功能。带翻板餐桌，餐桌放下后置于床尾板后侧，具有缓降放误压功能。托盘式床脚，由四根横向方管加固底盘，配超静音双面轮。前置横杆式脚踏中控锁止系统，通过一次脚踏即可锁止或放开四轮。折叠抽拉式双摇手，具有双向打滑限位之功能，背板可摇高0-75°，腿板可摇高0-40°。</w:t>
            </w:r>
          </w:p>
          <w:p>
            <w:pPr>
              <w:spacing w:line="276" w:lineRule="auto"/>
              <w:ind w:firstLine="420" w:firstLineChars="200"/>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color w:val="000000"/>
                <w:kern w:val="0"/>
                <w:szCs w:val="21"/>
              </w:rPr>
              <w:t>4.带床垫，统一配色为湛蓝色。</w:t>
            </w:r>
          </w:p>
        </w:tc>
        <w:tc>
          <w:tcPr>
            <w:tcW w:w="85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8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2</w:t>
            </w:r>
          </w:p>
        </w:tc>
        <w:tc>
          <w:tcPr>
            <w:tcW w:w="1731"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多功能注射模块</w:t>
            </w:r>
          </w:p>
        </w:tc>
        <w:tc>
          <w:tcPr>
            <w:tcW w:w="5245" w:type="dxa"/>
            <w:vAlign w:val="center"/>
          </w:tcPr>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该模块分为皮肤、皮下组织及肌肉层，可穿戴式设计，增加操作的真实感。三种操作功能:皮内注射.皮下注射.肌内注射。可用液体进行各种注射，使用后可将液体挤干。</w:t>
            </w:r>
          </w:p>
        </w:tc>
        <w:tc>
          <w:tcPr>
            <w:tcW w:w="85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8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3</w:t>
            </w:r>
          </w:p>
        </w:tc>
        <w:tc>
          <w:tcPr>
            <w:tcW w:w="1731"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智能平板一体机</w:t>
            </w:r>
          </w:p>
        </w:tc>
        <w:tc>
          <w:tcPr>
            <w:tcW w:w="5245" w:type="dxa"/>
            <w:vAlign w:val="center"/>
          </w:tcPr>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1.显示屏参数</w:t>
            </w:r>
          </w:p>
          <w:p>
            <w:pPr>
              <w:spacing w:line="276"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kern w:val="0"/>
                <w:szCs w:val="21"/>
              </w:rPr>
              <w:t xml:space="preserve"> </w:t>
            </w:r>
            <w:r>
              <w:rPr>
                <w:rFonts w:hint="eastAsia" w:asciiTheme="minorEastAsia" w:hAnsiTheme="minorEastAsia" w:eastAsiaTheme="minorEastAsia" w:cstheme="minorEastAsia"/>
                <w:kern w:val="0"/>
                <w:szCs w:val="21"/>
              </w:rPr>
              <w:t>尺寸 86英寸；响应时间</w:t>
            </w:r>
            <w:r>
              <w:rPr>
                <w:rFonts w:hint="eastAsia" w:ascii="宋体" w:hAnsi="宋体" w:cs="宋体"/>
              </w:rPr>
              <w:t>≦</w:t>
            </w:r>
            <w:r>
              <w:rPr>
                <w:rFonts w:hint="eastAsia" w:asciiTheme="minorEastAsia" w:hAnsiTheme="minorEastAsia" w:eastAsiaTheme="minorEastAsia" w:cstheme="minorEastAsia"/>
                <w:kern w:val="0"/>
                <w:szCs w:val="21"/>
              </w:rPr>
              <w:t>8ms</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画面比例16:9</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显示区域1895.04(H)×1065.96(M)mm</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分辨率3840(H) ×2160(V)</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像素间距0.4935×0.4935mm</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刷新频率60Hz</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色彩度1.07B(10bit)</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对比度1200:1</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可视角度178°(H/V)</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屏亮度(带玻璃)280cd/m²</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背光类型DLED</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防炫光屏</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寿命≥30000小时</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2.处理器：i5</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3.正版Windows10版本</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4.摄像头：1个，1100万像素</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5.配件：投屏器.智能笔.移动支架</w:t>
            </w:r>
          </w:p>
        </w:tc>
        <w:tc>
          <w:tcPr>
            <w:tcW w:w="85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8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4</w:t>
            </w:r>
          </w:p>
        </w:tc>
        <w:tc>
          <w:tcPr>
            <w:tcW w:w="1731"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高级皮内</w:t>
            </w:r>
          </w:p>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注射模块</w:t>
            </w:r>
          </w:p>
        </w:tc>
        <w:tc>
          <w:tcPr>
            <w:tcW w:w="5245" w:type="dxa"/>
            <w:vAlign w:val="center"/>
          </w:tcPr>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手臂共提供≥8个部位进行皮试练习，有皮试阳性进行对比其中四个部位有不同等级红色皮丘。如果液体注射正确，皮肤上就会出现一个皮丘，抽出液体后这个皮丘就会消失。每个位置可以进行几百次注射练习。</w:t>
            </w:r>
          </w:p>
        </w:tc>
        <w:tc>
          <w:tcPr>
            <w:tcW w:w="85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60</w:t>
            </w:r>
          </w:p>
        </w:tc>
        <w:tc>
          <w:tcPr>
            <w:tcW w:w="8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5</w:t>
            </w:r>
          </w:p>
        </w:tc>
        <w:tc>
          <w:tcPr>
            <w:tcW w:w="1731"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高级静脉</w:t>
            </w:r>
          </w:p>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输液手臂</w:t>
            </w:r>
          </w:p>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（核心产品）</w:t>
            </w:r>
          </w:p>
          <w:p>
            <w:pPr>
              <w:pStyle w:val="2"/>
              <w:ind w:left="3360"/>
              <w:rPr>
                <w:rFonts w:asciiTheme="minorEastAsia" w:hAnsiTheme="minorEastAsia" w:eastAsiaTheme="minorEastAsia" w:cstheme="minorEastAsia"/>
                <w:szCs w:val="21"/>
              </w:rPr>
            </w:pPr>
          </w:p>
          <w:p>
            <w:pPr>
              <w:pStyle w:val="2"/>
              <w:ind w:left="3360"/>
              <w:rPr>
                <w:rFonts w:asciiTheme="minorEastAsia" w:hAnsiTheme="minorEastAsia" w:eastAsiaTheme="minorEastAsia" w:cstheme="minorEastAsia"/>
                <w:szCs w:val="21"/>
              </w:rPr>
            </w:pPr>
          </w:p>
        </w:tc>
        <w:tc>
          <w:tcPr>
            <w:tcW w:w="5245" w:type="dxa"/>
            <w:vAlign w:val="center"/>
          </w:tcPr>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1.模拟亚洲成人手臂，外形逼真，手感柔软，具有逼真的皮肤纹理.血管走形等特征；</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2.可以进行手背静脉网的穿刺.输液操作训练，可穿刺点多，至少具备3条以上可操作血管；</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3.可进行肘部静脉的穿刺.采血.输液操作训练，具有头静脉.肘正中静脉.贵要静脉可供穿刺等操作；</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4.进行手背静脉穿刺和肘部静脉穿刺时，可以分别摆出正确体位；</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5.手背静脉网和肘部静脉穿刺部位血管可以触摸到；进行手背静脉网和肘部静脉穿刺前，必须进行止血带结扎，止血带未结扎或位置不正确，穿刺后无回血；穿刺成功后，松开止血带，可进行连续输液，如未松止血带，无法进行输液；血管耐穿刺，可反复使用；</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6.模型为手臂外形，无外接血袋.水袋或其他容器，方便移动和使用；</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7.在使用者进行穿刺的整个操作过程中，如同在真人身上使用，不需要其他人为干预，无需进行开关.排液.按压等操作；</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8.手臂外皮和内部血管可更换。</w:t>
            </w:r>
          </w:p>
        </w:tc>
        <w:tc>
          <w:tcPr>
            <w:tcW w:w="85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8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6</w:t>
            </w:r>
          </w:p>
        </w:tc>
        <w:tc>
          <w:tcPr>
            <w:tcW w:w="1731"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臀部肌肉</w:t>
            </w:r>
          </w:p>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注射模型</w:t>
            </w:r>
          </w:p>
        </w:tc>
        <w:tc>
          <w:tcPr>
            <w:tcW w:w="5245" w:type="dxa"/>
            <w:vAlign w:val="center"/>
          </w:tcPr>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由半边臀部区域内有注射部位虚线标志.注射模块组成。注射模块可以注射液体方便取出.捏干液体。可模拟肛温测量</w:t>
            </w:r>
          </w:p>
        </w:tc>
        <w:tc>
          <w:tcPr>
            <w:tcW w:w="85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8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7</w:t>
            </w:r>
          </w:p>
        </w:tc>
        <w:tc>
          <w:tcPr>
            <w:tcW w:w="1731"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旋转式桡动脉穿刺手臂模型</w:t>
            </w:r>
          </w:p>
        </w:tc>
        <w:tc>
          <w:tcPr>
            <w:tcW w:w="5245" w:type="dxa"/>
            <w:vAlign w:val="center"/>
          </w:tcPr>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由仿真手部与电子血液循环装置组成，具有真实的血液流动，能触诊桡动脉，手感真实。搏动速度和强弱可以调节。手掌向上，对桡动脉进行穿刺.抽血.输液，穿刺时有明显的落空感，并有回血产生。多次穿刺后针眼不明显。可更换皮肤和动脉血管。</w:t>
            </w:r>
          </w:p>
        </w:tc>
        <w:tc>
          <w:tcPr>
            <w:tcW w:w="85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8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8</w:t>
            </w:r>
          </w:p>
        </w:tc>
        <w:tc>
          <w:tcPr>
            <w:tcW w:w="1731"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高级着装式女性导尿模型</w:t>
            </w:r>
          </w:p>
        </w:tc>
        <w:tc>
          <w:tcPr>
            <w:tcW w:w="5245" w:type="dxa"/>
            <w:vAlign w:val="center"/>
          </w:tcPr>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模拟真实导尿操作训练，外生殖器制作逼真，能够进行真实的导尿和外阴护理操作。通过支架固定，可放在桌上操作.附带防水短裤，可穿戴衣服外面，进行操作，适合2个学员一组练习</w:t>
            </w:r>
          </w:p>
        </w:tc>
        <w:tc>
          <w:tcPr>
            <w:tcW w:w="85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8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19" w:type="dxa"/>
            <w:gridSpan w:val="5"/>
            <w:vAlign w:val="center"/>
          </w:tcPr>
          <w:p>
            <w:pPr>
              <w:spacing w:line="276" w:lineRule="auto"/>
              <w:ind w:firstLine="422" w:firstLineChars="20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
                <w:bCs/>
                <w:color w:val="000000"/>
                <w:kern w:val="0"/>
                <w:szCs w:val="21"/>
              </w:rPr>
              <w:t>校内急救、外科护理设备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p>
        </w:tc>
        <w:tc>
          <w:tcPr>
            <w:tcW w:w="173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婴儿哽塞窒息急救训练模拟人</w:t>
            </w:r>
          </w:p>
        </w:tc>
        <w:tc>
          <w:tcPr>
            <w:tcW w:w="5245" w:type="dxa"/>
            <w:vAlign w:val="center"/>
          </w:tcPr>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1.婴儿整体人，解剖标志明显，可触及胸骨，肋骨和肩胛骨，便于操作定位。</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2.高分子材质，环保无污染，仿真度高。</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3.模型仰卧位，头可后仰，可行胸外按压。可行仰头举颏法、仰头抬颈法、双手抬颌法三种方法打开气道。可行口对口人工呼吸或者使用简易呼吸器辅助呼吸，有效人工呼吸可见胸廓起伏。</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4.可模拟正常的气道阻塞。</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5.可模拟气道贯通时的胸部扩张。 </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6.可模拟窒息，异物阻塞气道等症状。</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7.配有不同形状、大小、性状的异物，可模拟不同程度的呼吸道异物阻塞。</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8.可练习Heimlick （海姆立克）、背部拍击法、胸部手指猛击法。</w:t>
            </w:r>
          </w:p>
        </w:tc>
        <w:tc>
          <w:tcPr>
            <w:tcW w:w="85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8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2</w:t>
            </w:r>
          </w:p>
        </w:tc>
        <w:tc>
          <w:tcPr>
            <w:tcW w:w="1731"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心肺复苏</w:t>
            </w:r>
          </w:p>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训练考核器</w:t>
            </w:r>
          </w:p>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（核心产品）</w:t>
            </w:r>
          </w:p>
        </w:tc>
        <w:tc>
          <w:tcPr>
            <w:tcW w:w="5245" w:type="dxa"/>
            <w:vAlign w:val="center"/>
          </w:tcPr>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1.外置式心肺复苏期胸腔按压测量仪，可适用于任何品牌的心肺复苏模拟人。</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2.用于胸外按压过程中测量和显示按压频率和按压深度等。</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3.采用加速度和压力按压传感技术结合的技术原理，精确监测按压深度、频率、胸腔回弹。</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4.具有实时反馈模式和引导性反馈模式，适用于教学培训，质量评估，现场抢救用途。</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5.10秒钟按压中断显示无活动预警提示。</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6.设备要满足ILCOR, AHA 2020 and ERC 2021指南要求。</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7.提供至少300 分钟或20个心肺复苏术环节的数据储存。</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8.可用蓝牙智能进行数据传输。</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9.可反馈按压充分释放的%，按压频率合适的%，按压深度足够的%，ccf,心肺复苏持续时间等数据。</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10.至少能提供10次约30分钟的心肺复苏术持续供电。</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11.重量较轻、尺寸较小，便于安置于模拟人身上且方便操作，设备具防电击保护。</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12.设备可与免费软件联合使用（或可连接微信小程序），形成按压数据报告，用于操作后反馈及质量提升（设备屏幕可实时反馈按压深度,回弹，按压频率，按压计数，按压中断计时等数据）。</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13.软件要求（或微信小程序）：（1）在纵向模式下获得CPR环节的概述；将手机旋转到一侧，仔细查看每次按压的深度（毫米）、回弹、力（千克）和速率；收缩、放大和缩小以分析特定事件。（2）可分享表现数据的文件夹：用于总结性反馈的环节表现PDF评分卡；分析总结的 Excel 文件；每次按压数据的 Excel 文件。</w:t>
            </w:r>
          </w:p>
        </w:tc>
        <w:tc>
          <w:tcPr>
            <w:tcW w:w="85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p>
        </w:tc>
        <w:tc>
          <w:tcPr>
            <w:tcW w:w="8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3</w:t>
            </w:r>
          </w:p>
        </w:tc>
        <w:tc>
          <w:tcPr>
            <w:tcW w:w="173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瘘管造口术护理仿真模型</w:t>
            </w:r>
          </w:p>
        </w:tc>
        <w:tc>
          <w:tcPr>
            <w:tcW w:w="5245" w:type="dxa"/>
            <w:vAlign w:val="center"/>
          </w:tcPr>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1.模型的结肠造瘘口和回肠造瘘口解剖结构精确，形象逼真，为学生提供了真实的训练环境，可在直立位或侧卧位置上进行操作训练。</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2.结肠造瘘口能进行术后造瘘口扩大练习、造瘘口冲洗练习、安装护理粪便袋和灌肠练习。</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3.回肠造瘘口能进行回肠造口术后管饲训练。</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4.模型采用柔软材质制成，可达到最为真实的感觉。</w:t>
            </w:r>
          </w:p>
        </w:tc>
        <w:tc>
          <w:tcPr>
            <w:tcW w:w="85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8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4</w:t>
            </w:r>
          </w:p>
        </w:tc>
        <w:tc>
          <w:tcPr>
            <w:tcW w:w="173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血液透析</w:t>
            </w:r>
          </w:p>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模拟人</w:t>
            </w:r>
          </w:p>
        </w:tc>
        <w:tc>
          <w:tcPr>
            <w:tcW w:w="5245" w:type="dxa"/>
            <w:vAlign w:val="center"/>
          </w:tcPr>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采用血液泵穿刺连接手臂模型，模拟建立血液循环通路。</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使用穿刺针分别穿刺相关血管可进行血管操作训练。 </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3.血液透析模拟手臂</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4.手球挤压模拟桡动脉搏动</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5.建立动静脉瘘血管通路后，可触摸到血管震颤。</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6.模拟血液循环通路：将血透手臂与血液泵、储液罐、穿刺血管两套装置连接。</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7.可进行血液透析血管穿刺操作训练。</w:t>
            </w:r>
          </w:p>
        </w:tc>
        <w:tc>
          <w:tcPr>
            <w:tcW w:w="85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8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4</w:t>
            </w:r>
          </w:p>
        </w:tc>
      </w:tr>
    </w:tbl>
    <w:p>
      <w:pPr>
        <w:spacing w:line="276" w:lineRule="auto"/>
        <w:ind w:firstLine="422" w:firstLineChars="200"/>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b/>
          <w:szCs w:val="21"/>
        </w:rPr>
        <w:t>三、质量和服务要求：</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1、所供产品必须符合国家标准，设备和配件为全新原装，功能符合使用要求，保证为正规渠道供货的正宗原厂产品。须提供良好的售后服务，终身提供技术支持。</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2、交货期：</w:t>
      </w:r>
    </w:p>
    <w:p>
      <w:pPr>
        <w:spacing w:line="276" w:lineRule="auto"/>
        <w:ind w:firstLine="420" w:firstLineChars="200"/>
        <w:rPr>
          <w:rFonts w:asciiTheme="minorEastAsia" w:hAnsiTheme="minorEastAsia" w:eastAsiaTheme="minorEastAsia" w:cstheme="minorEastAsia"/>
          <w:szCs w:val="21"/>
        </w:rPr>
      </w:pPr>
      <w:r>
        <w:rPr>
          <w:rFonts w:hint="eastAsia" w:ascii="宋体" w:hAnsi="宋体" w:cs="宋体"/>
          <w:szCs w:val="21"/>
        </w:rPr>
        <w:t>2023年9月1日前完成供货、安装调试并通过采购人验收</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3、质保期及服务要求：</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（1）培训及售后服务：现场完成安装、调试之后，由中标方工程师提供免费操作培训。培训内容主要包括设备原理、基本操作要领、设备简易故障排除和维护保养知识等。</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（2）须提供售后服务团队人员名单清单和联系方式。</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（3）质保期：提供至少3年的免费质保期，自验收合格之日起计算。</w:t>
      </w:r>
    </w:p>
    <w:p>
      <w:pPr>
        <w:spacing w:line="276"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在质保期内，若仪器设备因质量或设备本身问题出现故障，由中标方进行免费更换。对于采购人的服务通知，中标方必须在接到通知后4小时内予以响应，若有必要，中标人工程师必须8小时内到达现场，48小时内处理完毕。若在48小时内未能有效解决，中标人须免费提供同档次的设备予采购人临时使用。</w:t>
      </w:r>
    </w:p>
    <w:p>
      <w:pPr>
        <w:spacing w:line="276"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质保期外，服务响应时间与质保期内一致，同时备品备件以合理优惠价格供应。</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4、验收方法及验收标准：</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发运前，必须对设备的质量、规格、性能等方面的技术数据进行综合检验，需随设备提供检验合格证书和原产地证明书。设备现场安装、调试结束后，中标方和采购方相关人员按验收标准进行验收。验收标准为招标文件、投标文件、合同中的相关技术及服务条款内容。</w:t>
      </w: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336" w:lineRule="auto"/>
        <w:rPr>
          <w:rFonts w:ascii="宋体" w:hAnsi="宋体" w:cs="宋体"/>
          <w:b/>
          <w:kern w:val="0"/>
          <w:sz w:val="24"/>
        </w:rPr>
      </w:pPr>
    </w:p>
    <w:p>
      <w:pPr>
        <w:spacing w:line="276" w:lineRule="auto"/>
        <w:rPr>
          <w:rFonts w:ascii="宋体" w:hAnsi="宋体" w:cs="宋体"/>
          <w:b/>
          <w:kern w:val="0"/>
          <w:sz w:val="24"/>
        </w:rPr>
      </w:pPr>
      <w:r>
        <w:rPr>
          <w:rFonts w:hint="eastAsia" w:ascii="宋体" w:hAnsi="宋体" w:cs="宋体"/>
          <w:b/>
          <w:kern w:val="0"/>
          <w:sz w:val="24"/>
        </w:rPr>
        <w:t>采购包二：新生儿复苏力反馈虚实结合教学系统</w:t>
      </w:r>
    </w:p>
    <w:p>
      <w:pPr>
        <w:pStyle w:val="40"/>
        <w:numPr>
          <w:ilvl w:val="0"/>
          <w:numId w:val="6"/>
        </w:numPr>
        <w:spacing w:line="276" w:lineRule="auto"/>
        <w:ind w:firstLineChars="0"/>
        <w:rPr>
          <w:rFonts w:ascii="宋体" w:hAnsi="宋体"/>
          <w:b/>
          <w:sz w:val="24"/>
          <w:szCs w:val="24"/>
        </w:rPr>
      </w:pPr>
      <w:r>
        <w:rPr>
          <w:rFonts w:hint="eastAsia" w:ascii="宋体" w:hAnsi="宋体"/>
          <w:b/>
          <w:sz w:val="24"/>
          <w:szCs w:val="24"/>
        </w:rPr>
        <w:t>项目内容：</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通过新生儿模拟人和电脑连接，通过操作者实施在模拟人身上的操作，传感器自动发送实时按压深度和挤压力度以及开放气道数据，系统会自动分析操作者按压的深度和挤压力度以及开放气道数据范围，并判断操作者操作是否有效。并且在3D虚拟软件界面显示操作的操作数据和模拟新生儿胸廓起伏，例如按压深度、按压位置、按压时间、按压频率、挤压力度、挤压有效次数等，最后进行操作统计。设备与学校现有的平台能融合。</w:t>
      </w:r>
    </w:p>
    <w:p>
      <w:pPr>
        <w:pStyle w:val="40"/>
        <w:spacing w:line="276" w:lineRule="auto"/>
        <w:ind w:left="482" w:firstLine="0" w:firstLineChars="0"/>
        <w:rPr>
          <w:rFonts w:ascii="宋体" w:hAnsi="宋体"/>
          <w:b/>
          <w:sz w:val="24"/>
          <w:szCs w:val="24"/>
        </w:rPr>
      </w:pPr>
      <w:r>
        <w:rPr>
          <w:rFonts w:hint="eastAsia" w:ascii="宋体" w:hAnsi="宋体"/>
          <w:b/>
          <w:sz w:val="24"/>
          <w:szCs w:val="24"/>
        </w:rPr>
        <w:t>二、主要技术参数：</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1.新生儿急救：完整、清楚、准确地展示新生儿急救复苏的具体操作流程。</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2.文字及语音说明复苏人员组成和工作的分配。</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3.能依次呈现复苏设备，设备和仪器齐全。</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4.具体操作导练</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快速评估：图片、文字、语音说明羊水清澈、胎粪污染的Ⅰ度、Ⅱ度、Ⅲ度内容、动画和语音说明呼吸或哭声的正常、无、微弱、不规则等内容、动画及语音说明肌张力判断为健康足月新生儿、病儿及早产儿。</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（2）仿真软件三维展示保持体温、摆正体位、清理气道、擦干全身、刺激呼吸内容。每一步均有图片语音提示。</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3）插入喉镜及撤出喉镜：对新生儿模拟人直接进行插入喉镜及撤出喉镜的操作。仿真软件实时显示插入喉镜及撤出喉镜的具体位置的动态过程。插入喉镜过程可以实时看到喉镜口腔内部可视清晰的解剖结构（如舌头、会厌软骨、气管入口、食管入口等）。 </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（4）气管插管：对新生儿模拟人直接进行气管插管操作，仿真软件实时互动显示气管插管的具体位置。当插入位置不正确时进行错误提示。 </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5）正压通气：依次三维呈现氧饱和度检测、通气方式、矫正通气、喉罩气道。每一步均有语音提示。在通气过程中可清楚看见新生儿在通气过程中胸腔的起伏变化。操作者先开放气道操作，同时软件同步新生儿开放气道，操作者对新生儿模拟人正压通气，模拟人胸廓会有起伏，当操作者对新生儿模拟人进行球囊面罩通气时，新生儿模拟人球囊面罩通气数据（气量、通气频率）实时传输到仿真软件中，球囊面罩通气的数据通过三种颜色的气量条（气量小于20ml过低、气量为20-50ml正确、气量大于50ml为过大）显示，通气频率正确范围40－60次/分。</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（6）胸外按压： 依次三维虚拟仿真展示拇指法、双指法内容并用文字说明按压位置和注意事项。也可通过点击透视视角或剖视视角来查看。当操作者按压新生儿模拟人时，按压数据实时传输到三维仿真软件中，通过分析数据得到按压位置、按压深度、按压频率的数据，按压位置错误时能够进行语音提示，按压的深度通过三种颜色的力度条（按压小于1cm太轻、按压力度为1-2cm正确、按压力度大于3cm过重）显示，如果按压过大过着过小都会出现语音提示，便于控制自己的按压力度。类似成人心肺复苏模型。</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7）统计：抢救结束后系统能够记录并统计分析出抢救过程具体情况，包括：按压次数（正确次数、错误次数、正确率）；配合正压通气次数（正确次数，错误次数、正确率）。类似成人心肺复苏模型。新生儿模型有反应（正确操作新生儿复苏后，新生儿模拟人会自行呼吸并自动产生脉搏，新生儿模型胸部会自动起伏，可以用手触摸新生儿模拟人的肱动脉处感受到脉搏的搏动。同时软件中的虚拟新生儿有反应）。</w:t>
      </w:r>
    </w:p>
    <w:p>
      <w:pPr>
        <w:spacing w:line="276" w:lineRule="auto"/>
        <w:ind w:firstLine="422" w:firstLineChars="200"/>
        <w:rPr>
          <w:rFonts w:asciiTheme="minorEastAsia" w:hAnsiTheme="minorEastAsia" w:eastAsiaTheme="minorEastAsia" w:cstheme="minorEastAsia"/>
          <w:b/>
          <w:bCs/>
          <w:color w:val="FF0000"/>
          <w:szCs w:val="21"/>
        </w:rPr>
      </w:pPr>
      <w:bookmarkStart w:id="177" w:name="_Toc122338097"/>
      <w:r>
        <w:rPr>
          <w:rFonts w:hint="eastAsia" w:asciiTheme="minorEastAsia" w:hAnsiTheme="minorEastAsia" w:eastAsiaTheme="minorEastAsia" w:cstheme="minorEastAsia"/>
          <w:b/>
          <w:szCs w:val="21"/>
        </w:rPr>
        <w:t>三、质量和服务要求：</w:t>
      </w:r>
    </w:p>
    <w:p>
      <w:pPr>
        <w:spacing w:line="276"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1、所供产品必须符合国家标准，设备和配件为全新原装，功能符合使用要求，保证为正规渠道供货的正宗原厂产品。须提供良好的售后服务，终身提供技术支持。</w:t>
      </w:r>
    </w:p>
    <w:p>
      <w:pPr>
        <w:spacing w:line="276"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2、交货期：</w:t>
      </w:r>
    </w:p>
    <w:p>
      <w:pPr>
        <w:spacing w:line="276" w:lineRule="auto"/>
        <w:ind w:firstLine="420" w:firstLineChars="200"/>
        <w:rPr>
          <w:rFonts w:asciiTheme="minorEastAsia" w:hAnsiTheme="minorEastAsia" w:cstheme="minorEastAsia"/>
          <w:bCs/>
          <w:szCs w:val="21"/>
        </w:rPr>
      </w:pPr>
      <w:r>
        <w:rPr>
          <w:rFonts w:hint="eastAsia" w:ascii="宋体" w:hAnsi="宋体" w:cs="宋体"/>
          <w:bCs/>
          <w:szCs w:val="21"/>
        </w:rPr>
        <w:t>2023年10月1日前完成供货、安装调试并通过采购人验收。</w:t>
      </w:r>
    </w:p>
    <w:p>
      <w:pPr>
        <w:spacing w:line="276"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3、质保期及服务要求：</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（1）培训及售后服务：现场完成安装、调试之后，由中标方工程师提供免费操作培训。培训内容主要包括设备原理、基本操作要领、设备简易故障排除和维护保养知识等。</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（2）须提供售后服务团队人员名单清单和联系方式。</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（3）质保期：提供至少3年的免费质保期，自验收合格之日起计算。</w:t>
      </w:r>
    </w:p>
    <w:p>
      <w:pPr>
        <w:spacing w:line="276"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在质保期内，若仪器设备因质量或设备本身问题出现故障，由中标方进行免费更换。对于采购人的服务通知，中标方必须在接到通知后4小时内予以响应，若有必要，中标人工程师必须8小时内到达现场，48小时内处理完毕。若在48小时内未能有效解决，中标人须免费提供同档次的设备予采购人临时使用。</w:t>
      </w:r>
    </w:p>
    <w:p>
      <w:pPr>
        <w:spacing w:line="276"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质保期外，服务响应时间与质保期内一致，同时备品备件以合理优惠价格供应。</w:t>
      </w:r>
    </w:p>
    <w:p>
      <w:pPr>
        <w:spacing w:line="276"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4、验收方法及验收标准：</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发运前，必须对设备的质量、规格、性能等方面的技术数据进行综合检验，需随设备提供检验合格证书和原产地证明书。设备现场安装、调试结束后，中标方和采购方相关人员按验收标准进行验收。验收标准为招标文件、投标文件、合同中的相关技术及服务条款内容。</w:t>
      </w:r>
    </w:p>
    <w:p>
      <w:pPr>
        <w:spacing w:line="276"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pStyle w:val="2"/>
        <w:ind w:left="3360"/>
      </w:pPr>
    </w:p>
    <w:p/>
    <w:p>
      <w:pPr>
        <w:pStyle w:val="2"/>
        <w:ind w:left="3360"/>
      </w:pPr>
    </w:p>
    <w:p/>
    <w:p>
      <w:pPr>
        <w:pStyle w:val="2"/>
        <w:ind w:left="3360"/>
      </w:pPr>
    </w:p>
    <w:p/>
    <w:p>
      <w:pPr>
        <w:pStyle w:val="2"/>
        <w:ind w:left="3360"/>
      </w:pPr>
    </w:p>
    <w:p/>
    <w:p>
      <w:pPr>
        <w:pStyle w:val="2"/>
        <w:ind w:left="3360"/>
      </w:pPr>
    </w:p>
    <w:p/>
    <w:p>
      <w:pPr>
        <w:pStyle w:val="2"/>
        <w:ind w:left="3360"/>
      </w:pPr>
    </w:p>
    <w:p/>
    <w:p>
      <w:pPr>
        <w:pStyle w:val="2"/>
        <w:ind w:left="3360"/>
      </w:pPr>
    </w:p>
    <w:p>
      <w:pPr>
        <w:spacing w:line="360" w:lineRule="auto"/>
        <w:jc w:val="center"/>
        <w:outlineLvl w:val="1"/>
        <w:rPr>
          <w:rFonts w:ascii="宋体" w:hAnsi="宋体" w:cs="宋体"/>
          <w:b/>
          <w:color w:val="000000"/>
          <w:sz w:val="28"/>
          <w:szCs w:val="28"/>
          <w:highlight w:val="yellow"/>
        </w:rPr>
      </w:pPr>
      <w:r>
        <w:rPr>
          <w:rFonts w:hint="eastAsia" w:ascii="宋体" w:hAnsi="宋体" w:cs="宋体"/>
          <w:b/>
          <w:color w:val="000000"/>
          <w:sz w:val="28"/>
          <w:szCs w:val="28"/>
          <w:highlight w:val="yellow"/>
        </w:rPr>
        <w:t>第二项 政府采购合同（拟签订的合同文本）</w:t>
      </w:r>
      <w:bookmarkEnd w:id="177"/>
    </w:p>
    <w:p>
      <w:pPr>
        <w:spacing w:line="400" w:lineRule="exact"/>
        <w:jc w:val="center"/>
        <w:rPr>
          <w:rFonts w:ascii="黑体" w:hAnsi="黑体" w:eastAsia="黑体" w:cs="Arial Unicode MS"/>
          <w:color w:val="000000"/>
          <w:sz w:val="28"/>
          <w:szCs w:val="32"/>
          <w:highlight w:val="yellow"/>
        </w:rPr>
      </w:pPr>
      <w:r>
        <w:rPr>
          <w:rFonts w:hint="eastAsia" w:ascii="黑体" w:hAnsi="黑体" w:eastAsia="黑体" w:cs="Arial Unicode MS"/>
          <w:color w:val="000000"/>
          <w:sz w:val="28"/>
          <w:szCs w:val="32"/>
          <w:highlight w:val="yellow"/>
        </w:rPr>
        <w:t>货物采购合同</w:t>
      </w:r>
    </w:p>
    <w:p>
      <w:pPr>
        <w:spacing w:line="360" w:lineRule="auto"/>
        <w:jc w:val="center"/>
        <w:rPr>
          <w:rFonts w:ascii="宋体" w:hAnsi="宋体" w:cs="宋体"/>
          <w:b/>
          <w:color w:val="000000"/>
          <w:sz w:val="28"/>
          <w:szCs w:val="28"/>
        </w:rPr>
      </w:pPr>
      <w:bookmarkStart w:id="178" w:name="_Toc122338098"/>
    </w:p>
    <w:p>
      <w:pPr>
        <w:spacing w:line="400" w:lineRule="exact"/>
        <w:rPr>
          <w:rFonts w:ascii="宋体" w:cs="Arial Unicode MS"/>
          <w:color w:val="000000"/>
          <w:szCs w:val="21"/>
        </w:rPr>
      </w:pPr>
      <w:r>
        <w:rPr>
          <w:rFonts w:hint="eastAsia" w:ascii="宋体" w:hAnsi="宋体" w:cs="Arial Unicode MS"/>
          <w:color w:val="000000"/>
          <w:szCs w:val="21"/>
        </w:rPr>
        <w:t>甲方</w:t>
      </w:r>
      <w:r>
        <w:rPr>
          <w:rFonts w:ascii="宋体" w:hAnsi="宋体" w:cs="Arial Unicode MS"/>
          <w:color w:val="000000"/>
          <w:szCs w:val="21"/>
        </w:rPr>
        <w:t>(</w:t>
      </w:r>
      <w:r>
        <w:rPr>
          <w:rFonts w:hint="eastAsia" w:ascii="宋体" w:hAnsi="宋体" w:cs="Arial Unicode MS"/>
          <w:color w:val="000000"/>
          <w:szCs w:val="21"/>
        </w:rPr>
        <w:t>需方</w:t>
      </w:r>
      <w:r>
        <w:rPr>
          <w:rFonts w:ascii="宋体" w:hAnsi="宋体" w:cs="Arial Unicode MS"/>
          <w:color w:val="000000"/>
          <w:szCs w:val="21"/>
        </w:rPr>
        <w:t>):</w:t>
      </w:r>
      <w:r>
        <w:rPr>
          <w:rFonts w:ascii="宋体" w:hAnsi="宋体" w:cs="Arial Unicode MS"/>
          <w:color w:val="000000"/>
          <w:szCs w:val="21"/>
          <w:u w:val="single"/>
        </w:rPr>
        <w:t xml:space="preserve"> </w:t>
      </w:r>
      <w:r>
        <w:rPr>
          <w:rFonts w:hint="eastAsia" w:ascii="宋体" w:hAnsi="宋体" w:cs="Arial Unicode MS"/>
          <w:color w:val="000000"/>
          <w:szCs w:val="21"/>
          <w:u w:val="single"/>
        </w:rPr>
        <w:t xml:space="preserve">江苏医药职业学院 </w:t>
      </w:r>
    </w:p>
    <w:p>
      <w:pPr>
        <w:spacing w:line="400" w:lineRule="exact"/>
        <w:rPr>
          <w:rFonts w:ascii="宋体" w:hAnsi="宋体" w:cs="Arial Unicode MS"/>
          <w:color w:val="000000"/>
          <w:szCs w:val="21"/>
        </w:rPr>
      </w:pPr>
      <w:r>
        <w:rPr>
          <w:rFonts w:hint="eastAsia" w:ascii="宋体" w:hAnsi="宋体" w:cs="Arial Unicode MS"/>
          <w:color w:val="000000"/>
          <w:szCs w:val="21"/>
        </w:rPr>
        <w:t>乙方</w:t>
      </w:r>
      <w:r>
        <w:rPr>
          <w:rFonts w:ascii="宋体" w:hAnsi="宋体" w:cs="Arial Unicode MS"/>
          <w:color w:val="000000"/>
          <w:szCs w:val="21"/>
        </w:rPr>
        <w:t>(</w:t>
      </w:r>
      <w:r>
        <w:rPr>
          <w:rFonts w:hint="eastAsia" w:ascii="宋体" w:hAnsi="宋体" w:cs="Arial Unicode MS"/>
          <w:color w:val="000000"/>
          <w:szCs w:val="21"/>
        </w:rPr>
        <w:t>供方</w:t>
      </w:r>
      <w:r>
        <w:rPr>
          <w:rFonts w:ascii="宋体" w:hAnsi="宋体" w:cs="Arial Unicode MS"/>
          <w:color w:val="000000"/>
          <w:szCs w:val="21"/>
        </w:rPr>
        <w:t>):</w:t>
      </w:r>
      <w:r>
        <w:rPr>
          <w:rFonts w:ascii="宋体" w:hAnsi="宋体" w:cs="Arial Unicode MS"/>
          <w:color w:val="000000"/>
          <w:szCs w:val="21"/>
          <w:u w:val="single"/>
        </w:rPr>
        <w:t xml:space="preserve">                 </w:t>
      </w:r>
      <w:r>
        <w:rPr>
          <w:rFonts w:hint="eastAsia" w:ascii="宋体" w:hAnsi="宋体" w:cs="Arial Unicode MS"/>
          <w:color w:val="000000"/>
          <w:szCs w:val="21"/>
        </w:rPr>
        <w:t xml:space="preserve"> </w:t>
      </w:r>
    </w:p>
    <w:p>
      <w:pPr>
        <w:spacing w:before="312" w:beforeLines="100" w:line="276" w:lineRule="auto"/>
        <w:ind w:firstLine="420" w:firstLineChars="200"/>
        <w:jc w:val="left"/>
        <w:rPr>
          <w:rFonts w:ascii="宋体" w:cs="Arial Unicode MS"/>
          <w:color w:val="000000"/>
          <w:szCs w:val="21"/>
        </w:rPr>
      </w:pPr>
      <w:r>
        <w:rPr>
          <w:rFonts w:hint="eastAsia" w:ascii="宋体" w:hAnsi="宋体" w:cs="Arial Unicode MS"/>
          <w:color w:val="000000"/>
          <w:szCs w:val="21"/>
        </w:rPr>
        <w:t>为了维护甲、乙双方合法权益，根据《中华人民共和国民法典》和江苏医药职业学院项目名称的采购文件、响应文件及其在采购过程中的承诺，经双方协商，同意签定本合同，共同遵守。</w:t>
      </w:r>
    </w:p>
    <w:p>
      <w:pPr>
        <w:autoSpaceDE w:val="0"/>
        <w:autoSpaceDN w:val="0"/>
        <w:adjustRightInd w:val="0"/>
        <w:spacing w:line="400" w:lineRule="exact"/>
        <w:ind w:firstLine="422" w:firstLineChars="200"/>
        <w:rPr>
          <w:rFonts w:ascii="宋体" w:hAnsi="宋体" w:cs="仿宋"/>
          <w:b/>
          <w:bCs/>
          <w:color w:val="000000"/>
          <w:szCs w:val="21"/>
        </w:rPr>
      </w:pPr>
      <w:r>
        <w:rPr>
          <w:rFonts w:hint="eastAsia" w:ascii="宋体" w:hAnsi="宋体" w:cs="仿宋"/>
          <w:b/>
          <w:bCs/>
          <w:color w:val="000000"/>
          <w:szCs w:val="21"/>
        </w:rPr>
        <w:t>一、合同文件</w:t>
      </w:r>
    </w:p>
    <w:p>
      <w:pPr>
        <w:autoSpaceDE w:val="0"/>
        <w:autoSpaceDN w:val="0"/>
        <w:adjustRightInd w:val="0"/>
        <w:spacing w:line="400" w:lineRule="exact"/>
        <w:ind w:firstLine="420" w:firstLineChars="200"/>
        <w:rPr>
          <w:rFonts w:ascii="宋体" w:hAnsi="宋体" w:cs="仿宋"/>
          <w:color w:val="000000"/>
          <w:szCs w:val="21"/>
        </w:rPr>
      </w:pPr>
      <w:r>
        <w:rPr>
          <w:rFonts w:hint="eastAsia" w:ascii="宋体" w:hAnsi="宋体" w:cs="仿宋"/>
          <w:color w:val="000000"/>
          <w:szCs w:val="21"/>
          <w:lang w:val="zh-CN"/>
        </w:rPr>
        <w:t>本合同所附下列文件资料为本合同不可分割的部分：</w:t>
      </w:r>
    </w:p>
    <w:p>
      <w:pPr>
        <w:autoSpaceDE w:val="0"/>
        <w:autoSpaceDN w:val="0"/>
        <w:adjustRightInd w:val="0"/>
        <w:spacing w:line="400" w:lineRule="exact"/>
        <w:ind w:firstLine="420" w:firstLineChars="200"/>
        <w:rPr>
          <w:rFonts w:ascii="宋体" w:hAnsi="宋体" w:cs="仿宋"/>
          <w:color w:val="000000"/>
          <w:szCs w:val="21"/>
          <w:lang w:val="zh-CN"/>
        </w:rPr>
      </w:pPr>
      <w:r>
        <w:rPr>
          <w:rFonts w:hint="eastAsia" w:ascii="宋体" w:hAnsi="宋体" w:cs="仿宋"/>
          <w:color w:val="000000"/>
          <w:szCs w:val="21"/>
          <w:lang w:val="zh-CN"/>
        </w:rPr>
        <w:t>1、政府采购招标文件（包括澄清、修改）；</w:t>
      </w:r>
    </w:p>
    <w:p>
      <w:pPr>
        <w:autoSpaceDE w:val="0"/>
        <w:autoSpaceDN w:val="0"/>
        <w:adjustRightInd w:val="0"/>
        <w:spacing w:line="400" w:lineRule="exact"/>
        <w:ind w:firstLine="420" w:firstLineChars="200"/>
        <w:rPr>
          <w:rFonts w:ascii="宋体" w:hAnsi="宋体" w:cs="仿宋"/>
          <w:color w:val="000000"/>
          <w:szCs w:val="21"/>
          <w:lang w:val="zh-CN"/>
        </w:rPr>
      </w:pPr>
      <w:r>
        <w:rPr>
          <w:rFonts w:hint="eastAsia" w:ascii="宋体" w:hAnsi="宋体" w:cs="仿宋"/>
          <w:color w:val="000000"/>
          <w:szCs w:val="21"/>
          <w:lang w:val="zh-CN"/>
        </w:rPr>
        <w:t>2、乙方投标文件；</w:t>
      </w:r>
    </w:p>
    <w:p>
      <w:pPr>
        <w:autoSpaceDE w:val="0"/>
        <w:autoSpaceDN w:val="0"/>
        <w:adjustRightInd w:val="0"/>
        <w:spacing w:line="400" w:lineRule="exact"/>
        <w:ind w:firstLine="420" w:firstLineChars="200"/>
        <w:rPr>
          <w:rFonts w:ascii="宋体" w:hAnsi="宋体" w:cs="仿宋"/>
          <w:color w:val="000000"/>
          <w:szCs w:val="21"/>
          <w:lang w:val="zh-CN"/>
        </w:rPr>
      </w:pPr>
      <w:r>
        <w:rPr>
          <w:rFonts w:hint="eastAsia" w:ascii="宋体" w:hAnsi="宋体" w:cs="仿宋"/>
          <w:color w:val="000000"/>
          <w:szCs w:val="21"/>
          <w:lang w:val="zh-CN"/>
        </w:rPr>
        <w:t>3、中标（成交）通知书；</w:t>
      </w:r>
    </w:p>
    <w:p>
      <w:pPr>
        <w:autoSpaceDE w:val="0"/>
        <w:autoSpaceDN w:val="0"/>
        <w:adjustRightInd w:val="0"/>
        <w:spacing w:line="400" w:lineRule="exact"/>
        <w:ind w:firstLine="420" w:firstLineChars="200"/>
        <w:rPr>
          <w:rFonts w:ascii="宋体" w:hAnsi="宋体" w:cs="仿宋"/>
          <w:color w:val="000000"/>
          <w:szCs w:val="21"/>
          <w:lang w:val="zh-CN"/>
        </w:rPr>
      </w:pPr>
      <w:r>
        <w:rPr>
          <w:rFonts w:hint="eastAsia" w:ascii="宋体" w:hAnsi="宋体" w:cs="仿宋"/>
          <w:color w:val="000000"/>
          <w:szCs w:val="21"/>
          <w:lang w:val="zh-CN"/>
        </w:rPr>
        <w:t>4、中标人在评标过程中做出的有关澄清、说明、承诺或者补正文件；</w:t>
      </w:r>
    </w:p>
    <w:p>
      <w:pPr>
        <w:autoSpaceDE w:val="0"/>
        <w:autoSpaceDN w:val="0"/>
        <w:adjustRightInd w:val="0"/>
        <w:spacing w:line="400" w:lineRule="exact"/>
        <w:ind w:firstLine="420" w:firstLineChars="200"/>
        <w:rPr>
          <w:rFonts w:ascii="宋体" w:hAnsi="宋体" w:cs="仿宋"/>
          <w:color w:val="000000"/>
          <w:szCs w:val="21"/>
          <w:lang w:val="zh-CN"/>
        </w:rPr>
      </w:pPr>
      <w:r>
        <w:rPr>
          <w:rFonts w:hint="eastAsia" w:ascii="宋体" w:hAnsi="宋体" w:cs="仿宋"/>
          <w:color w:val="000000"/>
          <w:szCs w:val="21"/>
          <w:lang w:val="zh-CN"/>
        </w:rPr>
        <w:t>5、政府采购委托协议书。</w:t>
      </w:r>
    </w:p>
    <w:p>
      <w:pPr>
        <w:autoSpaceDE w:val="0"/>
        <w:autoSpaceDN w:val="0"/>
        <w:adjustRightInd w:val="0"/>
        <w:spacing w:line="400" w:lineRule="exact"/>
        <w:ind w:firstLine="422" w:firstLineChars="200"/>
        <w:rPr>
          <w:rFonts w:ascii="宋体" w:hAnsi="宋体" w:cs="仿宋"/>
          <w:color w:val="000000"/>
          <w:szCs w:val="21"/>
        </w:rPr>
      </w:pPr>
      <w:r>
        <w:rPr>
          <w:rFonts w:hint="eastAsia" w:ascii="宋体" w:hAnsi="宋体" w:cs="仿宋"/>
          <w:b/>
          <w:bCs/>
          <w:color w:val="000000"/>
          <w:szCs w:val="21"/>
        </w:rPr>
        <w:t>二、合同范围和条件</w:t>
      </w:r>
    </w:p>
    <w:p>
      <w:pPr>
        <w:autoSpaceDE w:val="0"/>
        <w:autoSpaceDN w:val="0"/>
        <w:adjustRightInd w:val="0"/>
        <w:spacing w:line="400" w:lineRule="exact"/>
        <w:ind w:firstLine="420" w:firstLineChars="200"/>
        <w:rPr>
          <w:rFonts w:ascii="宋体" w:hAnsi="宋体" w:cs="仿宋"/>
          <w:color w:val="000000"/>
          <w:szCs w:val="21"/>
          <w:lang w:val="zh-CN"/>
        </w:rPr>
      </w:pPr>
      <w:r>
        <w:rPr>
          <w:rFonts w:hint="eastAsia" w:ascii="宋体" w:hAnsi="宋体" w:cs="仿宋"/>
          <w:color w:val="000000"/>
          <w:szCs w:val="21"/>
          <w:lang w:val="zh-CN"/>
        </w:rPr>
        <w:t>本合同的范围和条件应与上述合同文件的规定相一致。</w:t>
      </w:r>
    </w:p>
    <w:p>
      <w:pPr>
        <w:pStyle w:val="28"/>
        <w:spacing w:line="276" w:lineRule="auto"/>
        <w:ind w:firstLine="42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t>三、采购内容、价格及采购清单：</w:t>
      </w:r>
      <w:r>
        <w:rPr>
          <w:rFonts w:asciiTheme="minorEastAsia" w:hAnsiTheme="minorEastAsia" w:eastAsiaTheme="minorEastAsia" w:cstheme="minorEastAsia"/>
          <w:color w:val="000000"/>
          <w:sz w:val="21"/>
          <w:szCs w:val="21"/>
        </w:rPr>
        <w:t xml:space="preserve"> </w:t>
      </w:r>
    </w:p>
    <w:tbl>
      <w:tblPr>
        <w:tblStyle w:val="29"/>
        <w:tblW w:w="10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6"/>
        <w:gridCol w:w="751"/>
        <w:gridCol w:w="1918"/>
        <w:gridCol w:w="1360"/>
        <w:gridCol w:w="679"/>
        <w:gridCol w:w="709"/>
        <w:gridCol w:w="709"/>
        <w:gridCol w:w="962"/>
        <w:gridCol w:w="850"/>
        <w:gridCol w:w="851"/>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序号</w:t>
            </w:r>
          </w:p>
        </w:tc>
        <w:tc>
          <w:tcPr>
            <w:tcW w:w="2685" w:type="dxa"/>
            <w:gridSpan w:val="3"/>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采购货物名称</w:t>
            </w:r>
          </w:p>
        </w:tc>
        <w:tc>
          <w:tcPr>
            <w:tcW w:w="1360"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品牌/型号</w:t>
            </w:r>
          </w:p>
        </w:tc>
        <w:tc>
          <w:tcPr>
            <w:tcW w:w="679"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厂商</w:t>
            </w:r>
          </w:p>
        </w:tc>
        <w:tc>
          <w:tcPr>
            <w:tcW w:w="709"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产地</w:t>
            </w:r>
          </w:p>
        </w:tc>
        <w:tc>
          <w:tcPr>
            <w:tcW w:w="709"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数量</w:t>
            </w:r>
          </w:p>
        </w:tc>
        <w:tc>
          <w:tcPr>
            <w:tcW w:w="962"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单价</w:t>
            </w:r>
          </w:p>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（元）</w:t>
            </w:r>
          </w:p>
        </w:tc>
        <w:tc>
          <w:tcPr>
            <w:tcW w:w="850"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总价</w:t>
            </w:r>
          </w:p>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（元）</w:t>
            </w:r>
          </w:p>
        </w:tc>
        <w:tc>
          <w:tcPr>
            <w:tcW w:w="851"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免费</w:t>
            </w:r>
          </w:p>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质保期</w:t>
            </w:r>
          </w:p>
        </w:tc>
        <w:tc>
          <w:tcPr>
            <w:tcW w:w="768"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交货</w:t>
            </w:r>
          </w:p>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93"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2685" w:type="dxa"/>
            <w:gridSpan w:val="3"/>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tc>
        <w:tc>
          <w:tcPr>
            <w:tcW w:w="1360"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tc>
        <w:tc>
          <w:tcPr>
            <w:tcW w:w="679" w:type="dxa"/>
          </w:tcPr>
          <w:p>
            <w:pPr>
              <w:spacing w:line="360" w:lineRule="auto"/>
              <w:jc w:val="center"/>
              <w:rPr>
                <w:rFonts w:asciiTheme="minorEastAsia" w:hAnsiTheme="minorEastAsia" w:eastAsiaTheme="minorEastAsia" w:cstheme="minorEastAsia"/>
                <w:color w:val="000000"/>
                <w:szCs w:val="21"/>
              </w:rPr>
            </w:pPr>
          </w:p>
        </w:tc>
        <w:tc>
          <w:tcPr>
            <w:tcW w:w="709" w:type="dxa"/>
          </w:tcPr>
          <w:p>
            <w:pPr>
              <w:jc w:val="center"/>
              <w:rPr>
                <w:rFonts w:asciiTheme="minorEastAsia" w:hAnsiTheme="minorEastAsia" w:eastAsiaTheme="minorEastAsia" w:cstheme="minorEastAsia"/>
                <w:b/>
                <w:color w:val="000000"/>
                <w:szCs w:val="21"/>
              </w:rPr>
            </w:pPr>
          </w:p>
        </w:tc>
        <w:tc>
          <w:tcPr>
            <w:tcW w:w="709"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tc>
        <w:tc>
          <w:tcPr>
            <w:tcW w:w="962"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tc>
        <w:tc>
          <w:tcPr>
            <w:tcW w:w="850" w:type="dxa"/>
          </w:tcPr>
          <w:p>
            <w:pPr>
              <w:spacing w:line="360" w:lineRule="auto"/>
              <w:jc w:val="center"/>
              <w:rPr>
                <w:rFonts w:asciiTheme="minorEastAsia" w:hAnsiTheme="minorEastAsia" w:eastAsiaTheme="minorEastAsia" w:cstheme="minorEastAsia"/>
                <w:color w:val="000000"/>
                <w:szCs w:val="21"/>
              </w:rPr>
            </w:pPr>
          </w:p>
        </w:tc>
        <w:tc>
          <w:tcPr>
            <w:tcW w:w="851" w:type="dxa"/>
            <w:vAlign w:val="center"/>
          </w:tcPr>
          <w:p>
            <w:pPr>
              <w:spacing w:line="360" w:lineRule="auto"/>
              <w:jc w:val="center"/>
              <w:rPr>
                <w:rFonts w:asciiTheme="minorEastAsia" w:hAnsiTheme="minorEastAsia" w:eastAsiaTheme="minorEastAsia" w:cstheme="minorEastAsia"/>
                <w:color w:val="000000"/>
                <w:szCs w:val="21"/>
              </w:rPr>
            </w:pPr>
          </w:p>
        </w:tc>
        <w:tc>
          <w:tcPr>
            <w:tcW w:w="768" w:type="dxa"/>
            <w:vAlign w:val="center"/>
          </w:tcPr>
          <w:p>
            <w:pPr>
              <w:spacing w:line="360" w:lineRule="auto"/>
              <w:jc w:val="center"/>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2685" w:type="dxa"/>
            <w:gridSpan w:val="3"/>
            <w:vAlign w:val="center"/>
          </w:tcPr>
          <w:p>
            <w:pPr>
              <w:spacing w:line="360" w:lineRule="auto"/>
              <w:jc w:val="center"/>
              <w:rPr>
                <w:rFonts w:asciiTheme="minorEastAsia" w:hAnsiTheme="minorEastAsia" w:eastAsiaTheme="minorEastAsia" w:cstheme="minorEastAsia"/>
                <w:color w:val="000000"/>
                <w:szCs w:val="21"/>
              </w:rPr>
            </w:pPr>
          </w:p>
        </w:tc>
        <w:tc>
          <w:tcPr>
            <w:tcW w:w="1360" w:type="dxa"/>
            <w:vAlign w:val="center"/>
          </w:tcPr>
          <w:p>
            <w:pPr>
              <w:spacing w:line="360" w:lineRule="auto"/>
              <w:jc w:val="center"/>
              <w:rPr>
                <w:rFonts w:asciiTheme="minorEastAsia" w:hAnsiTheme="minorEastAsia" w:eastAsiaTheme="minorEastAsia" w:cstheme="minorEastAsia"/>
                <w:color w:val="000000"/>
                <w:szCs w:val="21"/>
              </w:rPr>
            </w:pPr>
          </w:p>
        </w:tc>
        <w:tc>
          <w:tcPr>
            <w:tcW w:w="679" w:type="dxa"/>
          </w:tcPr>
          <w:p>
            <w:pPr>
              <w:spacing w:line="360" w:lineRule="auto"/>
              <w:jc w:val="center"/>
              <w:rPr>
                <w:rFonts w:asciiTheme="minorEastAsia" w:hAnsiTheme="minorEastAsia" w:eastAsiaTheme="minorEastAsia" w:cstheme="minorEastAsia"/>
                <w:color w:val="000000"/>
                <w:szCs w:val="21"/>
              </w:rPr>
            </w:pPr>
          </w:p>
        </w:tc>
        <w:tc>
          <w:tcPr>
            <w:tcW w:w="709" w:type="dxa"/>
          </w:tcPr>
          <w:p>
            <w:pPr>
              <w:jc w:val="center"/>
              <w:rPr>
                <w:rFonts w:asciiTheme="minorEastAsia" w:hAnsiTheme="minorEastAsia" w:eastAsiaTheme="minorEastAsia" w:cstheme="minorEastAsia"/>
                <w:b/>
                <w:color w:val="000000"/>
                <w:szCs w:val="21"/>
              </w:rPr>
            </w:pPr>
          </w:p>
        </w:tc>
        <w:tc>
          <w:tcPr>
            <w:tcW w:w="709"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850" w:type="dxa"/>
          </w:tcPr>
          <w:p>
            <w:pPr>
              <w:spacing w:line="360" w:lineRule="auto"/>
              <w:jc w:val="center"/>
              <w:rPr>
                <w:rFonts w:asciiTheme="minorEastAsia" w:hAnsiTheme="minorEastAsia" w:eastAsiaTheme="minorEastAsia" w:cstheme="minorEastAsia"/>
                <w:color w:val="000000"/>
                <w:szCs w:val="21"/>
              </w:rPr>
            </w:pPr>
          </w:p>
        </w:tc>
        <w:tc>
          <w:tcPr>
            <w:tcW w:w="851" w:type="dxa"/>
            <w:vAlign w:val="center"/>
          </w:tcPr>
          <w:p>
            <w:pPr>
              <w:spacing w:line="360" w:lineRule="auto"/>
              <w:jc w:val="center"/>
              <w:rPr>
                <w:rFonts w:asciiTheme="minorEastAsia" w:hAnsiTheme="minorEastAsia" w:eastAsiaTheme="minorEastAsia" w:cstheme="minorEastAsia"/>
                <w:color w:val="000000"/>
                <w:szCs w:val="21"/>
              </w:rPr>
            </w:pPr>
          </w:p>
        </w:tc>
        <w:tc>
          <w:tcPr>
            <w:tcW w:w="768"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2685" w:type="dxa"/>
            <w:gridSpan w:val="3"/>
            <w:vAlign w:val="center"/>
          </w:tcPr>
          <w:p>
            <w:pPr>
              <w:spacing w:line="360" w:lineRule="auto"/>
              <w:jc w:val="center"/>
              <w:rPr>
                <w:rFonts w:asciiTheme="minorEastAsia" w:hAnsiTheme="minorEastAsia" w:eastAsiaTheme="minorEastAsia" w:cstheme="minorEastAsia"/>
                <w:color w:val="000000"/>
                <w:szCs w:val="21"/>
              </w:rPr>
            </w:pPr>
          </w:p>
        </w:tc>
        <w:tc>
          <w:tcPr>
            <w:tcW w:w="1360" w:type="dxa"/>
            <w:vAlign w:val="center"/>
          </w:tcPr>
          <w:p>
            <w:pPr>
              <w:spacing w:line="360" w:lineRule="auto"/>
              <w:jc w:val="center"/>
              <w:rPr>
                <w:rFonts w:asciiTheme="minorEastAsia" w:hAnsiTheme="minorEastAsia" w:eastAsiaTheme="minorEastAsia" w:cstheme="minorEastAsia"/>
                <w:color w:val="000000"/>
                <w:szCs w:val="21"/>
              </w:rPr>
            </w:pPr>
          </w:p>
        </w:tc>
        <w:tc>
          <w:tcPr>
            <w:tcW w:w="679" w:type="dxa"/>
          </w:tcPr>
          <w:p>
            <w:pPr>
              <w:spacing w:line="360" w:lineRule="auto"/>
              <w:jc w:val="center"/>
              <w:rPr>
                <w:rFonts w:asciiTheme="minorEastAsia" w:hAnsiTheme="minorEastAsia" w:eastAsiaTheme="minorEastAsia" w:cstheme="minorEastAsia"/>
                <w:color w:val="000000"/>
                <w:szCs w:val="21"/>
              </w:rPr>
            </w:pPr>
          </w:p>
        </w:tc>
        <w:tc>
          <w:tcPr>
            <w:tcW w:w="709" w:type="dxa"/>
          </w:tcPr>
          <w:p>
            <w:pPr>
              <w:jc w:val="center"/>
              <w:rPr>
                <w:rFonts w:asciiTheme="minorEastAsia" w:hAnsiTheme="minorEastAsia" w:eastAsiaTheme="minorEastAsia" w:cstheme="minorEastAsia"/>
                <w:b/>
                <w:color w:val="000000"/>
                <w:szCs w:val="21"/>
              </w:rPr>
            </w:pPr>
          </w:p>
        </w:tc>
        <w:tc>
          <w:tcPr>
            <w:tcW w:w="709"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850" w:type="dxa"/>
          </w:tcPr>
          <w:p>
            <w:pPr>
              <w:spacing w:line="360" w:lineRule="auto"/>
              <w:jc w:val="center"/>
              <w:rPr>
                <w:rFonts w:asciiTheme="minorEastAsia" w:hAnsiTheme="minorEastAsia" w:eastAsiaTheme="minorEastAsia" w:cstheme="minorEastAsia"/>
                <w:color w:val="000000"/>
                <w:szCs w:val="21"/>
              </w:rPr>
            </w:pPr>
          </w:p>
        </w:tc>
        <w:tc>
          <w:tcPr>
            <w:tcW w:w="851" w:type="dxa"/>
            <w:vAlign w:val="center"/>
          </w:tcPr>
          <w:p>
            <w:pPr>
              <w:spacing w:line="360" w:lineRule="auto"/>
              <w:jc w:val="center"/>
              <w:rPr>
                <w:rFonts w:asciiTheme="minorEastAsia" w:hAnsiTheme="minorEastAsia" w:eastAsiaTheme="minorEastAsia" w:cstheme="minorEastAsia"/>
                <w:color w:val="000000"/>
                <w:szCs w:val="21"/>
              </w:rPr>
            </w:pPr>
          </w:p>
        </w:tc>
        <w:tc>
          <w:tcPr>
            <w:tcW w:w="768"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spacing w:line="360" w:lineRule="auto"/>
              <w:jc w:val="center"/>
              <w:rPr>
                <w:rFonts w:asciiTheme="minorEastAsia" w:hAnsiTheme="minorEastAsia" w:eastAsiaTheme="minorEastAsia" w:cstheme="minorEastAsia"/>
                <w:color w:val="000000"/>
                <w:szCs w:val="21"/>
              </w:rPr>
            </w:pPr>
          </w:p>
        </w:tc>
        <w:tc>
          <w:tcPr>
            <w:tcW w:w="2685" w:type="dxa"/>
            <w:gridSpan w:val="3"/>
            <w:vAlign w:val="center"/>
          </w:tcPr>
          <w:p>
            <w:pPr>
              <w:spacing w:line="360" w:lineRule="auto"/>
              <w:jc w:val="center"/>
              <w:rPr>
                <w:rFonts w:asciiTheme="minorEastAsia" w:hAnsiTheme="minorEastAsia" w:eastAsiaTheme="minorEastAsia" w:cstheme="minorEastAsia"/>
                <w:color w:val="000000"/>
                <w:szCs w:val="21"/>
              </w:rPr>
            </w:pPr>
          </w:p>
        </w:tc>
        <w:tc>
          <w:tcPr>
            <w:tcW w:w="1360" w:type="dxa"/>
            <w:vAlign w:val="center"/>
          </w:tcPr>
          <w:p>
            <w:pPr>
              <w:spacing w:line="360" w:lineRule="auto"/>
              <w:jc w:val="center"/>
              <w:rPr>
                <w:rFonts w:asciiTheme="minorEastAsia" w:hAnsiTheme="minorEastAsia" w:eastAsiaTheme="minorEastAsia" w:cstheme="minorEastAsia"/>
                <w:color w:val="000000"/>
                <w:szCs w:val="21"/>
              </w:rPr>
            </w:pPr>
          </w:p>
        </w:tc>
        <w:tc>
          <w:tcPr>
            <w:tcW w:w="679" w:type="dxa"/>
          </w:tcPr>
          <w:p>
            <w:pPr>
              <w:spacing w:line="360" w:lineRule="auto"/>
              <w:jc w:val="center"/>
              <w:rPr>
                <w:rFonts w:asciiTheme="minorEastAsia" w:hAnsiTheme="minorEastAsia" w:eastAsiaTheme="minorEastAsia" w:cstheme="minorEastAsia"/>
                <w:color w:val="000000"/>
                <w:szCs w:val="21"/>
              </w:rPr>
            </w:pPr>
          </w:p>
        </w:tc>
        <w:tc>
          <w:tcPr>
            <w:tcW w:w="709" w:type="dxa"/>
          </w:tcPr>
          <w:p>
            <w:pPr>
              <w:jc w:val="center"/>
              <w:rPr>
                <w:rFonts w:asciiTheme="minorEastAsia" w:hAnsiTheme="minorEastAsia" w:eastAsiaTheme="minorEastAsia" w:cstheme="minorEastAsia"/>
                <w:b/>
                <w:color w:val="000000"/>
                <w:szCs w:val="21"/>
              </w:rPr>
            </w:pPr>
          </w:p>
        </w:tc>
        <w:tc>
          <w:tcPr>
            <w:tcW w:w="709"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850" w:type="dxa"/>
          </w:tcPr>
          <w:p>
            <w:pPr>
              <w:spacing w:line="360" w:lineRule="auto"/>
              <w:jc w:val="center"/>
              <w:rPr>
                <w:rFonts w:asciiTheme="minorEastAsia" w:hAnsiTheme="minorEastAsia" w:eastAsiaTheme="minorEastAsia" w:cstheme="minorEastAsia"/>
                <w:color w:val="000000"/>
                <w:szCs w:val="21"/>
              </w:rPr>
            </w:pPr>
          </w:p>
        </w:tc>
        <w:tc>
          <w:tcPr>
            <w:tcW w:w="851" w:type="dxa"/>
            <w:vAlign w:val="center"/>
          </w:tcPr>
          <w:p>
            <w:pPr>
              <w:spacing w:line="360" w:lineRule="auto"/>
              <w:jc w:val="center"/>
              <w:rPr>
                <w:rFonts w:asciiTheme="minorEastAsia" w:hAnsiTheme="minorEastAsia" w:eastAsiaTheme="minorEastAsia" w:cstheme="minorEastAsia"/>
                <w:color w:val="000000"/>
                <w:szCs w:val="21"/>
              </w:rPr>
            </w:pPr>
          </w:p>
        </w:tc>
        <w:tc>
          <w:tcPr>
            <w:tcW w:w="768"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gridSpan w:val="2"/>
          </w:tcPr>
          <w:p>
            <w:pPr>
              <w:spacing w:line="360" w:lineRule="auto"/>
              <w:jc w:val="left"/>
              <w:rPr>
                <w:rFonts w:asciiTheme="minorEastAsia" w:hAnsiTheme="minorEastAsia" w:eastAsiaTheme="minorEastAsia" w:cstheme="minorEastAsia"/>
                <w:color w:val="000000"/>
                <w:szCs w:val="21"/>
              </w:rPr>
            </w:pPr>
          </w:p>
        </w:tc>
        <w:tc>
          <w:tcPr>
            <w:tcW w:w="9557" w:type="dxa"/>
            <w:gridSpan w:val="10"/>
          </w:tcPr>
          <w:p>
            <w:pPr>
              <w:spacing w:line="360" w:lineRule="auto"/>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合计：（大写）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0" w:type="dxa"/>
            <w:gridSpan w:val="3"/>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甲方</w:t>
            </w:r>
          </w:p>
        </w:tc>
        <w:tc>
          <w:tcPr>
            <w:tcW w:w="8806" w:type="dxa"/>
            <w:gridSpan w:val="9"/>
          </w:tcPr>
          <w:p>
            <w:pPr>
              <w:spacing w:line="360" w:lineRule="auto"/>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联系人：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0" w:type="dxa"/>
            <w:gridSpan w:val="3"/>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乙方</w:t>
            </w:r>
          </w:p>
        </w:tc>
        <w:tc>
          <w:tcPr>
            <w:tcW w:w="8806" w:type="dxa"/>
            <w:gridSpan w:val="9"/>
          </w:tcPr>
          <w:p>
            <w:pPr>
              <w:spacing w:line="360" w:lineRule="auto"/>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联系人：  联系方式：</w:t>
            </w:r>
          </w:p>
        </w:tc>
      </w:tr>
    </w:tbl>
    <w:p>
      <w:pPr>
        <w:pStyle w:val="53"/>
        <w:wordWrap/>
        <w:spacing w:line="400" w:lineRule="exact"/>
        <w:ind w:firstLine="422"/>
        <w:outlineLvl w:val="9"/>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四、合同金额</w:t>
      </w:r>
    </w:p>
    <w:p>
      <w:pPr>
        <w:spacing w:line="400" w:lineRule="exact"/>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根据中标通知书中规定，合同总金额为人民币大写:                  ；小写：               ，。此价款已包括乙方提供本合同约定的全部货物及服务、税费等与本合同相关的一切费用，除乙方不能如约履行合同义务做相应扣减外，结算时不予调整。甲方须向乙方支付的全部款项。除此价款外，甲方无须向乙方支付任何款项。</w:t>
      </w:r>
    </w:p>
    <w:p>
      <w:pPr>
        <w:pStyle w:val="53"/>
        <w:wordWrap/>
        <w:spacing w:line="400" w:lineRule="exact"/>
        <w:ind w:firstLine="422"/>
        <w:outlineLvl w:val="9"/>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五、交货期和交货地点</w:t>
      </w:r>
    </w:p>
    <w:p>
      <w:pPr>
        <w:pStyle w:val="54"/>
        <w:wordWrap/>
        <w:spacing w:line="400" w:lineRule="exact"/>
        <w:ind w:firstLine="420"/>
        <w:outlineLvl w:val="9"/>
        <w:rPr>
          <w:rFonts w:asciiTheme="minorEastAsia" w:hAnsiTheme="minorEastAsia" w:eastAsiaTheme="minorEastAsia" w:cstheme="minorEastAsia"/>
          <w:b w:val="0"/>
          <w:snapToGrid w:val="0"/>
          <w:color w:val="000000"/>
          <w:sz w:val="21"/>
          <w:szCs w:val="21"/>
        </w:rPr>
      </w:pPr>
      <w:r>
        <w:rPr>
          <w:rFonts w:hint="eastAsia" w:asciiTheme="minorEastAsia" w:hAnsiTheme="minorEastAsia" w:eastAsiaTheme="minorEastAsia" w:cstheme="minorEastAsia"/>
          <w:b w:val="0"/>
          <w:color w:val="000000"/>
          <w:sz w:val="21"/>
          <w:szCs w:val="21"/>
        </w:rPr>
        <w:t>1、交货期：</w:t>
      </w:r>
      <w:r>
        <w:rPr>
          <w:rFonts w:hint="eastAsia" w:asciiTheme="minorEastAsia" w:hAnsiTheme="minorEastAsia" w:eastAsiaTheme="minorEastAsia" w:cstheme="minorEastAsia"/>
          <w:b w:val="0"/>
          <w:snapToGrid w:val="0"/>
          <w:color w:val="000000"/>
          <w:sz w:val="21"/>
          <w:szCs w:val="21"/>
          <w:u w:val="single"/>
        </w:rPr>
        <w:t xml:space="preserve">             </w:t>
      </w:r>
      <w:r>
        <w:rPr>
          <w:rFonts w:hint="eastAsia" w:asciiTheme="minorEastAsia" w:hAnsiTheme="minorEastAsia" w:eastAsiaTheme="minorEastAsia" w:cstheme="minorEastAsia"/>
          <w:b w:val="0"/>
          <w:snapToGrid w:val="0"/>
          <w:color w:val="000000"/>
          <w:sz w:val="21"/>
          <w:szCs w:val="21"/>
        </w:rPr>
        <w:t>。乙方于交货的同时应向甲方提供货物清单、合格证书等资料。双方在确认交货时间时，已充分考虑了节假日以及新冠疫情影响等各种因素，除出现人力不可抗拒因素或重大变更且经甲方书面同意的，否则交货时间不予调整。</w:t>
      </w:r>
    </w:p>
    <w:p>
      <w:pPr>
        <w:pStyle w:val="54"/>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val="0"/>
          <w:color w:val="000000"/>
          <w:sz w:val="21"/>
          <w:szCs w:val="21"/>
        </w:rPr>
        <w:t>2、交货地点：江苏医药职业学院指定地点</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napToGrid w:val="0"/>
          <w:color w:val="000000"/>
          <w:kern w:val="0"/>
          <w:sz w:val="21"/>
          <w:szCs w:val="21"/>
        </w:rPr>
        <w:t>3、甲方有权对交货地点和时间进行调整，因甲方要求变更交货时间和地点时，乙方不承担违约责任；当甲方的通知到达乙方时，交货地点或时间即相应调整，乙方应予执行并负担因此增加的相关合同价款和费用，即甲方并不因调整交货时间而额外向乙方支付任何费用或进行赔偿，乙方亦放弃因此而向甲方主张任何费用或赔偿的权利。</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4、货物所有权自乙方负责将货物运送至交货地点、交付甲方时起转移，交付给甲方之前的相关的运输、保险、保管等费用及货物灭失、损毁的一切风险由乙方承担，并负责补足、更换、修理及承担相应费用。</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5、乙方应承担由于包装或其防护措施不妥而引起的货物损坏或丢失等的全部责任。</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6、安全责任：货物在运输、装卸、正常使用过程中，因质量问题等造成甲方或第三方人身伤害及财产损失的，由乙方承担全部责任。</w:t>
      </w:r>
    </w:p>
    <w:p>
      <w:pPr>
        <w:pStyle w:val="53"/>
        <w:wordWrap/>
        <w:spacing w:line="400" w:lineRule="exact"/>
        <w:ind w:firstLine="422"/>
        <w:outlineLvl w:val="9"/>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六、售后服务承诺</w:t>
      </w:r>
    </w:p>
    <w:p>
      <w:pPr>
        <w:spacing w:line="4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供应商对所提供货物的售后服务作如下承诺：</w:t>
      </w:r>
    </w:p>
    <w:p>
      <w:pPr>
        <w:spacing w:line="4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1、保证所提供货物必须符合国家有关标准；保证货物是全新、未使用过的原装合格正品，且是近期生产的。</w:t>
      </w:r>
    </w:p>
    <w:p>
      <w:pPr>
        <w:spacing w:line="4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保证货物在经正确安装、正常使用和保养条件下，在其使用寿命周期内具有等于或优于合同技术参数指标条款规定的性能，对由于设计、工艺或材料的缺陷而发生的任何不足或故障负责，并承担弥补这些货物本身不足和缺陷的相关费用。</w:t>
      </w:r>
    </w:p>
    <w:p>
      <w:pPr>
        <w:spacing w:line="4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3、质保期、保修期及保修服务的内容严格遵守国家法律及合同文件规定。</w:t>
      </w:r>
    </w:p>
    <w:p>
      <w:pPr>
        <w:spacing w:line="4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质保期限为</w:t>
      </w:r>
      <w:r>
        <w:rPr>
          <w:rFonts w:hint="eastAsia" w:asciiTheme="minorEastAsia" w:hAnsiTheme="minorEastAsia" w:eastAsiaTheme="minorEastAsia" w:cstheme="minorEastAsia"/>
          <w:color w:val="000000"/>
          <w:szCs w:val="21"/>
          <w:u w:val="single"/>
        </w:rPr>
        <w:t xml:space="preserve">    </w:t>
      </w:r>
      <w:r>
        <w:rPr>
          <w:rFonts w:hint="eastAsia" w:asciiTheme="minorEastAsia" w:hAnsiTheme="minorEastAsia" w:eastAsiaTheme="minorEastAsia" w:cstheme="minorEastAsia"/>
          <w:color w:val="000000"/>
          <w:szCs w:val="21"/>
        </w:rPr>
        <w:t>年，质保期限从验收合格之日起计算，质保期内“三包”责任所产生的费用由供应商承担。</w:t>
      </w:r>
    </w:p>
    <w:p>
      <w:pPr>
        <w:spacing w:line="4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质保期结束后的保修期内供应商提供的维修服务、技术支持、软件升级及零配件更换仅收取成本费用。按原价维修（按投标货物价格数量表所列价格，更换零部件的按合同签订时的零部件价格），乙方应提供长期优质维护、维修服务。</w:t>
      </w:r>
    </w:p>
    <w:p>
      <w:pPr>
        <w:pStyle w:val="55"/>
        <w:wordWrap/>
        <w:spacing w:line="400" w:lineRule="exact"/>
        <w:ind w:firstLine="4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4、对制造商提供的货物的硬件或软件的升级改进服务，有及时告知用户的义务，在用户同意接受这些服务的情况下提供便利条件。</w:t>
      </w:r>
    </w:p>
    <w:p>
      <w:pPr>
        <w:pStyle w:val="55"/>
        <w:wordWrap/>
        <w:spacing w:line="400" w:lineRule="exact"/>
        <w:ind w:firstLine="4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如果货物在使用中出现质量问题，而乙方在收到通知后没有维修或3日内没有弥补缺陷，甲方有权用其他渠道和方式对乙方货物进行维护、维修或更换，由此产生的费用无需经过乙方的认可即可直接自乙方未付货款或乙方缴纳的履约保证金中扣除，不足部分由乙方另行支付甲方；对此，乙方予以无条件承认并执行；且该等费用扣除后，并不等于免除乙方应负的任何责任。</w:t>
      </w:r>
    </w:p>
    <w:p>
      <w:pPr>
        <w:pStyle w:val="55"/>
        <w:wordWrap/>
        <w:spacing w:line="400" w:lineRule="exact"/>
        <w:ind w:firstLine="4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w:t>
      </w:r>
      <w:r>
        <w:rPr>
          <w:rFonts w:hint="eastAsia" w:asciiTheme="minorEastAsia" w:hAnsiTheme="minorEastAsia" w:eastAsiaTheme="minorEastAsia" w:cstheme="minorEastAsia"/>
          <w:color w:val="000000"/>
          <w:sz w:val="21"/>
          <w:szCs w:val="21"/>
          <w:u w:val="single"/>
        </w:rPr>
        <w:t>乙方质保负责人：          ，联系电话（手机）：            。</w:t>
      </w:r>
    </w:p>
    <w:p>
      <w:pPr>
        <w:pStyle w:val="53"/>
        <w:wordWrap/>
        <w:spacing w:line="400" w:lineRule="exact"/>
        <w:ind w:firstLine="422"/>
        <w:outlineLvl w:val="9"/>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七、验收办法</w:t>
      </w:r>
    </w:p>
    <w:p>
      <w:pPr>
        <w:pStyle w:val="53"/>
        <w:wordWrap/>
        <w:spacing w:line="400" w:lineRule="exact"/>
        <w:ind w:firstLine="420"/>
        <w:outlineLvl w:val="9"/>
        <w:rPr>
          <w:rFonts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如货物有国家规定的货物合格证书，乙方需在交货时向甲方提供，在乙方向甲方提供上述技术资料等书面文件之前，该部分货物视为乙方未按时交货，乙方按合同约定承担逾期交货的违约责任。货物到达甲方指定地点后，由甲方依据其验收制度及相关规定组织履约验收。货物类项目，验收内容包括实物和技术两部分。</w:t>
      </w:r>
    </w:p>
    <w:p>
      <w:pPr>
        <w:pStyle w:val="53"/>
        <w:wordWrap/>
        <w:spacing w:line="400" w:lineRule="exact"/>
        <w:ind w:firstLine="420"/>
        <w:outlineLvl w:val="9"/>
        <w:rPr>
          <w:rFonts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1、实物验收：通过对比合同、到货清单和到货实物，完成外观、数量、型号、材质、配置、资料（如货物说明书、操作规程、检修手册、出厂检验合格证、保修卡、软件、图表）等实物内容的核对及检查工作。</w:t>
      </w:r>
      <w:r>
        <w:rPr>
          <w:rFonts w:hint="eastAsia" w:asciiTheme="minorEastAsia" w:hAnsiTheme="minorEastAsia" w:eastAsiaTheme="minorEastAsia" w:cstheme="minorEastAsia"/>
          <w:color w:val="000000"/>
          <w:sz w:val="21"/>
          <w:szCs w:val="21"/>
        </w:rPr>
        <w:t>对包装破损、型号规格、外观或质量不符合约定的货物，甲方将予以拒收，该部分视为乙方未按时供货。如甲方对全部货物验收合格，双方签字确认。</w:t>
      </w:r>
    </w:p>
    <w:p>
      <w:pPr>
        <w:pStyle w:val="53"/>
        <w:wordWrap/>
        <w:spacing w:line="400" w:lineRule="exact"/>
        <w:ind w:firstLine="420"/>
        <w:outlineLvl w:val="9"/>
        <w:rPr>
          <w:rFonts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2、技术验收：检查货物是否按规范进行安装；通过运行调试（包括功能调试、技术指标调试、整机统调等）对性能指标、技术质量等进行检测；供应商是否按照合同要求提供人员培训、完成履约任务。</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3、甲方对货物的清点、检验、确认、初步验收等不能解除或减轻乙方提供合格货物的责任，在使用期内发现货物缺陷、质量问题的，乙方仍应承担责任。</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4、如果甲方发现货物存在缺陷（如货物的数量、外观、规格型号、尺码、质量、做工等与合同约定不符等）时，则甲方有权采取下列一种或几种方式解决，并通知乙方：</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4.1如甲方决定退货，则乙方应将其向甲方收取的全部价款退还甲方，并承担甲方由此发生的一切损失和费用，包括利息、银行手续费、运费、保险费、仓储费、装卸费以及为看管和保护退回货物所需的其它必要费用。</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4.2如甲方决定换货，则乙方应在 7 日内负责更换，乙方应承担全部费用和风险，并按照逾期交货承担违约责任。</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5、如果在甲方发出通知后2日内，乙方未作答复，上述通知内容视为已被乙方接受。</w:t>
      </w:r>
    </w:p>
    <w:p>
      <w:pPr>
        <w:pStyle w:val="53"/>
        <w:wordWrap/>
        <w:spacing w:line="400" w:lineRule="exact"/>
        <w:ind w:firstLine="422"/>
        <w:outlineLvl w:val="9"/>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八、双方的权利和义务</w:t>
      </w:r>
    </w:p>
    <w:p>
      <w:pPr>
        <w:pStyle w:val="54"/>
        <w:wordWrap/>
        <w:spacing w:line="400" w:lineRule="exact"/>
        <w:ind w:firstLine="422"/>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1、甲方的权利和义务</w:t>
      </w:r>
    </w:p>
    <w:p>
      <w:pPr>
        <w:pStyle w:val="56"/>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1.1甲方有权向乙方询问工作进展情况；</w:t>
      </w:r>
    </w:p>
    <w:p>
      <w:pPr>
        <w:pStyle w:val="56"/>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1.2甲方有权对具体本项目全部工作内容提出科学性、合理性建议和意见；</w:t>
      </w:r>
    </w:p>
    <w:p>
      <w:pPr>
        <w:pStyle w:val="56"/>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1.3甲方有权向乙方索取与委托采购内容有关的成果文件；</w:t>
      </w:r>
    </w:p>
    <w:p>
      <w:pPr>
        <w:pStyle w:val="56"/>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1.4甲方有权对乙方提供货物及服务过程进行监督、检查、考核；</w:t>
      </w:r>
    </w:p>
    <w:p>
      <w:pPr>
        <w:pStyle w:val="56"/>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1.5协调乙方在提供货物及服务过程相关的政府部门和单位；</w:t>
      </w:r>
    </w:p>
    <w:p>
      <w:pPr>
        <w:pStyle w:val="56"/>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甲方须按合同要求支付乙方费用。甲方支付给乙方的合同价款，包含乙方货物及服务本项目所有人员的所有费用、培训学习以及乙方为履行本合同义务所需的全部费用，除此之外，甲方无需再向乙方另行支付任何费用。</w:t>
      </w:r>
    </w:p>
    <w:p>
      <w:pPr>
        <w:pStyle w:val="54"/>
        <w:wordWrap/>
        <w:spacing w:line="400" w:lineRule="exact"/>
        <w:ind w:firstLine="422"/>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2、乙方的权利和义务</w:t>
      </w:r>
    </w:p>
    <w:p>
      <w:pPr>
        <w:pStyle w:val="56"/>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2.1.乙方可要求甲方按本合同的约定按时足额支付</w:t>
      </w:r>
      <w:bookmarkStart w:id="179" w:name="_Hlk40975009"/>
      <w:r>
        <w:rPr>
          <w:rFonts w:hint="eastAsia" w:asciiTheme="minorEastAsia" w:hAnsiTheme="minorEastAsia" w:eastAsiaTheme="minorEastAsia" w:cstheme="minorEastAsia"/>
          <w:color w:val="000000"/>
          <w:sz w:val="21"/>
          <w:szCs w:val="21"/>
        </w:rPr>
        <w:t>相应费用</w:t>
      </w:r>
      <w:bookmarkEnd w:id="179"/>
      <w:r>
        <w:rPr>
          <w:rFonts w:hint="eastAsia" w:asciiTheme="minorEastAsia" w:hAnsiTheme="minorEastAsia" w:eastAsiaTheme="minorEastAsia" w:cstheme="minorEastAsia"/>
          <w:color w:val="000000"/>
          <w:sz w:val="21"/>
          <w:szCs w:val="21"/>
        </w:rPr>
        <w:t>；</w:t>
      </w:r>
    </w:p>
    <w:p>
      <w:pPr>
        <w:pStyle w:val="56"/>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2.2.乙方在履行合同过程中，不得将本项目委托给第三人，如有违反，甲方有权解除合同，乙方应退还甲方已付全部合同价款，并按照本合同向甲方支付违约金。</w:t>
      </w:r>
    </w:p>
    <w:p>
      <w:pPr>
        <w:pStyle w:val="56"/>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2.3.若乙方认为甲方未能及时或按本合同的约定履行合同义务，或甲方存在其他任何影响乙方履行本合同的情形时，均需在情形发生之日起3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pPr>
        <w:spacing w:line="400" w:lineRule="exac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 xml:space="preserve">    九、付款方式与结算</w:t>
      </w:r>
    </w:p>
    <w:p>
      <w:pPr>
        <w:widowControl/>
        <w:spacing w:line="400" w:lineRule="exact"/>
        <w:ind w:firstLine="422" w:firstLineChars="200"/>
        <w:jc w:val="lef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1、履约保证金支付</w:t>
      </w:r>
    </w:p>
    <w:p>
      <w:pPr>
        <w:pStyle w:val="28"/>
        <w:spacing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签订合同前，乙方需向招标人交纳人民币_______元作为本合同的履约保证金（具体金额为中标价的5%）。履约保证金以转帐、电汇或网汇形式汇转至招标人指定帐户并存于甲方处，待项目验收结束后无质量问题一次性无息退还。</w:t>
      </w:r>
    </w:p>
    <w:p>
      <w:pPr>
        <w:pStyle w:val="28"/>
        <w:spacing w:line="400" w:lineRule="exact"/>
        <w:ind w:firstLine="422"/>
        <w:rPr>
          <w:rFonts w:asciiTheme="minorEastAsia" w:hAnsiTheme="minorEastAsia" w:eastAsiaTheme="minorEastAsia" w:cstheme="minorEastAsia"/>
          <w:b/>
          <w:bCs/>
          <w:color w:val="000000"/>
          <w:sz w:val="21"/>
          <w:szCs w:val="21"/>
          <w:lang w:val="zh-CN"/>
        </w:rPr>
      </w:pPr>
      <w:r>
        <w:rPr>
          <w:rFonts w:hint="eastAsia" w:asciiTheme="minorEastAsia" w:hAnsiTheme="minorEastAsia" w:eastAsiaTheme="minorEastAsia" w:cstheme="minorEastAsia"/>
          <w:b/>
          <w:bCs/>
          <w:color w:val="000000"/>
          <w:sz w:val="21"/>
          <w:szCs w:val="21"/>
        </w:rPr>
        <w:t>乙方如提供AA级以上信用报告的（需经信用管理部门备案），只需缴纳合同金额的2.5%的履约保证金。如果乙方不履行合同约定的义务，未能完全履行合同规定的义务或其履行不符合合同的约定，甲方有权扣除履约保证金取得补偿。</w:t>
      </w:r>
    </w:p>
    <w:p>
      <w:pPr>
        <w:widowControl/>
        <w:spacing w:line="400" w:lineRule="exact"/>
        <w:ind w:firstLine="422" w:firstLineChars="200"/>
        <w:jc w:val="lef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2、合同金额结算及支付方式：</w:t>
      </w:r>
    </w:p>
    <w:p>
      <w:pPr>
        <w:spacing w:line="440" w:lineRule="exact"/>
        <w:ind w:firstLine="420" w:firstLineChars="200"/>
        <w:rPr>
          <w:rFonts w:asciiTheme="minorEastAsia" w:hAnsiTheme="minorEastAsia" w:eastAsiaTheme="minorEastAsia" w:cstheme="minorEastAsia"/>
          <w:color w:val="000000"/>
          <w:kern w:val="0"/>
          <w:szCs w:val="21"/>
          <w:lang w:eastAsia="zh-Hans"/>
        </w:rPr>
      </w:pPr>
      <w:r>
        <w:rPr>
          <w:rFonts w:hint="eastAsia" w:asciiTheme="minorEastAsia" w:hAnsiTheme="minorEastAsia" w:eastAsiaTheme="minorEastAsia" w:cstheme="minorEastAsia"/>
          <w:color w:val="000000"/>
          <w:kern w:val="0"/>
          <w:szCs w:val="21"/>
        </w:rPr>
        <w:t>项目验收合格后无质量问题支付合同价的70%款项；审计合格后付至审计价的90%，余款待验收合格质保结束后无质量问题一次性无息付清。</w:t>
      </w:r>
    </w:p>
    <w:p>
      <w:pPr>
        <w:pStyle w:val="28"/>
        <w:spacing w:line="4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以上付款均以人民币通过银行支付, 付款前需提供我校财务处认可的增值税发票（仪器设备须开增值税专用发票）。</w:t>
      </w:r>
    </w:p>
    <w:p>
      <w:pPr>
        <w:pStyle w:val="5"/>
        <w:spacing w:line="400" w:lineRule="exact"/>
        <w:ind w:firstLine="482"/>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十、违约责任</w:t>
      </w:r>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1、任何一方由于不可抗力原因不能履行合同时，在不可抗力事件结束后1日内向对方通报，以尽量减轻可能给对方造成的损失，在取得有关机构的不可抗力证明或双方谅解确认后，根据情况可部分或全部免于承担违约责任。</w:t>
      </w:r>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2、甲方应配合乙方的工作，若因甲方原因造成乙方未完成规定采购内容，甲方不得扣除乙方相应费用。</w:t>
      </w:r>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3、如因乙方自身原因，不履行合同义务或者履行合同义务不符合约定的，应当承担继续履行、采取补救措施或者由甲方扣除相应合同价款作为对甲方造成损失的赔偿。</w:t>
      </w:r>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4、如乙方未按照本合同的约定期限交货的，则每迟延1日，应向甲方支付合同总价款1％的违约金；迟延超过10日的，甲方有权单方解除本合同。</w:t>
      </w:r>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5、乙方提供的货物与甲方要求的款式、数量、规格、尺寸不一致或无法通过甲方验收或无法正常使用的，乙方应按合同约定采取退货、换货等方式进行弥补直至通过甲方验收，乙方拒绝弥补或经弥补后仍不能通过甲方验收的，甲方有权解除合同。</w:t>
      </w:r>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6、乙方未经甲方书面同意将本合同的全部或部分义务转让给第三方，或者将合同权利、对甲方享有的债权转让给第三方的，该等转让对甲方无效，且甲方有权单方解除本合同。</w:t>
      </w:r>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7、乙方提供的货物不属于生产厂家的原装正品的，甲方有权单方解除合同。</w:t>
      </w:r>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8、乙方承诺其交付的货物是其有权销售、无任何权利争议或潜在权利争议的货物，乙方承诺其货物无任何他项权利设定，也无著作权、商标权、专利权及其他知识产权方面的权利瑕疵或限制，否则由此产生的纠纷乙方负责处理并承担全部责任，若因此给甲方造成损失的，乙方应赔偿甲方的全部损失。</w:t>
      </w:r>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9、因乙方存在其他违约行为或因乙方原因导致合同目的无法实现或合同无法继续履行的，甲方有权解除合同。</w:t>
      </w:r>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10、乙方违反本合同的约定，除按本合同的约定承担违约责任外，还应赔偿甲方包括但不限于直接损失、甲方向第三方的违约或赔偿损失、误工费、鉴定费、损失的评估费、律师费、诉讼费或仲裁费、保全费、保险费、公告费、执行费等全部损失。</w:t>
      </w:r>
    </w:p>
    <w:p>
      <w:pPr>
        <w:pStyle w:val="54"/>
        <w:wordWrap/>
        <w:spacing w:line="400" w:lineRule="exact"/>
        <w:ind w:firstLine="420"/>
        <w:outlineLvl w:val="9"/>
        <w:rPr>
          <w:rFonts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11、本合同所涉及全部违约金，甲方均有权从未付合同价款中扣除，乙方对此无异议。</w:t>
      </w:r>
    </w:p>
    <w:p>
      <w:pPr>
        <w:pStyle w:val="53"/>
        <w:wordWrap/>
        <w:spacing w:line="400" w:lineRule="exact"/>
        <w:ind w:firstLine="422"/>
        <w:outlineLvl w:val="9"/>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十一、合同解除</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甲方依据本合同约定或法律规定单方解除合同的，自解除合同的通知到达乙方时，合同自行终止。乙方应于合同解除之日起15日内退还甲方全部已支付款项并按一年期贷款市场报价利率四倍计取的资金占用期间的利息，赔偿甲方因此造成的损失，并支付甲方合同总价款30%的违约金。</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2、按合同约定或法律规定，解除合同的事由发生时，解除权人可以解除合同。享有解除权的一方应当自解除事由发生之日起三年内行使解除权，期限届满不行使的，解除权消灭。</w:t>
      </w:r>
    </w:p>
    <w:p>
      <w:pPr>
        <w:pStyle w:val="53"/>
        <w:wordWrap/>
        <w:spacing w:line="400" w:lineRule="exact"/>
        <w:ind w:firstLine="422"/>
        <w:outlineLvl w:val="9"/>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十二、不可抗力</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在本合同执行过程中，由于发生战争、洪水、台风、地震、新冠疫情等不可抗力事件，致使本合同的任何一方无法履行本合同规定的义务，遭受不可抗力的一方不承担违约责任。遭受不可抗力的一方应在不可抗力事件发生的48小时内将该不可抗力及其对履约之影响书面通知另一方当事人，并向本合同对方出具有关权威部门的证明。遭受不可抗力之一方或双方当事人须采取一切可能的措施减少或消除前述不可抗力对合同履行的影响，并在该不可抗力事件消除后10天向对方当事人提供该不可抗力及其对履约产生实质性影响的证明。</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2、双方确定，因发生不可抗力，致使本合同的履行成为不必要或不可能的，一方应当及时通知另一方解除合同。如果一方未及时通知对方或未采取必要措施，责任方须对扩大的损失承担赔偿责任。</w:t>
      </w:r>
    </w:p>
    <w:p>
      <w:pPr>
        <w:pStyle w:val="53"/>
        <w:wordWrap/>
        <w:spacing w:line="400" w:lineRule="exact"/>
        <w:ind w:firstLine="422"/>
        <w:outlineLvl w:val="9"/>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十三、通知与送达</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1、乙方的通知与送达方式为：</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通讯地址：                      ；</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联系人：                        ；联系电话（手机）：</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本合同涉及有关通知事项可按照本合同中约定的通知与送达方式，采用邮寄、直接送达、致电或发送短信、E-mail、微信等任一方式进行，邮寄到达（拒收、退回）当日、直接送达或致电以及短信息、E-mail、微信发送当时，即视为乙方接到该通知。</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乙方必须保证本合同约定的联络方式真实有效，乙方前述联系方式不真实、不准确或未留联系方式，一切责任均由乙方承担。联系方式如有变更，必须5于变更后3日内书面通知甲方。否则，甲方按照本合同约定的通知与送达方式向其发出的任何通知均视为合法有效。乙方拒收、不在指定地址或联系不上导致通知被退回，均视为通知已经合法有效送达。</w:t>
      </w:r>
    </w:p>
    <w:p>
      <w:pPr>
        <w:pStyle w:val="53"/>
        <w:wordWrap/>
        <w:spacing w:line="400" w:lineRule="exact"/>
        <w:ind w:firstLine="420"/>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视为送达之日。</w:t>
      </w:r>
    </w:p>
    <w:p>
      <w:pPr>
        <w:pStyle w:val="53"/>
        <w:wordWrap/>
        <w:spacing w:line="400" w:lineRule="exact"/>
        <w:ind w:firstLine="422"/>
        <w:outlineLvl w:val="9"/>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十四、争议解决方式</w:t>
      </w:r>
    </w:p>
    <w:p>
      <w:pPr>
        <w:pStyle w:val="55"/>
        <w:wordWrap/>
        <w:spacing w:line="400" w:lineRule="exact"/>
        <w:ind w:firstLine="42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双方因本合同发生争议，由甲、乙方协商解决，协商不成的，应向甲方住所地有管辖权的人民法院诉讼解决。</w:t>
      </w:r>
    </w:p>
    <w:p>
      <w:pPr>
        <w:pStyle w:val="53"/>
        <w:wordWrap/>
        <w:spacing w:line="400" w:lineRule="exact"/>
        <w:ind w:firstLine="422"/>
        <w:outlineLvl w:val="9"/>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十五、</w:t>
      </w:r>
      <w:r>
        <w:rPr>
          <w:rFonts w:hint="eastAsia" w:asciiTheme="minorEastAsia" w:hAnsiTheme="minorEastAsia" w:eastAsiaTheme="minorEastAsia" w:cstheme="minorEastAsia"/>
          <w:b/>
          <w:bCs w:val="0"/>
          <w:color w:val="000000"/>
          <w:sz w:val="21"/>
          <w:szCs w:val="21"/>
        </w:rPr>
        <w:t>合同生效及其它</w:t>
      </w:r>
    </w:p>
    <w:p>
      <w:pPr>
        <w:autoSpaceDE w:val="0"/>
        <w:autoSpaceDN w:val="0"/>
        <w:adjustRightInd w:val="0"/>
        <w:spacing w:line="400" w:lineRule="exact"/>
        <w:ind w:firstLine="482"/>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1、 本合同一式肆份，甲方执叁份、乙方执壹份，经甲乙双方代表签字、加盖公章后生效，合同履行完成后自行终止。招标（采购）和投标（响应性）文件为本合同组成部分。</w:t>
      </w:r>
    </w:p>
    <w:p>
      <w:pPr>
        <w:autoSpaceDE w:val="0"/>
        <w:autoSpaceDN w:val="0"/>
        <w:adjustRightInd w:val="0"/>
        <w:spacing w:line="400" w:lineRule="exact"/>
        <w:ind w:firstLine="482"/>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2、组成本合同的文件及解释顺序为：本合同及补充条款、中标通知书、投标（响应性）文件及其附件；招标（采购）文件及补充通知。如果乙方的投标（响应性）文件及其附件高于国家行业标准的，以投标文件及其附件为准。</w:t>
      </w:r>
    </w:p>
    <w:p>
      <w:pPr>
        <w:autoSpaceDE w:val="0"/>
        <w:autoSpaceDN w:val="0"/>
        <w:adjustRightInd w:val="0"/>
        <w:spacing w:line="400" w:lineRule="exact"/>
        <w:ind w:firstLine="482"/>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3、本合同生效之后，任何一方违反本合同规定，除了承担违约金外，还要承担守约方向违约方追究违约责任所支付的一切费用，包括但不限于律师费、诉讼费、保全费、公告费、鉴定费、交通食宿费等。</w:t>
      </w:r>
    </w:p>
    <w:p>
      <w:pPr>
        <w:autoSpaceDE w:val="0"/>
        <w:autoSpaceDN w:val="0"/>
        <w:adjustRightInd w:val="0"/>
        <w:spacing w:line="400" w:lineRule="exact"/>
        <w:ind w:firstLine="482"/>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4、本合同未尽事宜，供需双方可签订补充协议，与本合同具有同等法律效力。</w:t>
      </w:r>
    </w:p>
    <w:p>
      <w:pPr>
        <w:autoSpaceDE w:val="0"/>
        <w:autoSpaceDN w:val="0"/>
        <w:adjustRightInd w:val="0"/>
        <w:spacing w:line="400" w:lineRule="exact"/>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zh-CN"/>
        </w:rPr>
        <w:t>5、本合同相关的招投标资料/谈判纪要以及与本合同相关的其他文件均为本合同附件，与本合同具有同等法律效力。若本合同附件与本合同内容存在不一致之处，以本合同约定为准。</w:t>
      </w:r>
    </w:p>
    <w:p>
      <w:pPr>
        <w:spacing w:line="276" w:lineRule="auto"/>
        <w:ind w:firstLine="420" w:firstLineChars="200"/>
        <w:rPr>
          <w:rFonts w:asciiTheme="minorEastAsia" w:hAnsiTheme="minorEastAsia" w:eastAsiaTheme="minorEastAsia" w:cstheme="minorEastAsia"/>
          <w:color w:val="000000"/>
          <w:szCs w:val="21"/>
        </w:rPr>
      </w:pPr>
    </w:p>
    <w:p>
      <w:pPr>
        <w:spacing w:line="276" w:lineRule="auto"/>
        <w:ind w:firstLine="422" w:firstLineChars="200"/>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附件：货物清单明细</w:t>
      </w:r>
    </w:p>
    <w:p>
      <w:pPr>
        <w:pStyle w:val="9"/>
        <w:ind w:left="3360"/>
        <w:rPr>
          <w:rFonts w:asciiTheme="minorEastAsia" w:hAnsiTheme="minorEastAsia" w:eastAsiaTheme="minorEastAsia" w:cstheme="minorEastAsia"/>
          <w:color w:val="000000"/>
          <w:sz w:val="21"/>
          <w:szCs w:val="21"/>
        </w:rPr>
      </w:pPr>
    </w:p>
    <w:p>
      <w:pPr>
        <w:spacing w:line="276" w:lineRule="auto"/>
        <w:ind w:firstLine="42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Cs/>
          <w:color w:val="000000"/>
          <w:szCs w:val="21"/>
        </w:rPr>
        <w:t>（以下无正文）</w:t>
      </w:r>
    </w:p>
    <w:p>
      <w:pPr>
        <w:pStyle w:val="28"/>
        <w:rPr>
          <w:rFonts w:asciiTheme="minorEastAsia" w:hAnsiTheme="minorEastAsia" w:eastAsiaTheme="minorEastAsia" w:cstheme="minorEastAsia"/>
          <w:color w:val="000000"/>
          <w:sz w:val="21"/>
          <w:szCs w:val="21"/>
        </w:rPr>
      </w:pPr>
    </w:p>
    <w:p>
      <w:pPr>
        <w:snapToGrid w:val="0"/>
        <w:spacing w:line="360" w:lineRule="auto"/>
        <w:ind w:firstLine="411" w:firstLineChars="196"/>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甲方(印章): 江苏医药职业学院                   乙方(印章):                  </w:t>
      </w:r>
    </w:p>
    <w:p>
      <w:pPr>
        <w:snapToGrid w:val="0"/>
        <w:spacing w:line="360" w:lineRule="auto"/>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法定代表人或其委托代理人：                     法定代表人或其委托代理人：</w:t>
      </w:r>
    </w:p>
    <w:p>
      <w:pPr>
        <w:snapToGrid w:val="0"/>
        <w:spacing w:line="360" w:lineRule="auto"/>
        <w:ind w:firstLine="1260" w:firstLineChars="600"/>
        <w:jc w:val="left"/>
        <w:rPr>
          <w:rFonts w:asciiTheme="minorEastAsia" w:hAnsiTheme="minorEastAsia" w:eastAsiaTheme="minorEastAsia" w:cstheme="minorEastAsia"/>
          <w:color w:val="000000"/>
          <w:szCs w:val="21"/>
          <w:u w:val="single"/>
        </w:rPr>
      </w:pPr>
      <w:r>
        <w:rPr>
          <w:rFonts w:hint="eastAsia" w:asciiTheme="minorEastAsia" w:hAnsiTheme="minorEastAsia" w:eastAsiaTheme="minorEastAsia" w:cstheme="minorEastAsia"/>
          <w:color w:val="000000"/>
          <w:szCs w:val="21"/>
        </w:rPr>
        <w:t>（签字）:                                       (签字):</w:t>
      </w:r>
    </w:p>
    <w:p>
      <w:pPr>
        <w:snapToGrid w:val="0"/>
        <w:spacing w:line="360" w:lineRule="auto"/>
        <w:ind w:left="5670" w:leftChars="200" w:hanging="5250" w:hangingChars="25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地址: 盐城市解放南路283号                     地址:                       </w:t>
      </w:r>
    </w:p>
    <w:p>
      <w:pPr>
        <w:snapToGrid w:val="0"/>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电话:051588550311                              电话:</w:t>
      </w:r>
    </w:p>
    <w:p>
      <w:pPr>
        <w:snapToGrid w:val="0"/>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日期:    年   月   日</w:t>
      </w: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hint="eastAsia" w:ascii="宋体" w:hAnsi="宋体" w:cs="宋体"/>
          <w:b/>
          <w:color w:val="000000"/>
          <w:sz w:val="28"/>
          <w:szCs w:val="28"/>
        </w:rPr>
      </w:pPr>
    </w:p>
    <w:p>
      <w:pPr>
        <w:pStyle w:val="2"/>
        <w:ind w:left="3360"/>
      </w:pPr>
    </w:p>
    <w:p>
      <w:pPr>
        <w:spacing w:line="360" w:lineRule="auto"/>
        <w:jc w:val="center"/>
        <w:outlineLvl w:val="0"/>
        <w:rPr>
          <w:rFonts w:ascii="宋体" w:hAnsi="宋体" w:cs="宋体"/>
          <w:b/>
          <w:bCs/>
          <w:color w:val="000000"/>
          <w:sz w:val="28"/>
          <w:szCs w:val="28"/>
        </w:rPr>
      </w:pPr>
      <w:r>
        <w:rPr>
          <w:rFonts w:hint="eastAsia" w:ascii="宋体" w:hAnsi="宋体" w:cs="宋体"/>
          <w:b/>
          <w:color w:val="000000"/>
          <w:sz w:val="28"/>
          <w:szCs w:val="28"/>
        </w:rPr>
        <w:t>第四章  评标方法和标准</w:t>
      </w:r>
      <w:r>
        <w:rPr>
          <w:rFonts w:hint="eastAsia" w:ascii="宋体" w:hAnsi="宋体"/>
          <w:b/>
          <w:color w:val="000000"/>
          <w:sz w:val="28"/>
          <w:szCs w:val="28"/>
        </w:rPr>
        <w:t>（主要部分）</w:t>
      </w:r>
      <w:bookmarkEnd w:id="178"/>
    </w:p>
    <w:p>
      <w:pPr>
        <w:snapToGrid w:val="0"/>
        <w:spacing w:line="360" w:lineRule="auto"/>
        <w:jc w:val="center"/>
        <w:rPr>
          <w:rFonts w:ascii="宋体" w:hAnsi="宋体" w:cs="宋体"/>
          <w:b/>
          <w:color w:val="000000"/>
          <w:kern w:val="0"/>
          <w:sz w:val="24"/>
        </w:rPr>
      </w:pPr>
    </w:p>
    <w:p>
      <w:pPr>
        <w:pStyle w:val="40"/>
        <w:snapToGrid w:val="0"/>
        <w:spacing w:line="360" w:lineRule="auto"/>
        <w:ind w:firstLine="0" w:firstLineChars="0"/>
        <w:jc w:val="center"/>
        <w:outlineLvl w:val="1"/>
        <w:rPr>
          <w:rFonts w:asciiTheme="minorEastAsia" w:hAnsiTheme="minorEastAsia" w:eastAsiaTheme="minorEastAsia" w:cstheme="minorEastAsia"/>
          <w:b/>
          <w:color w:val="000000"/>
          <w:sz w:val="21"/>
          <w:szCs w:val="21"/>
        </w:rPr>
      </w:pPr>
      <w:bookmarkStart w:id="180" w:name="_Toc122338099"/>
      <w:r>
        <w:rPr>
          <w:rFonts w:hint="eastAsia" w:asciiTheme="minorEastAsia" w:hAnsiTheme="minorEastAsia" w:eastAsiaTheme="minorEastAsia" w:cstheme="minorEastAsia"/>
          <w:b/>
          <w:color w:val="000000"/>
          <w:sz w:val="21"/>
          <w:szCs w:val="21"/>
        </w:rPr>
        <w:t>一、评标方法</w:t>
      </w:r>
      <w:bookmarkEnd w:id="180"/>
    </w:p>
    <w:p>
      <w:pPr>
        <w:snapToGrid w:val="0"/>
        <w:spacing w:line="360" w:lineRule="auto"/>
        <w:ind w:firstLine="525" w:firstLineChars="250"/>
        <w:rPr>
          <w:rFonts w:asciiTheme="minorEastAsia" w:hAnsiTheme="minorEastAsia" w:eastAsiaTheme="minorEastAsia" w:cstheme="minorEastAsia"/>
          <w:szCs w:val="21"/>
        </w:rPr>
      </w:pPr>
    </w:p>
    <w:p>
      <w:pPr>
        <w:snapToGri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宋体" w:hAnsi="宋体" w:cs="宋体"/>
          <w:szCs w:val="21"/>
        </w:rPr>
        <w:t>.根据《政府采购促进中小企业发展管理办法》等有关规定，对满足价格扣除条件的</w:t>
      </w:r>
      <w:r>
        <w:rPr>
          <w:rFonts w:ascii="宋体" w:hAnsi="宋体" w:cs="宋体"/>
          <w:szCs w:val="21"/>
        </w:rPr>
        <w:t>小微企业报价</w:t>
      </w:r>
      <w:r>
        <w:rPr>
          <w:rFonts w:hint="eastAsia" w:ascii="宋体" w:hAnsi="宋体" w:cs="宋体"/>
          <w:szCs w:val="21"/>
        </w:rPr>
        <w:t>给予20%的扣除（符合联合体扣除的，给予联合体6%的价格扣除），用扣除后的价格参与评审。</w:t>
      </w:r>
      <w:r>
        <w:rPr>
          <w:rFonts w:ascii="宋体" w:hAnsi="宋体" w:cs="宋体"/>
          <w:szCs w:val="21"/>
        </w:rPr>
        <w:t>中小企业参加政府采购活动，应当出具</w:t>
      </w:r>
      <w:r>
        <w:rPr>
          <w:rFonts w:hint="eastAsia" w:ascii="宋体" w:hAnsi="宋体" w:cs="宋体"/>
          <w:szCs w:val="21"/>
        </w:rPr>
        <w:t>《</w:t>
      </w:r>
      <w:r>
        <w:rPr>
          <w:rFonts w:ascii="宋体" w:hAnsi="宋体" w:cs="宋体"/>
          <w:szCs w:val="21"/>
        </w:rPr>
        <w:t>政府采购促进中小企业发展管理办法</w:t>
      </w:r>
      <w:r>
        <w:rPr>
          <w:rFonts w:hint="eastAsia" w:ascii="宋体" w:hAnsi="宋体" w:cs="宋体"/>
          <w:szCs w:val="21"/>
        </w:rPr>
        <w:t>》</w:t>
      </w:r>
      <w:r>
        <w:rPr>
          <w:rFonts w:ascii="宋体" w:hAnsi="宋体" w:cs="宋体"/>
          <w:szCs w:val="21"/>
        </w:rPr>
        <w:t>规定的《中小企业声明函》</w:t>
      </w:r>
      <w:r>
        <w:rPr>
          <w:rFonts w:hint="eastAsia" w:ascii="宋体" w:hAnsi="宋体" w:cs="宋体"/>
          <w:szCs w:val="21"/>
        </w:rPr>
        <w:t>（请从财政部官方网站下载。以财政部官方网站公布的为准）</w:t>
      </w:r>
      <w:r>
        <w:rPr>
          <w:rFonts w:ascii="宋体" w:hAnsi="宋体" w:cs="宋体"/>
          <w:szCs w:val="21"/>
        </w:rPr>
        <w:t>，否则不得享受相关中小企业扶持政策。</w:t>
      </w:r>
      <w:r>
        <w:rPr>
          <w:rFonts w:hint="eastAsia" w:ascii="宋体" w:hAnsi="宋体" w:cs="宋体"/>
          <w:szCs w:val="21"/>
        </w:rPr>
        <w:t>专门面向中小企业采购的项目，投标人未出具</w:t>
      </w:r>
      <w:r>
        <w:rPr>
          <w:rFonts w:ascii="宋体" w:hAnsi="宋体" w:cs="宋体"/>
          <w:szCs w:val="21"/>
        </w:rPr>
        <w:t>《中小企业声明函》</w:t>
      </w:r>
      <w:r>
        <w:rPr>
          <w:rFonts w:hint="eastAsia" w:ascii="宋体" w:hAnsi="宋体" w:cs="宋体"/>
          <w:szCs w:val="21"/>
        </w:rPr>
        <w:t>的，按无效处理。</w:t>
      </w:r>
    </w:p>
    <w:p>
      <w:pPr>
        <w:snapToGri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人应当以合理的报价参加竞争。评标委员会认为投标人的报价明显低于其他通过符合性检查投标人的报价，有可能影响产品质量或者不能诚信履约的，且投标人未按照规定证明其报价合理性的，按无效投标处理。</w:t>
      </w:r>
    </w:p>
    <w:p>
      <w:pPr>
        <w:snapToGri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3.本项目采用“综合评分法”。本项目将按照法律法规及招标文件规定（投标人须知等）及本章的规定评标。各项评分均保证到小数点后2位；评分统计（含报价分计算）按4舍5入精确到小数点后 2 位。</w:t>
      </w:r>
    </w:p>
    <w:p>
      <w:pPr>
        <w:pStyle w:val="40"/>
        <w:numPr>
          <w:ilvl w:val="0"/>
          <w:numId w:val="6"/>
        </w:numPr>
        <w:snapToGrid w:val="0"/>
        <w:spacing w:line="360" w:lineRule="auto"/>
        <w:ind w:firstLineChars="0"/>
        <w:jc w:val="left"/>
        <w:outlineLvl w:val="1"/>
        <w:rPr>
          <w:rFonts w:asciiTheme="minorEastAsia" w:hAnsiTheme="minorEastAsia" w:eastAsiaTheme="minorEastAsia" w:cstheme="minorEastAsia"/>
          <w:b/>
          <w:color w:val="000000"/>
          <w:sz w:val="21"/>
          <w:szCs w:val="21"/>
        </w:rPr>
      </w:pPr>
      <w:bookmarkStart w:id="181" w:name="_Toc122338100"/>
      <w:r>
        <w:rPr>
          <w:rFonts w:hint="eastAsia" w:asciiTheme="minorEastAsia" w:hAnsiTheme="minorEastAsia" w:eastAsiaTheme="minorEastAsia" w:cstheme="minorEastAsia"/>
          <w:b/>
          <w:color w:val="000000"/>
          <w:sz w:val="21"/>
          <w:szCs w:val="21"/>
        </w:rPr>
        <w:t>评分标准</w:t>
      </w: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pStyle w:val="28"/>
        <w:ind w:firstLine="640"/>
      </w:pPr>
    </w:p>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hint="eastAsia" w:asciiTheme="minorEastAsia" w:hAnsiTheme="minorEastAsia" w:eastAsiaTheme="minorEastAsia" w:cstheme="minorEastAsia"/>
          <w:b/>
          <w:color w:val="000000"/>
          <w:kern w:val="0"/>
          <w:szCs w:val="21"/>
        </w:rPr>
      </w:pPr>
    </w:p>
    <w:p>
      <w:pPr>
        <w:pStyle w:val="2"/>
        <w:ind w:left="3360"/>
        <w:rPr>
          <w:rFonts w:hint="eastAsia"/>
        </w:rPr>
      </w:pPr>
    </w:p>
    <w:p>
      <w:pPr>
        <w:rPr>
          <w:rFonts w:hint="eastAsia"/>
        </w:rPr>
      </w:pPr>
    </w:p>
    <w:p>
      <w:pPr>
        <w:pStyle w:val="2"/>
        <w:ind w:left="3360"/>
      </w:pPr>
    </w:p>
    <w:p>
      <w:pPr>
        <w:pStyle w:val="2"/>
        <w:ind w:left="3360"/>
      </w:pPr>
    </w:p>
    <w:bookmarkEnd w:id="181"/>
    <w:p>
      <w:pPr>
        <w:pStyle w:val="40"/>
        <w:snapToGrid w:val="0"/>
        <w:spacing w:line="360" w:lineRule="auto"/>
        <w:ind w:left="482" w:firstLine="0" w:firstLineChars="0"/>
        <w:outlineLvl w:val="1"/>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采购包一：</w:t>
      </w:r>
    </w:p>
    <w:tbl>
      <w:tblPr>
        <w:tblStyle w:val="29"/>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30"/>
        <w:gridCol w:w="723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评审项目</w:t>
            </w:r>
          </w:p>
        </w:tc>
        <w:tc>
          <w:tcPr>
            <w:tcW w:w="72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评分内容</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530"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投标报价</w:t>
            </w:r>
          </w:p>
        </w:tc>
        <w:tc>
          <w:tcPr>
            <w:tcW w:w="7239" w:type="dxa"/>
            <w:tcBorders>
              <w:top w:val="single" w:color="auto" w:sz="4" w:space="0"/>
              <w:left w:val="single" w:color="auto" w:sz="4" w:space="0"/>
              <w:bottom w:val="single" w:color="auto" w:sz="4" w:space="0"/>
              <w:right w:val="single" w:color="auto" w:sz="4" w:space="0"/>
            </w:tcBorders>
          </w:tcPr>
          <w:p>
            <w:pPr>
              <w:tabs>
                <w:tab w:val="left" w:pos="-540"/>
                <w:tab w:val="left" w:pos="2880"/>
                <w:tab w:val="left" w:pos="3600"/>
                <w:tab w:val="left" w:pos="4320"/>
                <w:tab w:val="center" w:pos="4433"/>
              </w:tabs>
              <w:autoSpaceDE w:val="0"/>
              <w:autoSpaceDN w:val="0"/>
              <w:adjustRightInd w:val="0"/>
              <w:spacing w:line="240" w:lineRule="atLeas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以满足招标文件要求且投标价格最低的投标报价为评标基准价，其价格分为满分30分，其他投标人的价格分按照下列公式计算：投标报价得分=（评标基准价/投标报价）×30（小数点后保留两位，四舍五入）</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2</w:t>
            </w:r>
          </w:p>
        </w:tc>
        <w:tc>
          <w:tcPr>
            <w:tcW w:w="1530"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240" w:lineRule="atLeast"/>
              <w:jc w:val="center"/>
              <w:rPr>
                <w:rFonts w:ascii="宋体" w:hAnsi="宋体" w:cs="宋体"/>
                <w:kern w:val="0"/>
                <w:szCs w:val="21"/>
              </w:rPr>
            </w:pPr>
            <w:r>
              <w:rPr>
                <w:rFonts w:hint="eastAsia" w:ascii="宋体" w:hAnsi="宋体" w:cs="宋体"/>
                <w:kern w:val="0"/>
                <w:szCs w:val="21"/>
              </w:rPr>
              <w:t>技术响应</w:t>
            </w:r>
          </w:p>
        </w:tc>
        <w:tc>
          <w:tcPr>
            <w:tcW w:w="7239" w:type="dxa"/>
            <w:tcBorders>
              <w:top w:val="single" w:color="auto" w:sz="4" w:space="0"/>
              <w:left w:val="single" w:color="auto" w:sz="4" w:space="0"/>
              <w:bottom w:val="single" w:color="auto" w:sz="4" w:space="0"/>
              <w:right w:val="single" w:color="auto" w:sz="4" w:space="0"/>
            </w:tcBorders>
            <w:vAlign w:val="center"/>
          </w:tcPr>
          <w:p>
            <w:pPr>
              <w:pStyle w:val="28"/>
              <w:spacing w:line="240" w:lineRule="atLeast"/>
              <w:jc w:val="left"/>
              <w:rPr>
                <w:rFonts w:eastAsia="宋体" w:cs="宋体"/>
                <w:b/>
                <w:bCs/>
                <w:sz w:val="21"/>
                <w:szCs w:val="21"/>
              </w:rPr>
            </w:pPr>
            <w:r>
              <w:rPr>
                <w:rFonts w:hint="eastAsia" w:eastAsia="宋体" w:cs="宋体"/>
                <w:sz w:val="21"/>
                <w:szCs w:val="21"/>
              </w:rPr>
              <w:t>完全满足招标文件项目需求技术参数的得30分，</w:t>
            </w:r>
            <w:r>
              <w:rPr>
                <w:rFonts w:hint="eastAsia" w:eastAsia="宋体" w:cs="宋体"/>
                <w:b/>
                <w:bCs/>
                <w:sz w:val="21"/>
                <w:szCs w:val="21"/>
              </w:rPr>
              <w:t>技术参数每有一项（1个产品）偏离扣3分，负偏离≥5项（5个产品）视为无效投标。</w:t>
            </w:r>
          </w:p>
          <w:p>
            <w:pPr>
              <w:pStyle w:val="28"/>
              <w:spacing w:line="240" w:lineRule="atLeast"/>
              <w:jc w:val="left"/>
              <w:rPr>
                <w:rFonts w:eastAsia="宋体" w:cs="宋体"/>
                <w:sz w:val="21"/>
                <w:szCs w:val="21"/>
              </w:rPr>
            </w:pPr>
            <w:r>
              <w:rPr>
                <w:rFonts w:hint="eastAsia" w:eastAsia="宋体" w:cs="宋体"/>
                <w:sz w:val="21"/>
                <w:szCs w:val="21"/>
              </w:rPr>
              <w:t>供应商应当提供所投产品技术白皮书或产品彩页或产品检测报告作为佐证材料，否则评委有权视为技术参数存在负偏离。</w:t>
            </w:r>
          </w:p>
          <w:p>
            <w:pPr>
              <w:tabs>
                <w:tab w:val="left" w:pos="-540"/>
                <w:tab w:val="left" w:pos="2880"/>
                <w:tab w:val="left" w:pos="3600"/>
                <w:tab w:val="left" w:pos="4320"/>
                <w:tab w:val="center" w:pos="4433"/>
              </w:tabs>
              <w:autoSpaceDE w:val="0"/>
              <w:autoSpaceDN w:val="0"/>
              <w:adjustRightInd w:val="0"/>
              <w:spacing w:line="240" w:lineRule="atLeast"/>
              <w:ind w:firstLine="422" w:firstLineChars="200"/>
              <w:jc w:val="left"/>
              <w:rPr>
                <w:szCs w:val="21"/>
              </w:rPr>
            </w:pPr>
            <w:r>
              <w:rPr>
                <w:rFonts w:hint="eastAsia" w:cs="宋体"/>
                <w:b/>
                <w:bCs/>
                <w:szCs w:val="21"/>
              </w:rPr>
              <w:t xml:space="preserve"> </w:t>
            </w:r>
            <w:r>
              <w:rPr>
                <w:rFonts w:hint="eastAsia" w:ascii="宋体" w:hAnsi="宋体" w:cs="宋体"/>
                <w:b/>
                <w:bCs/>
                <w:kern w:val="0"/>
                <w:szCs w:val="21"/>
              </w:rPr>
              <w:t>投标人需在“技术条款偏离表”中如实详细填列所投产品的技术指标，并按采购文件要求提供相应证明材料并在偏离表中标明所在页码，对招标文件的要求故意回避不做任何描述或未响应的以及有负偏离而未按要求注明的，均视为负偏离。</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jc w:val="center"/>
              <w:rPr>
                <w:rFonts w:ascii="宋体" w:hAnsi="宋体" w:cs="宋体"/>
                <w:szCs w:val="21"/>
              </w:rPr>
            </w:pPr>
            <w:r>
              <w:rPr>
                <w:rFonts w:hint="eastAsia" w:ascii="宋体" w:hAnsi="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29"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530"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项目业绩</w:t>
            </w:r>
          </w:p>
        </w:tc>
        <w:tc>
          <w:tcPr>
            <w:tcW w:w="7239" w:type="dxa"/>
            <w:tcBorders>
              <w:top w:val="single" w:color="auto" w:sz="4" w:space="0"/>
              <w:left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240" w:lineRule="atLeast"/>
              <w:ind w:firstLine="420" w:firstLineChars="200"/>
              <w:jc w:val="left"/>
              <w:rPr>
                <w:szCs w:val="21"/>
              </w:rPr>
            </w:pPr>
            <w:r>
              <w:rPr>
                <w:rFonts w:hint="eastAsia" w:ascii="宋体" w:hAnsi="宋体" w:cs="宋体"/>
                <w:color w:val="000000" w:themeColor="text1"/>
                <w:kern w:val="0"/>
                <w:szCs w:val="21"/>
                <w14:textFill>
                  <w14:solidFill>
                    <w14:schemeClr w14:val="tx1"/>
                  </w14:solidFill>
                </w14:textFill>
              </w:rPr>
              <w:t>投标人自2020年1月1日起（以签订合同时间为准）签订过同类设备</w:t>
            </w:r>
            <w:r>
              <w:rPr>
                <w:rFonts w:hint="eastAsia" w:ascii="宋体" w:hAnsi="宋体" w:cs="宋体"/>
                <w:b/>
                <w:bCs/>
                <w:color w:val="000000" w:themeColor="text1"/>
                <w:kern w:val="0"/>
                <w:szCs w:val="21"/>
                <w14:textFill>
                  <w14:solidFill>
                    <w14:schemeClr w14:val="tx1"/>
                  </w14:solidFill>
                </w14:textFill>
              </w:rPr>
              <w:t>（须包含本项目核心产品高级静脉输液手臂业绩</w:t>
            </w:r>
            <w:r>
              <w:rPr>
                <w:rFonts w:hint="eastAsia" w:ascii="宋体" w:hAnsi="宋体" w:cs="宋体"/>
                <w:b/>
                <w:bCs/>
                <w:color w:val="000000" w:themeColor="text1"/>
                <w:kern w:val="0"/>
                <w:szCs w:val="21"/>
                <w:lang w:eastAsia="zh-CN"/>
                <w14:textFill>
                  <w14:solidFill>
                    <w14:schemeClr w14:val="tx1"/>
                  </w14:solidFill>
                </w14:textFill>
              </w:rPr>
              <w:t>或</w:t>
            </w:r>
            <w:r>
              <w:rPr>
                <w:rFonts w:hint="eastAsia" w:ascii="宋体" w:hAnsi="宋体" w:cs="宋体"/>
                <w:b/>
                <w:bCs/>
                <w:color w:val="000000" w:themeColor="text1"/>
                <w:kern w:val="0"/>
                <w:szCs w:val="21"/>
                <w14:textFill>
                  <w14:solidFill>
                    <w14:schemeClr w14:val="tx1"/>
                  </w14:solidFill>
                </w14:textFill>
              </w:rPr>
              <w:t>心肺复苏训练考核器业绩）</w:t>
            </w:r>
            <w:r>
              <w:rPr>
                <w:rFonts w:hint="eastAsia" w:ascii="宋体" w:hAnsi="宋体" w:cs="宋体"/>
                <w:color w:val="000000" w:themeColor="text1"/>
                <w:kern w:val="0"/>
                <w:szCs w:val="21"/>
                <w14:textFill>
                  <w14:solidFill>
                    <w14:schemeClr w14:val="tx1"/>
                  </w14:solidFill>
                </w14:textFill>
              </w:rPr>
              <w:t>销售合同业绩（供应商所销售的同类设备需在产品价值、技术指标参数、设备功能用途等方面与响应设备相近，由磋商小组认定业绩是否有效），每提供1个得2分，本项最高得4分。提供合同、中标（成交）公告网站截图为准，且加盖投标人公章的完整复印件须装订于投标文件中，否则不得分。</w:t>
            </w:r>
          </w:p>
        </w:tc>
        <w:tc>
          <w:tcPr>
            <w:tcW w:w="709" w:type="dxa"/>
            <w:tcBorders>
              <w:top w:val="single" w:color="auto" w:sz="4" w:space="0"/>
              <w:left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29"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4</w:t>
            </w:r>
          </w:p>
        </w:tc>
        <w:tc>
          <w:tcPr>
            <w:tcW w:w="1530"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240" w:lineRule="atLeas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投标产品介绍</w:t>
            </w:r>
          </w:p>
        </w:tc>
        <w:tc>
          <w:tcPr>
            <w:tcW w:w="7239" w:type="dxa"/>
            <w:tcBorders>
              <w:top w:val="single" w:color="auto" w:sz="4" w:space="0"/>
              <w:left w:val="single" w:color="auto" w:sz="4" w:space="0"/>
              <w:right w:val="single" w:color="auto" w:sz="4" w:space="0"/>
            </w:tcBorders>
            <w:vAlign w:val="center"/>
          </w:tcPr>
          <w:p>
            <w:pPr>
              <w:pStyle w:val="2"/>
              <w:spacing w:line="240" w:lineRule="atLeast"/>
              <w:ind w:left="0" w:leftChars="0" w:firstLine="420" w:firstLineChars="200"/>
              <w:rPr>
                <w:rFonts w:hint="eastAsia" w:ascii="宋体" w:hAnsi="宋体" w:cs="宋体"/>
                <w:b/>
                <w:bCs/>
                <w:color w:val="auto"/>
                <w:kern w:val="0"/>
                <w:szCs w:val="21"/>
              </w:rPr>
            </w:pPr>
            <w:r>
              <w:rPr>
                <w:rFonts w:hint="eastAsia" w:ascii="宋体" w:hAnsi="宋体" w:eastAsia="宋体" w:cs="宋体"/>
                <w:color w:val="auto"/>
                <w:kern w:val="0"/>
                <w:sz w:val="21"/>
                <w:szCs w:val="21"/>
                <w:lang w:val="en-US" w:eastAsia="zh-CN" w:bidi="ar-SA"/>
              </w:rPr>
              <w:t>投标人提供所投产品</w:t>
            </w:r>
            <w:r>
              <w:rPr>
                <w:rFonts w:hint="eastAsia" w:ascii="宋体" w:hAnsi="宋体" w:cs="宋体"/>
                <w:color w:val="auto"/>
                <w:kern w:val="0"/>
                <w:sz w:val="21"/>
                <w:szCs w:val="21"/>
                <w:lang w:val="en-US" w:eastAsia="zh-CN" w:bidi="ar-SA"/>
              </w:rPr>
              <w:t>（</w:t>
            </w:r>
            <w:r>
              <w:rPr>
                <w:rFonts w:hint="eastAsia" w:ascii="宋体" w:hAnsi="宋体" w:cs="宋体"/>
                <w:b/>
                <w:bCs/>
                <w:color w:val="auto"/>
                <w:kern w:val="0"/>
                <w:szCs w:val="21"/>
                <w:highlight w:val="none"/>
              </w:rPr>
              <w:t>两个核心产品</w:t>
            </w:r>
            <w:r>
              <w:rPr>
                <w:rFonts w:hint="eastAsia" w:ascii="宋体" w:hAnsi="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t>的厂家宣传彩页（或彩色宣传册），内容包括但不限于产品的品牌、性能、质量、市场</w:t>
            </w:r>
            <w:r>
              <w:rPr>
                <w:rFonts w:hint="eastAsia" w:ascii="宋体" w:hAnsi="宋体" w:cs="宋体"/>
                <w:color w:val="auto"/>
                <w:kern w:val="0"/>
                <w:sz w:val="21"/>
                <w:szCs w:val="21"/>
                <w:lang w:val="en-US" w:eastAsia="zh-CN" w:bidi="ar-SA"/>
              </w:rPr>
              <w:t>覆盖面</w:t>
            </w:r>
            <w:r>
              <w:rPr>
                <w:rFonts w:hint="eastAsia" w:ascii="宋体" w:hAnsi="宋体" w:eastAsia="宋体" w:cs="宋体"/>
                <w:color w:val="auto"/>
                <w:kern w:val="0"/>
                <w:sz w:val="21"/>
                <w:szCs w:val="21"/>
                <w:lang w:val="en-US" w:eastAsia="zh-CN" w:bidi="ar-SA"/>
              </w:rPr>
              <w:t>等</w:t>
            </w:r>
            <w:r>
              <w:rPr>
                <w:rFonts w:hint="eastAsia" w:ascii="宋体" w:hAnsi="宋体" w:cs="宋体"/>
                <w:color w:val="auto"/>
                <w:kern w:val="0"/>
                <w:sz w:val="21"/>
                <w:szCs w:val="21"/>
                <w:lang w:val="en-US" w:eastAsia="zh-CN" w:bidi="ar-SA"/>
              </w:rPr>
              <w:t>，未提供不得分。</w:t>
            </w:r>
          </w:p>
        </w:tc>
        <w:tc>
          <w:tcPr>
            <w:tcW w:w="709" w:type="dxa"/>
            <w:tcBorders>
              <w:top w:val="single" w:color="auto" w:sz="4" w:space="0"/>
              <w:left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29" w:type="dxa"/>
            <w:vAlign w:val="center"/>
          </w:tcPr>
          <w:p>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p>
        </w:tc>
        <w:tc>
          <w:tcPr>
            <w:tcW w:w="1530" w:type="dxa"/>
            <w:vAlign w:val="center"/>
          </w:tcPr>
          <w:p>
            <w:pPr>
              <w:tabs>
                <w:tab w:val="left" w:pos="-540"/>
                <w:tab w:val="left" w:pos="2880"/>
                <w:tab w:val="left" w:pos="3600"/>
                <w:tab w:val="left" w:pos="4320"/>
                <w:tab w:val="center" w:pos="4433"/>
              </w:tabs>
              <w:autoSpaceDE w:val="0"/>
              <w:autoSpaceDN w:val="0"/>
              <w:adjustRightInd w:val="0"/>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实施方案</w:t>
            </w:r>
          </w:p>
        </w:tc>
        <w:tc>
          <w:tcPr>
            <w:tcW w:w="7239" w:type="dxa"/>
            <w:vAlign w:val="center"/>
          </w:tcPr>
          <w:p>
            <w:pPr>
              <w:widowControl/>
              <w:spacing w:line="240" w:lineRule="atLeast"/>
              <w:ind w:firstLine="422" w:firstLineChars="20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根据投标人针对本项目的供货方案进行打分：</w:t>
            </w:r>
          </w:p>
          <w:p>
            <w:pPr>
              <w:widowControl/>
              <w:spacing w:line="240" w:lineRule="atLeas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针对本项目的产品供货方案描述合理、可行、有可靠的保证措施，且能够提供更快的供货期，得</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.1-1</w:t>
            </w:r>
            <w:r>
              <w:rPr>
                <w:rFonts w:hint="eastAsia" w:ascii="宋体" w:hAnsi="宋体" w:cs="宋体"/>
                <w:color w:val="000000" w:themeColor="text1"/>
                <w:kern w:val="0"/>
                <w:szCs w:val="21"/>
                <w:lang w:val="en-US" w:eastAsia="zh-CN"/>
                <w14:textFill>
                  <w14:solidFill>
                    <w14:schemeClr w14:val="tx1"/>
                  </w14:solidFill>
                </w14:textFill>
              </w:rPr>
              <w:t>0</w:t>
            </w:r>
            <w:r>
              <w:rPr>
                <w:rFonts w:hint="eastAsia" w:ascii="宋体" w:hAnsi="宋体" w:cs="宋体"/>
                <w:color w:val="000000" w:themeColor="text1"/>
                <w:kern w:val="0"/>
                <w:szCs w:val="21"/>
                <w14:textFill>
                  <w14:solidFill>
                    <w14:schemeClr w14:val="tx1"/>
                  </w14:solidFill>
                </w14:textFill>
              </w:rPr>
              <w:t>分；针对本项目的产品供货方案描述简略，仅能满足项目基础使用要求的，得</w:t>
            </w: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分； 对本项目的产品供货方案描述差，不能满足项目基础使用要求的，得</w:t>
            </w: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分；未提供方案的不得分。</w:t>
            </w:r>
          </w:p>
        </w:tc>
        <w:tc>
          <w:tcPr>
            <w:tcW w:w="709" w:type="dxa"/>
            <w:vAlign w:val="center"/>
          </w:tcPr>
          <w:p>
            <w:pPr>
              <w:tabs>
                <w:tab w:val="left" w:pos="-540"/>
                <w:tab w:val="left" w:pos="2880"/>
                <w:tab w:val="left" w:pos="3600"/>
                <w:tab w:val="left" w:pos="4320"/>
                <w:tab w:val="center" w:pos="4433"/>
              </w:tabs>
              <w:autoSpaceDE w:val="0"/>
              <w:autoSpaceDN w:val="0"/>
              <w:adjustRightInd w:val="0"/>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29" w:type="dxa"/>
            <w:vAlign w:val="center"/>
          </w:tcPr>
          <w:p>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w:t>
            </w:r>
          </w:p>
        </w:tc>
        <w:tc>
          <w:tcPr>
            <w:tcW w:w="1530" w:type="dxa"/>
            <w:vAlign w:val="center"/>
          </w:tcPr>
          <w:p>
            <w:pPr>
              <w:widowControl/>
              <w:spacing w:line="24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培训方案</w:t>
            </w:r>
          </w:p>
        </w:tc>
        <w:tc>
          <w:tcPr>
            <w:tcW w:w="7239" w:type="dxa"/>
            <w:vAlign w:val="center"/>
          </w:tcPr>
          <w:p>
            <w:pPr>
              <w:widowControl/>
              <w:spacing w:line="240" w:lineRule="atLeast"/>
              <w:ind w:firstLine="422" w:firstLineChars="20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根据投标人提供的培训组织方案、人员安排进行评分：</w:t>
            </w:r>
          </w:p>
          <w:p>
            <w:pPr>
              <w:widowControl/>
              <w:autoSpaceDE w:val="0"/>
              <w:autoSpaceDN w:val="0"/>
              <w:adjustRightInd w:val="0"/>
              <w:spacing w:line="240" w:lineRule="atLeas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培训方案科学合理，可行性强得5.1-7分；培训方案较合理，可行性一般得 3.1-5分；培训方案一般，可行性差得1.1-3分；未提供不得分。</w:t>
            </w:r>
          </w:p>
        </w:tc>
        <w:tc>
          <w:tcPr>
            <w:tcW w:w="709" w:type="dxa"/>
            <w:vAlign w:val="center"/>
          </w:tcPr>
          <w:p>
            <w:pPr>
              <w:tabs>
                <w:tab w:val="left" w:pos="-540"/>
                <w:tab w:val="left" w:pos="2880"/>
                <w:tab w:val="left" w:pos="3600"/>
                <w:tab w:val="left" w:pos="4320"/>
                <w:tab w:val="center" w:pos="4433"/>
              </w:tabs>
              <w:autoSpaceDE w:val="0"/>
              <w:autoSpaceDN w:val="0"/>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29"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1530" w:type="dxa"/>
            <w:vAlign w:val="center"/>
          </w:tcPr>
          <w:p>
            <w:pPr>
              <w:tabs>
                <w:tab w:val="left" w:pos="-540"/>
                <w:tab w:val="left" w:pos="2880"/>
                <w:tab w:val="left" w:pos="3600"/>
                <w:tab w:val="left" w:pos="4320"/>
                <w:tab w:val="center" w:pos="4433"/>
              </w:tabs>
              <w:autoSpaceDE w:val="0"/>
              <w:autoSpaceDN w:val="0"/>
              <w:adjustRightInd w:val="0"/>
              <w:spacing w:line="240" w:lineRule="atLeast"/>
              <w:jc w:val="center"/>
              <w:rPr>
                <w:rFonts w:ascii="宋体" w:hAnsi="宋体" w:cs="宋体"/>
                <w:kern w:val="0"/>
                <w:szCs w:val="21"/>
              </w:rPr>
            </w:pPr>
            <w:r>
              <w:rPr>
                <w:rFonts w:hint="eastAsia" w:ascii="宋体" w:hAnsi="宋体" w:cs="宋体"/>
                <w:kern w:val="0"/>
                <w:szCs w:val="21"/>
              </w:rPr>
              <w:t>售后服务</w:t>
            </w:r>
          </w:p>
        </w:tc>
        <w:tc>
          <w:tcPr>
            <w:tcW w:w="7239" w:type="dxa"/>
            <w:vAlign w:val="center"/>
          </w:tcPr>
          <w:p>
            <w:pPr>
              <w:widowControl/>
              <w:spacing w:line="240" w:lineRule="atLeast"/>
              <w:ind w:firstLine="422" w:firstLineChars="200"/>
              <w:jc w:val="left"/>
              <w:rPr>
                <w:rFonts w:ascii="宋体" w:hAnsi="宋体" w:cs="宋体"/>
                <w:b/>
                <w:bCs/>
                <w:szCs w:val="21"/>
              </w:rPr>
            </w:pPr>
            <w:r>
              <w:rPr>
                <w:rFonts w:hint="eastAsia" w:ascii="宋体" w:hAnsi="宋体" w:cs="宋体"/>
                <w:b/>
                <w:bCs/>
                <w:szCs w:val="21"/>
              </w:rPr>
              <w:t>根据投标人提供的售后服务方案进行评分：</w:t>
            </w:r>
          </w:p>
          <w:p>
            <w:pPr>
              <w:widowControl/>
              <w:spacing w:line="240" w:lineRule="atLeast"/>
              <w:ind w:firstLine="420" w:firstLineChars="200"/>
              <w:jc w:val="left"/>
              <w:rPr>
                <w:rFonts w:ascii="宋体" w:hAnsi="宋体" w:cs="宋体"/>
                <w:szCs w:val="21"/>
              </w:rPr>
            </w:pPr>
            <w:r>
              <w:rPr>
                <w:rFonts w:hint="eastAsia" w:ascii="宋体" w:hAnsi="宋体" w:cs="宋体"/>
                <w:szCs w:val="21"/>
              </w:rPr>
              <w:t>提供了设备生产厂家或设备生产厂家授权的国内公司（或国内独家代理公司）售后服务承诺函，售后服务体系、服务方案、设备耗材、售后服务分支机构及人员水平详细周全、可行，并承诺更优惠的质保期能够完全满足或高于项目需求的，得</w:t>
            </w:r>
            <w:r>
              <w:rPr>
                <w:rFonts w:hint="eastAsia" w:ascii="宋体" w:hAnsi="宋体" w:cs="宋体"/>
                <w:szCs w:val="21"/>
                <w:lang w:val="en-US" w:eastAsia="zh-CN"/>
              </w:rPr>
              <w:t>8.1-10</w:t>
            </w:r>
            <w:r>
              <w:rPr>
                <w:rFonts w:hint="eastAsia" w:ascii="宋体" w:hAnsi="宋体" w:cs="宋体"/>
                <w:szCs w:val="21"/>
              </w:rPr>
              <w:t>分；</w:t>
            </w:r>
          </w:p>
          <w:p>
            <w:pPr>
              <w:widowControl/>
              <w:spacing w:line="240" w:lineRule="atLeast"/>
              <w:ind w:firstLine="420" w:firstLineChars="200"/>
              <w:jc w:val="left"/>
              <w:rPr>
                <w:rFonts w:ascii="宋体" w:hAnsi="宋体" w:cs="宋体"/>
                <w:szCs w:val="21"/>
              </w:rPr>
            </w:pPr>
            <w:r>
              <w:rPr>
                <w:rFonts w:hint="eastAsia" w:ascii="宋体" w:hAnsi="宋体" w:cs="宋体"/>
                <w:szCs w:val="21"/>
              </w:rPr>
              <w:t>提供了设备生产厂家售后服务承诺函，设备厂家售后服务体系、服务方案、设备耗材、售后服务分支机构及人员水平描述简略、不详实的，得</w:t>
            </w:r>
            <w:r>
              <w:rPr>
                <w:rFonts w:hint="eastAsia" w:ascii="宋体" w:hAnsi="宋体" w:cs="宋体"/>
                <w:szCs w:val="21"/>
                <w:lang w:val="en-US" w:eastAsia="zh-CN"/>
              </w:rPr>
              <w:t>6.1-8</w:t>
            </w:r>
            <w:r>
              <w:rPr>
                <w:rFonts w:hint="eastAsia" w:ascii="宋体" w:hAnsi="宋体" w:cs="宋体"/>
                <w:szCs w:val="21"/>
              </w:rPr>
              <w:t>分；</w:t>
            </w:r>
          </w:p>
          <w:p>
            <w:pPr>
              <w:widowControl/>
              <w:spacing w:line="240" w:lineRule="atLeast"/>
              <w:ind w:firstLine="420" w:firstLineChars="200"/>
              <w:jc w:val="left"/>
              <w:rPr>
                <w:rFonts w:ascii="宋体" w:hAnsi="宋体" w:cs="宋体"/>
                <w:kern w:val="0"/>
                <w:szCs w:val="21"/>
              </w:rPr>
            </w:pPr>
            <w:r>
              <w:rPr>
                <w:rFonts w:hint="eastAsia" w:ascii="宋体" w:hAnsi="宋体" w:cs="宋体"/>
                <w:szCs w:val="21"/>
              </w:rPr>
              <w:t>未提供设备生产厂家售后服务承诺函，售后服务体系、服务方案、设备耗材、售后服务分支机构及人员水平有欠缺的，得</w:t>
            </w:r>
            <w:r>
              <w:rPr>
                <w:rFonts w:hint="eastAsia" w:ascii="宋体" w:hAnsi="宋体" w:cs="宋体"/>
                <w:szCs w:val="21"/>
                <w:lang w:val="en-US" w:eastAsia="zh-CN"/>
              </w:rPr>
              <w:t>4.1-6</w:t>
            </w:r>
            <w:r>
              <w:rPr>
                <w:rFonts w:hint="eastAsia" w:ascii="宋体" w:hAnsi="宋体" w:cs="宋体"/>
                <w:szCs w:val="21"/>
              </w:rPr>
              <w:t>分；未提供方案的不得分。</w:t>
            </w:r>
          </w:p>
        </w:tc>
        <w:tc>
          <w:tcPr>
            <w:tcW w:w="709" w:type="dxa"/>
            <w:vAlign w:val="center"/>
          </w:tcPr>
          <w:p>
            <w:pPr>
              <w:tabs>
                <w:tab w:val="left" w:pos="-540"/>
                <w:tab w:val="left" w:pos="2880"/>
                <w:tab w:val="left" w:pos="3600"/>
                <w:tab w:val="left" w:pos="4320"/>
                <w:tab w:val="center" w:pos="4433"/>
              </w:tabs>
              <w:autoSpaceDE w:val="0"/>
              <w:autoSpaceDN w:val="0"/>
              <w:adjustRightInd w:val="0"/>
              <w:jc w:val="center"/>
              <w:rPr>
                <w:rFonts w:hint="default" w:ascii="宋体" w:hAnsi="宋体" w:eastAsia="宋体" w:cs="宋体"/>
                <w:szCs w:val="21"/>
                <w:lang w:val="en-US" w:eastAsia="zh-CN"/>
              </w:rPr>
            </w:pPr>
            <w:r>
              <w:rPr>
                <w:rFonts w:hint="eastAsia" w:ascii="宋体" w:hAnsi="宋体" w:cs="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29"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1530" w:type="dxa"/>
            <w:vAlign w:val="center"/>
          </w:tcPr>
          <w:p>
            <w:pPr>
              <w:spacing w:line="240" w:lineRule="atLeast"/>
              <w:rPr>
                <w:rFonts w:ascii="宋体" w:hAnsi="宋体" w:cs="宋体"/>
                <w:szCs w:val="21"/>
              </w:rPr>
            </w:pPr>
            <w:r>
              <w:rPr>
                <w:rFonts w:hint="eastAsia" w:ascii="宋体" w:hAnsi="宋体" w:cs="宋体"/>
                <w:szCs w:val="21"/>
              </w:rPr>
              <w:t>免费质保期</w:t>
            </w:r>
          </w:p>
        </w:tc>
        <w:tc>
          <w:tcPr>
            <w:tcW w:w="7239" w:type="dxa"/>
            <w:vAlign w:val="center"/>
          </w:tcPr>
          <w:p>
            <w:pPr>
              <w:spacing w:line="240" w:lineRule="atLeast"/>
              <w:ind w:firstLine="420" w:firstLineChars="200"/>
              <w:rPr>
                <w:rFonts w:ascii="宋体" w:hAnsi="宋体" w:cs="宋体"/>
                <w:szCs w:val="21"/>
              </w:rPr>
            </w:pPr>
            <w:r>
              <w:rPr>
                <w:rFonts w:hint="eastAsia" w:ascii="宋体" w:hAnsi="宋体" w:cs="宋体"/>
                <w:szCs w:val="21"/>
              </w:rPr>
              <w:t>投标</w:t>
            </w:r>
            <w:r>
              <w:rPr>
                <w:rFonts w:ascii="宋体" w:hAnsi="宋体" w:cs="宋体"/>
                <w:szCs w:val="21"/>
              </w:rPr>
              <w:t>人</w:t>
            </w:r>
            <w:r>
              <w:rPr>
                <w:rFonts w:hint="eastAsia" w:ascii="宋体" w:hAnsi="宋体" w:cs="宋体"/>
                <w:szCs w:val="21"/>
                <w:lang w:eastAsia="zh-CN"/>
              </w:rPr>
              <w:t>所投产品</w:t>
            </w:r>
            <w:r>
              <w:rPr>
                <w:rFonts w:hint="eastAsia" w:ascii="宋体" w:hAnsi="宋体" w:cs="宋体"/>
                <w:szCs w:val="21"/>
              </w:rPr>
              <w:t>满足本项目质保</w:t>
            </w:r>
            <w:r>
              <w:rPr>
                <w:rFonts w:hint="eastAsia" w:ascii="宋体" w:hAnsi="宋体" w:cs="宋体"/>
                <w:szCs w:val="21"/>
                <w:lang w:eastAsia="zh-CN"/>
              </w:rPr>
              <w:t>要求的基础上</w:t>
            </w:r>
            <w:r>
              <w:rPr>
                <w:rFonts w:hint="eastAsia" w:ascii="宋体" w:hAnsi="宋体" w:cs="宋体"/>
                <w:szCs w:val="21"/>
              </w:rPr>
              <w:t>，每承诺增加一年免费质保得</w:t>
            </w:r>
            <w:r>
              <w:rPr>
                <w:rFonts w:hint="eastAsia" w:ascii="宋体" w:hAnsi="宋体" w:cs="宋体"/>
                <w:szCs w:val="21"/>
                <w:lang w:val="en-US" w:eastAsia="zh-CN"/>
              </w:rPr>
              <w:t>2</w:t>
            </w:r>
            <w:r>
              <w:rPr>
                <w:rFonts w:hint="eastAsia" w:ascii="宋体" w:hAnsi="宋体" w:cs="宋体"/>
                <w:szCs w:val="21"/>
              </w:rPr>
              <w:t>分，最高</w:t>
            </w:r>
            <w:r>
              <w:rPr>
                <w:rFonts w:hint="eastAsia" w:ascii="宋体" w:hAnsi="宋体" w:cs="宋体"/>
                <w:szCs w:val="21"/>
                <w:lang w:val="en-US" w:eastAsia="zh-CN"/>
              </w:rPr>
              <w:t>4</w:t>
            </w:r>
            <w:r>
              <w:rPr>
                <w:rFonts w:hint="eastAsia" w:ascii="宋体" w:hAnsi="宋体" w:cs="宋体"/>
                <w:szCs w:val="21"/>
              </w:rPr>
              <w:t>分。（提供承诺书原件加盖投标人公章，格式自拟）</w:t>
            </w:r>
          </w:p>
        </w:tc>
        <w:tc>
          <w:tcPr>
            <w:tcW w:w="709" w:type="dxa"/>
            <w:vAlign w:val="center"/>
          </w:tcPr>
          <w:p>
            <w:pPr>
              <w:jc w:val="center"/>
              <w:rPr>
                <w:rFonts w:hint="eastAsia" w:ascii="宋体" w:hAnsi="宋体" w:eastAsia="宋体" w:cs="宋体"/>
                <w:szCs w:val="21"/>
                <w:lang w:eastAsia="zh-CN"/>
              </w:rPr>
            </w:pPr>
            <w:bookmarkStart w:id="192" w:name="_GoBack"/>
            <w:r>
              <w:rPr>
                <w:rFonts w:hint="eastAsia" w:ascii="宋体" w:hAnsi="宋体" w:cs="宋体"/>
                <w:color w:val="000000" w:themeColor="text1"/>
                <w:szCs w:val="21"/>
                <w:lang w:val="en-US" w:eastAsia="zh-CN"/>
                <w14:textFill>
                  <w14:solidFill>
                    <w14:schemeClr w14:val="tx1"/>
                  </w14:solidFill>
                </w14:textFill>
              </w:rPr>
              <w:t>4</w:t>
            </w:r>
            <w:bookmarkEnd w:id="192"/>
          </w:p>
        </w:tc>
      </w:tr>
    </w:tbl>
    <w:p>
      <w:pPr>
        <w:pStyle w:val="40"/>
        <w:snapToGrid w:val="0"/>
        <w:spacing w:line="360" w:lineRule="auto"/>
        <w:ind w:left="0" w:leftChars="0" w:firstLine="0" w:firstLineChars="0"/>
        <w:outlineLvl w:val="1"/>
        <w:rPr>
          <w:rFonts w:hint="eastAsia" w:asciiTheme="minorEastAsia" w:hAnsiTheme="minorEastAsia" w:eastAsiaTheme="minorEastAsia" w:cstheme="minorEastAsia"/>
          <w:b/>
          <w:color w:val="000000"/>
          <w:sz w:val="21"/>
          <w:szCs w:val="21"/>
        </w:rPr>
      </w:pPr>
      <w:bookmarkStart w:id="182" w:name="_Toc122338101"/>
    </w:p>
    <w:p>
      <w:pPr>
        <w:pStyle w:val="40"/>
        <w:snapToGrid w:val="0"/>
        <w:spacing w:line="360" w:lineRule="auto"/>
        <w:ind w:left="0" w:leftChars="0" w:firstLine="0" w:firstLineChars="0"/>
        <w:outlineLvl w:val="1"/>
        <w:rPr>
          <w:rFonts w:hint="eastAsia" w:asciiTheme="minorEastAsia" w:hAnsiTheme="minorEastAsia" w:eastAsiaTheme="minorEastAsia" w:cstheme="minorEastAsia"/>
          <w:b/>
          <w:color w:val="000000"/>
          <w:sz w:val="21"/>
          <w:szCs w:val="21"/>
        </w:rPr>
      </w:pPr>
    </w:p>
    <w:p>
      <w:pPr>
        <w:pStyle w:val="40"/>
        <w:snapToGrid w:val="0"/>
        <w:spacing w:line="360" w:lineRule="auto"/>
        <w:ind w:left="0" w:leftChars="0" w:firstLine="0" w:firstLineChars="0"/>
        <w:outlineLvl w:val="1"/>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采购包二：</w:t>
      </w:r>
    </w:p>
    <w:tbl>
      <w:tblPr>
        <w:tblStyle w:val="29"/>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08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评审项目</w:t>
            </w:r>
          </w:p>
        </w:tc>
        <w:tc>
          <w:tcPr>
            <w:tcW w:w="7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评分内容</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投标报价</w:t>
            </w:r>
          </w:p>
        </w:tc>
        <w:tc>
          <w:tcPr>
            <w:tcW w:w="7088" w:type="dxa"/>
            <w:tcBorders>
              <w:top w:val="single" w:color="auto" w:sz="4" w:space="0"/>
              <w:left w:val="single" w:color="auto" w:sz="4" w:space="0"/>
              <w:bottom w:val="single" w:color="auto" w:sz="4" w:space="0"/>
              <w:right w:val="single" w:color="auto" w:sz="4" w:space="0"/>
            </w:tcBorders>
          </w:tcPr>
          <w:p>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以满足招标文件要求且投标价格最低的投标报价为评标基准价，其价格分为满分30分，其他投标人的价格分按照下列公式计算：投标报价得分=（评标基准价/投标报价）×30（小数点后保留两位，四舍五入）</w:t>
            </w: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36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2</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技术响应</w:t>
            </w:r>
          </w:p>
        </w:tc>
        <w:tc>
          <w:tcPr>
            <w:tcW w:w="7088" w:type="dxa"/>
            <w:tcBorders>
              <w:top w:val="single" w:color="auto" w:sz="4" w:space="0"/>
              <w:left w:val="single" w:color="auto" w:sz="4" w:space="0"/>
              <w:bottom w:val="single" w:color="auto" w:sz="4" w:space="0"/>
              <w:right w:val="single" w:color="auto" w:sz="4" w:space="0"/>
            </w:tcBorders>
            <w:vAlign w:val="center"/>
          </w:tcPr>
          <w:p>
            <w:pPr>
              <w:pStyle w:val="28"/>
              <w:spacing w:line="240" w:lineRule="auto"/>
              <w:jc w:val="left"/>
              <w:rPr>
                <w:rFonts w:eastAsia="宋体" w:cs="宋体"/>
                <w:b/>
                <w:bCs/>
                <w:sz w:val="21"/>
                <w:szCs w:val="21"/>
              </w:rPr>
            </w:pPr>
            <w:r>
              <w:rPr>
                <w:rFonts w:hint="eastAsia" w:eastAsia="宋体" w:cs="宋体"/>
                <w:sz w:val="21"/>
                <w:szCs w:val="21"/>
              </w:rPr>
              <w:t>完全满足招标文件项目需求技术参数的得30分，</w:t>
            </w:r>
            <w:r>
              <w:rPr>
                <w:rFonts w:hint="eastAsia" w:eastAsia="宋体" w:cs="宋体"/>
                <w:b/>
                <w:bCs/>
                <w:sz w:val="21"/>
                <w:szCs w:val="21"/>
              </w:rPr>
              <w:t>技术参数每有一项参数要求偏离扣3分，负偏离≥5项（5个产品）视为无效投标。</w:t>
            </w:r>
          </w:p>
          <w:p>
            <w:pPr>
              <w:pStyle w:val="28"/>
              <w:spacing w:line="240" w:lineRule="auto"/>
              <w:jc w:val="left"/>
              <w:rPr>
                <w:rFonts w:eastAsia="宋体" w:cs="宋体"/>
                <w:sz w:val="21"/>
                <w:szCs w:val="21"/>
              </w:rPr>
            </w:pPr>
            <w:r>
              <w:rPr>
                <w:rFonts w:hint="eastAsia" w:eastAsia="宋体" w:cs="宋体"/>
                <w:sz w:val="21"/>
                <w:szCs w:val="21"/>
              </w:rPr>
              <w:t>供应商应当提供所投产品技术白皮书或产品彩页或产品检测报告作为佐证材料，否则评委有权视为技术参数存在负偏离。</w:t>
            </w:r>
          </w:p>
          <w:p>
            <w:pPr>
              <w:tabs>
                <w:tab w:val="left" w:pos="-540"/>
                <w:tab w:val="left" w:pos="2880"/>
                <w:tab w:val="left" w:pos="3600"/>
                <w:tab w:val="left" w:pos="4320"/>
                <w:tab w:val="center" w:pos="4433"/>
              </w:tabs>
              <w:autoSpaceDE w:val="0"/>
              <w:autoSpaceDN w:val="0"/>
              <w:adjustRightInd w:val="0"/>
              <w:ind w:firstLine="422" w:firstLineChars="200"/>
              <w:jc w:val="left"/>
            </w:pPr>
            <w:r>
              <w:rPr>
                <w:rFonts w:hint="eastAsia" w:cs="宋体"/>
                <w:b/>
                <w:bCs/>
                <w:szCs w:val="21"/>
              </w:rPr>
              <w:t xml:space="preserve"> </w:t>
            </w:r>
            <w:r>
              <w:rPr>
                <w:rFonts w:hint="eastAsia" w:ascii="宋体" w:hAnsi="宋体" w:cs="宋体"/>
                <w:b/>
                <w:bCs/>
                <w:kern w:val="0"/>
                <w:szCs w:val="21"/>
              </w:rPr>
              <w:t>投标人需在“技术条款偏离表”中如实详细填列所投产品的技术指标，并按采购文件要求提供相应证明材料并在偏离表中标明所在页码，对招标文件的要求故意回避不做任何描述或未响应的以及有负偏离而未按要求注明的，均视为负偏离。</w:t>
            </w: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360" w:lineRule="auto"/>
              <w:jc w:val="center"/>
              <w:rPr>
                <w:rFonts w:ascii="宋体" w:hAnsi="宋体" w:cs="宋体"/>
                <w:szCs w:val="21"/>
              </w:rPr>
            </w:pPr>
            <w:r>
              <w:rPr>
                <w:rFonts w:hint="eastAsia" w:ascii="宋体" w:hAnsi="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项目业绩</w:t>
            </w:r>
          </w:p>
        </w:tc>
        <w:tc>
          <w:tcPr>
            <w:tcW w:w="7088" w:type="dxa"/>
            <w:tcBorders>
              <w:top w:val="single" w:color="auto" w:sz="4" w:space="0"/>
              <w:left w:val="single" w:color="auto" w:sz="4" w:space="0"/>
              <w:right w:val="single" w:color="auto" w:sz="4" w:space="0"/>
            </w:tcBorders>
            <w:vAlign w:val="center"/>
          </w:tcPr>
          <w:p>
            <w:pPr>
              <w:pStyle w:val="2"/>
              <w:ind w:left="0" w:leftChars="0" w:firstLine="210" w:firstLineChars="100"/>
            </w:pPr>
            <w:r>
              <w:rPr>
                <w:rFonts w:hint="eastAsia" w:ascii="宋体" w:hAnsi="宋体" w:cs="宋体"/>
                <w:kern w:val="0"/>
                <w:szCs w:val="21"/>
              </w:rPr>
              <w:t>投标人自2020年1月1日起（以签订合同时间为准）签订过本项目销售合同业绩的，每提供1份得2分，本项最高得4分。提供合同、中标（成交）公告网站截图为准，且加盖投标人公章的完整复印件须装订于投标文件中，否则不得分。</w:t>
            </w:r>
          </w:p>
        </w:tc>
        <w:tc>
          <w:tcPr>
            <w:tcW w:w="708" w:type="dxa"/>
            <w:tcBorders>
              <w:top w:val="single" w:color="auto" w:sz="4" w:space="0"/>
              <w:left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276" w:type="dxa"/>
            <w:vAlign w:val="center"/>
          </w:tcPr>
          <w:p>
            <w:pPr>
              <w:tabs>
                <w:tab w:val="left" w:pos="-540"/>
                <w:tab w:val="left" w:pos="2880"/>
                <w:tab w:val="left" w:pos="3600"/>
                <w:tab w:val="left" w:pos="4320"/>
                <w:tab w:val="center" w:pos="4433"/>
              </w:tabs>
              <w:autoSpaceDE w:val="0"/>
              <w:autoSpaceDN w:val="0"/>
              <w:adjustRightIn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实施方案</w:t>
            </w:r>
          </w:p>
        </w:tc>
        <w:tc>
          <w:tcPr>
            <w:tcW w:w="7088" w:type="dxa"/>
            <w:vAlign w:val="center"/>
          </w:tcPr>
          <w:p>
            <w:pPr>
              <w:widowControl/>
              <w:ind w:firstLine="422" w:firstLineChars="200"/>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根据投标人针对本项目的供货方案进行评价：</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针对本项目的产品供货方案描述合理、可行、有可靠的保证措施，且能够提供更快的供货期，得13.1-15分；</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针对本项目的产品供货方案描述简略，仅能满足项目基础使用要求的，得11.1-13分；</w:t>
            </w:r>
          </w:p>
          <w:p>
            <w:pPr>
              <w:widowControl/>
              <w:ind w:left="-53" w:leftChars="-202" w:hanging="371" w:hangingChars="177"/>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针     对本项目的产品供货方案描述差，不能满足项目基础使用要求的，得9.1-11分；</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未提供方案的不得分。</w:t>
            </w:r>
          </w:p>
        </w:tc>
        <w:tc>
          <w:tcPr>
            <w:tcW w:w="708" w:type="dxa"/>
            <w:vAlign w:val="center"/>
          </w:tcPr>
          <w:p>
            <w:pPr>
              <w:tabs>
                <w:tab w:val="left" w:pos="-540"/>
                <w:tab w:val="left" w:pos="2880"/>
                <w:tab w:val="left" w:pos="3600"/>
                <w:tab w:val="left" w:pos="4320"/>
                <w:tab w:val="center" w:pos="4433"/>
              </w:tabs>
              <w:autoSpaceDE w:val="0"/>
              <w:autoSpaceDN w:val="0"/>
              <w:adjustRightIn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9"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276" w:type="dxa"/>
            <w:vAlign w:val="center"/>
          </w:tcPr>
          <w:p>
            <w:pPr>
              <w:widowControl/>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培训方案</w:t>
            </w:r>
          </w:p>
        </w:tc>
        <w:tc>
          <w:tcPr>
            <w:tcW w:w="7088" w:type="dxa"/>
            <w:vAlign w:val="center"/>
          </w:tcPr>
          <w:p>
            <w:pPr>
              <w:widowControl/>
              <w:ind w:firstLine="422" w:firstLineChars="20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根据投标人提供的培训组织方案、人员安排进行评分：</w:t>
            </w:r>
          </w:p>
          <w:p>
            <w:pPr>
              <w:widowControl/>
              <w:autoSpaceDE w:val="0"/>
              <w:autoSpaceDN w:val="0"/>
              <w:adjustRightInd w:val="0"/>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培训方案科学合理，可行性强得5.1-7分；</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培训方案较合理，可行性一般得 3.1-5分；</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培训方案一般，可行性差得1.1-3分；</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未提供不得分。</w:t>
            </w:r>
          </w:p>
        </w:tc>
        <w:tc>
          <w:tcPr>
            <w:tcW w:w="708" w:type="dxa"/>
            <w:vAlign w:val="center"/>
          </w:tcPr>
          <w:p>
            <w:pPr>
              <w:tabs>
                <w:tab w:val="left" w:pos="-540"/>
                <w:tab w:val="left" w:pos="2880"/>
                <w:tab w:val="left" w:pos="3600"/>
                <w:tab w:val="left" w:pos="4320"/>
                <w:tab w:val="center" w:pos="4433"/>
              </w:tabs>
              <w:autoSpaceDE w:val="0"/>
              <w:autoSpaceDN w:val="0"/>
              <w:adjustRightIn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9" w:type="dxa"/>
            <w:vAlign w:val="center"/>
          </w:tcPr>
          <w:p>
            <w:pPr>
              <w:spacing w:line="360" w:lineRule="auto"/>
              <w:jc w:val="center"/>
              <w:rPr>
                <w:rFonts w:ascii="宋体" w:hAnsi="宋体" w:cs="宋体"/>
                <w:szCs w:val="21"/>
              </w:rPr>
            </w:pPr>
            <w:r>
              <w:rPr>
                <w:rFonts w:hint="eastAsia" w:ascii="宋体" w:hAnsi="宋体" w:cs="宋体"/>
                <w:szCs w:val="21"/>
              </w:rPr>
              <w:t>7</w:t>
            </w:r>
          </w:p>
        </w:tc>
        <w:tc>
          <w:tcPr>
            <w:tcW w:w="1276" w:type="dxa"/>
            <w:vAlign w:val="center"/>
          </w:tcPr>
          <w:p>
            <w:pPr>
              <w:tabs>
                <w:tab w:val="left" w:pos="-540"/>
                <w:tab w:val="left" w:pos="2880"/>
                <w:tab w:val="left" w:pos="3600"/>
                <w:tab w:val="left" w:pos="4320"/>
                <w:tab w:val="center" w:pos="4433"/>
              </w:tabs>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售后服务</w:t>
            </w:r>
          </w:p>
        </w:tc>
        <w:tc>
          <w:tcPr>
            <w:tcW w:w="7088" w:type="dxa"/>
            <w:vAlign w:val="center"/>
          </w:tcPr>
          <w:p>
            <w:pPr>
              <w:widowControl/>
              <w:ind w:firstLine="422" w:firstLineChars="200"/>
              <w:jc w:val="left"/>
              <w:rPr>
                <w:rFonts w:ascii="宋体" w:hAnsi="宋体" w:cs="宋体"/>
                <w:b/>
                <w:bCs/>
                <w:szCs w:val="21"/>
              </w:rPr>
            </w:pPr>
            <w:r>
              <w:rPr>
                <w:rFonts w:hint="eastAsia" w:ascii="宋体" w:hAnsi="宋体" w:cs="宋体"/>
                <w:b/>
                <w:bCs/>
                <w:szCs w:val="21"/>
              </w:rPr>
              <w:t>根据投标人提供的售后服务及供货进度方案进行评分：</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（1）评委对投标人所提供整体项目售后服务方案的完善、合理性进行打分：</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售后服务方案科学合理，可行性强得3.1-4分；售后服务方案较合理，可行性一般得 2.1-3分；售后服务方案一般，可行性差得1.1-2分；</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未提供不得分。</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（2）评委对投标人所提供整体项目供货计划、进度安排等完善、合理性进行打分：</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计划、进度方案科学合理，可行性强得3.1-4分；计划、进度方案较合理，可行性一般得 2.1-3分；计划、进度方案一般，可行性差得1.1-2分；</w:t>
            </w:r>
          </w:p>
          <w:p>
            <w:pPr>
              <w:widowControl/>
              <w:ind w:firstLine="420" w:firstLineChars="200"/>
              <w:jc w:val="left"/>
              <w:rPr>
                <w:rFonts w:ascii="宋体" w:hAnsi="宋体" w:cs="宋体"/>
                <w:kern w:val="0"/>
                <w:szCs w:val="21"/>
              </w:rPr>
            </w:pPr>
            <w:r>
              <w:rPr>
                <w:rFonts w:hint="eastAsia" w:ascii="宋体" w:hAnsi="宋体" w:cs="宋体"/>
                <w:color w:val="000000" w:themeColor="text1"/>
                <w:kern w:val="0"/>
                <w:szCs w:val="21"/>
                <w14:textFill>
                  <w14:solidFill>
                    <w14:schemeClr w14:val="tx1"/>
                  </w14:solidFill>
                </w14:textFill>
              </w:rPr>
              <w:t>未提供不得分。</w:t>
            </w:r>
          </w:p>
        </w:tc>
        <w:tc>
          <w:tcPr>
            <w:tcW w:w="708" w:type="dxa"/>
            <w:vAlign w:val="center"/>
          </w:tcPr>
          <w:p>
            <w:pPr>
              <w:tabs>
                <w:tab w:val="left" w:pos="-540"/>
                <w:tab w:val="left" w:pos="2880"/>
                <w:tab w:val="left" w:pos="3600"/>
                <w:tab w:val="left" w:pos="4320"/>
                <w:tab w:val="center" w:pos="4433"/>
              </w:tabs>
              <w:autoSpaceDE w:val="0"/>
              <w:autoSpaceDN w:val="0"/>
              <w:adjustRightInd w:val="0"/>
              <w:spacing w:line="360" w:lineRule="auto"/>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9" w:type="dxa"/>
            <w:vAlign w:val="center"/>
          </w:tcPr>
          <w:p>
            <w:pPr>
              <w:spacing w:line="360" w:lineRule="auto"/>
              <w:jc w:val="center"/>
              <w:rPr>
                <w:rFonts w:ascii="宋体" w:hAnsi="宋体" w:cs="宋体"/>
                <w:szCs w:val="21"/>
              </w:rPr>
            </w:pPr>
            <w:r>
              <w:rPr>
                <w:rFonts w:ascii="宋体" w:hAnsi="宋体" w:cs="宋体"/>
                <w:szCs w:val="21"/>
              </w:rPr>
              <w:t>8</w:t>
            </w:r>
          </w:p>
        </w:tc>
        <w:tc>
          <w:tcPr>
            <w:tcW w:w="1276" w:type="dxa"/>
            <w:vAlign w:val="center"/>
          </w:tcPr>
          <w:p>
            <w:pPr>
              <w:spacing w:line="360" w:lineRule="auto"/>
              <w:rPr>
                <w:rFonts w:ascii="宋体" w:hAnsi="宋体" w:cs="宋体"/>
                <w:szCs w:val="21"/>
              </w:rPr>
            </w:pPr>
            <w:r>
              <w:rPr>
                <w:rFonts w:hint="eastAsia" w:ascii="宋体" w:hAnsi="宋体" w:cs="宋体"/>
                <w:szCs w:val="21"/>
              </w:rPr>
              <w:t>免费质保期</w:t>
            </w:r>
          </w:p>
        </w:tc>
        <w:tc>
          <w:tcPr>
            <w:tcW w:w="7088" w:type="dxa"/>
            <w:vAlign w:val="center"/>
          </w:tcPr>
          <w:p>
            <w:pPr>
              <w:ind w:firstLine="420" w:firstLineChars="200"/>
              <w:rPr>
                <w:rFonts w:ascii="宋体" w:hAnsi="宋体" w:cs="宋体"/>
                <w:szCs w:val="21"/>
              </w:rPr>
            </w:pPr>
            <w:r>
              <w:rPr>
                <w:rFonts w:hint="eastAsia" w:ascii="宋体" w:hAnsi="宋体" w:cs="宋体"/>
                <w:szCs w:val="21"/>
              </w:rPr>
              <w:t>投标</w:t>
            </w:r>
            <w:r>
              <w:rPr>
                <w:rFonts w:ascii="宋体" w:hAnsi="宋体" w:cs="宋体"/>
                <w:szCs w:val="21"/>
              </w:rPr>
              <w:t>人</w:t>
            </w:r>
            <w:r>
              <w:rPr>
                <w:rFonts w:hint="eastAsia" w:ascii="宋体" w:hAnsi="宋体" w:cs="宋体"/>
                <w:szCs w:val="21"/>
              </w:rPr>
              <w:t>满足本项目质保最低要求不得分，每承诺增加一年免费质保得</w:t>
            </w:r>
            <w:r>
              <w:rPr>
                <w:rFonts w:hint="eastAsia" w:ascii="宋体" w:hAnsi="宋体" w:cs="宋体"/>
                <w:szCs w:val="21"/>
                <w:lang w:val="en-US" w:eastAsia="zh-CN"/>
              </w:rPr>
              <w:t>3</w:t>
            </w:r>
            <w:r>
              <w:rPr>
                <w:rFonts w:hint="eastAsia" w:ascii="宋体" w:hAnsi="宋体" w:cs="宋体"/>
                <w:szCs w:val="21"/>
              </w:rPr>
              <w:t>分，最高</w:t>
            </w:r>
            <w:r>
              <w:rPr>
                <w:rFonts w:hint="eastAsia" w:ascii="宋体" w:hAnsi="宋体" w:cs="宋体"/>
                <w:szCs w:val="21"/>
                <w:lang w:val="en-US" w:eastAsia="zh-CN"/>
              </w:rPr>
              <w:t>6</w:t>
            </w:r>
            <w:r>
              <w:rPr>
                <w:rFonts w:hint="eastAsia" w:ascii="宋体" w:hAnsi="宋体" w:cs="宋体"/>
                <w:szCs w:val="21"/>
              </w:rPr>
              <w:t>分。（提供承诺书原件加盖投标人公章，格式自拟）</w:t>
            </w:r>
          </w:p>
        </w:tc>
        <w:tc>
          <w:tcPr>
            <w:tcW w:w="708" w:type="dxa"/>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6</w:t>
            </w:r>
          </w:p>
        </w:tc>
      </w:tr>
    </w:tbl>
    <w:p>
      <w:pPr>
        <w:spacing w:line="360" w:lineRule="auto"/>
        <w:jc w:val="center"/>
        <w:outlineLvl w:val="0"/>
        <w:rPr>
          <w:rFonts w:ascii="宋体" w:hAnsi="宋体" w:cs="宋体"/>
          <w:b/>
          <w:color w:val="000000"/>
          <w:sz w:val="28"/>
          <w:szCs w:val="28"/>
        </w:rPr>
      </w:pPr>
      <w:r>
        <w:rPr>
          <w:rFonts w:hint="eastAsia" w:ascii="宋体" w:hAnsi="宋体" w:cs="宋体"/>
          <w:b/>
          <w:color w:val="000000"/>
          <w:sz w:val="28"/>
          <w:szCs w:val="28"/>
        </w:rPr>
        <w:t>第五章  投标（响应）文件格式</w:t>
      </w:r>
      <w:bookmarkEnd w:id="182"/>
    </w:p>
    <w:p>
      <w:pPr>
        <w:pStyle w:val="9"/>
        <w:spacing w:line="480" w:lineRule="auto"/>
        <w:rPr>
          <w:rFonts w:ascii="宋体" w:hAnsi="宋体" w:eastAsia="宋体"/>
          <w:color w:val="000000"/>
        </w:rPr>
      </w:pPr>
    </w:p>
    <w:p>
      <w:pPr>
        <w:pStyle w:val="10"/>
        <w:spacing w:line="480" w:lineRule="auto"/>
        <w:outlineLvl w:val="9"/>
        <w:rPr>
          <w:rFonts w:ascii="宋体" w:eastAsia="宋体"/>
          <w:color w:val="000000"/>
        </w:rPr>
      </w:pPr>
    </w:p>
    <w:p>
      <w:pPr>
        <w:spacing w:line="1200" w:lineRule="exact"/>
        <w:jc w:val="center"/>
        <w:rPr>
          <w:rFonts w:ascii="宋体" w:hAnsi="宋体" w:cs="宋体"/>
          <w:b/>
          <w:color w:val="000000"/>
          <w:sz w:val="72"/>
          <w:szCs w:val="72"/>
        </w:rPr>
      </w:pPr>
      <w:r>
        <w:rPr>
          <w:rFonts w:hint="eastAsia" w:ascii="宋体" w:hAnsi="宋体" w:cs="宋体"/>
          <w:b/>
          <w:color w:val="000000"/>
          <w:sz w:val="72"/>
          <w:szCs w:val="72"/>
        </w:rPr>
        <w:t>响 应 文 件</w:t>
      </w:r>
    </w:p>
    <w:p>
      <w:pPr>
        <w:spacing w:line="1200" w:lineRule="exact"/>
        <w:jc w:val="center"/>
        <w:rPr>
          <w:rFonts w:ascii="宋体" w:hAnsi="宋体" w:cs="宋体"/>
          <w:b/>
          <w:color w:val="000000"/>
          <w:sz w:val="44"/>
          <w:szCs w:val="44"/>
        </w:rPr>
      </w:pPr>
      <w:r>
        <w:rPr>
          <w:rFonts w:hint="eastAsia" w:ascii="宋体" w:hAnsi="宋体" w:cs="宋体"/>
          <w:b/>
          <w:color w:val="000000"/>
          <w:sz w:val="44"/>
          <w:szCs w:val="44"/>
        </w:rPr>
        <w:t>（竞争性磋商）</w:t>
      </w:r>
    </w:p>
    <w:p>
      <w:pPr>
        <w:pStyle w:val="10"/>
        <w:spacing w:line="480" w:lineRule="auto"/>
        <w:outlineLvl w:val="9"/>
        <w:rPr>
          <w:rFonts w:ascii="宋体" w:eastAsia="宋体"/>
          <w:color w:val="000000"/>
        </w:rPr>
      </w:pPr>
    </w:p>
    <w:p>
      <w:pPr>
        <w:spacing w:line="480" w:lineRule="auto"/>
        <w:jc w:val="center"/>
        <w:rPr>
          <w:rFonts w:ascii="宋体" w:hAnsi="宋体" w:cs="宋体"/>
          <w:color w:val="000000"/>
          <w:sz w:val="36"/>
          <w:szCs w:val="36"/>
        </w:rPr>
      </w:pPr>
      <w:r>
        <w:rPr>
          <w:rFonts w:hint="eastAsia" w:ascii="宋体" w:hAnsi="宋体" w:cs="宋体"/>
          <w:color w:val="000000"/>
          <w:sz w:val="36"/>
          <w:szCs w:val="36"/>
        </w:rPr>
        <w:t>（正本/副本）</w:t>
      </w:r>
    </w:p>
    <w:p>
      <w:pPr>
        <w:spacing w:line="480" w:lineRule="auto"/>
        <w:jc w:val="center"/>
        <w:rPr>
          <w:rFonts w:ascii="宋体" w:hAnsi="宋体" w:cs="宋体"/>
          <w:color w:val="000000"/>
          <w:sz w:val="44"/>
          <w:szCs w:val="44"/>
        </w:rPr>
      </w:pPr>
    </w:p>
    <w:p>
      <w:pPr>
        <w:pStyle w:val="12"/>
        <w:spacing w:line="480" w:lineRule="auto"/>
      </w:pPr>
    </w:p>
    <w:p>
      <w:pPr>
        <w:pStyle w:val="9"/>
        <w:spacing w:line="480" w:lineRule="auto"/>
        <w:rPr>
          <w:rFonts w:ascii="宋体" w:hAnsi="宋体" w:eastAsia="宋体"/>
          <w:color w:val="000000"/>
        </w:rPr>
      </w:pPr>
    </w:p>
    <w:p>
      <w:pPr>
        <w:spacing w:line="480" w:lineRule="auto"/>
        <w:rPr>
          <w:rFonts w:ascii="宋体" w:hAnsi="宋体"/>
          <w:color w:val="000000"/>
        </w:rPr>
      </w:pPr>
    </w:p>
    <w:p>
      <w:pPr>
        <w:spacing w:line="480" w:lineRule="auto"/>
        <w:ind w:firstLine="1204" w:firstLineChars="300"/>
        <w:rPr>
          <w:rFonts w:ascii="宋体" w:hAnsi="宋体" w:cs="宋体"/>
          <w:b/>
          <w:color w:val="000000"/>
          <w:sz w:val="30"/>
          <w:szCs w:val="30"/>
        </w:rPr>
      </w:pPr>
      <w:r>
        <w:rPr>
          <w:rFonts w:hint="eastAsia" w:ascii="宋体" w:hAnsi="宋体" w:cs="宋体"/>
          <w:b/>
          <w:color w:val="000000"/>
          <w:spacing w:val="50"/>
          <w:kern w:val="0"/>
          <w:sz w:val="30"/>
          <w:szCs w:val="30"/>
          <w:fitText w:val="1505" w:id="-1219313149"/>
        </w:rPr>
        <w:t>项目名</w:t>
      </w:r>
      <w:r>
        <w:rPr>
          <w:rFonts w:hint="eastAsia" w:ascii="宋体" w:hAnsi="宋体" w:cs="宋体"/>
          <w:b/>
          <w:color w:val="000000"/>
          <w:spacing w:val="2"/>
          <w:kern w:val="0"/>
          <w:sz w:val="30"/>
          <w:szCs w:val="30"/>
          <w:fitText w:val="1505" w:id="-1219313149"/>
        </w:rPr>
        <w:t>称</w:t>
      </w:r>
      <w:r>
        <w:rPr>
          <w:rFonts w:hint="eastAsia" w:ascii="宋体" w:hAnsi="宋体" w:cs="宋体"/>
          <w:b/>
          <w:color w:val="000000"/>
          <w:sz w:val="30"/>
          <w:szCs w:val="30"/>
        </w:rPr>
        <w:t>：</w:t>
      </w:r>
    </w:p>
    <w:p>
      <w:pPr>
        <w:spacing w:line="480" w:lineRule="auto"/>
        <w:ind w:firstLine="1204" w:firstLineChars="300"/>
        <w:rPr>
          <w:rFonts w:ascii="宋体" w:hAnsi="宋体" w:cs="宋体"/>
          <w:b/>
          <w:color w:val="000000"/>
          <w:sz w:val="30"/>
          <w:szCs w:val="30"/>
          <w:u w:val="single"/>
        </w:rPr>
      </w:pPr>
      <w:r>
        <w:rPr>
          <w:rFonts w:hint="eastAsia" w:ascii="宋体" w:hAnsi="宋体" w:cs="宋体"/>
          <w:b/>
          <w:color w:val="000000"/>
          <w:spacing w:val="50"/>
          <w:kern w:val="0"/>
          <w:sz w:val="30"/>
          <w:szCs w:val="30"/>
          <w:fitText w:val="1505" w:id="-1219313150"/>
        </w:rPr>
        <w:t>项目编</w:t>
      </w:r>
      <w:r>
        <w:rPr>
          <w:rFonts w:hint="eastAsia" w:ascii="宋体" w:hAnsi="宋体" w:cs="宋体"/>
          <w:b/>
          <w:color w:val="000000"/>
          <w:spacing w:val="2"/>
          <w:kern w:val="0"/>
          <w:sz w:val="30"/>
          <w:szCs w:val="30"/>
          <w:fitText w:val="1505" w:id="-1219313150"/>
        </w:rPr>
        <w:t>号</w:t>
      </w:r>
      <w:r>
        <w:rPr>
          <w:rFonts w:hint="eastAsia" w:ascii="宋体" w:hAnsi="宋体" w:cs="宋体"/>
          <w:b/>
          <w:color w:val="000000"/>
          <w:sz w:val="30"/>
          <w:szCs w:val="30"/>
        </w:rPr>
        <w:t>：</w:t>
      </w:r>
    </w:p>
    <w:p>
      <w:pPr>
        <w:spacing w:line="480" w:lineRule="auto"/>
        <w:ind w:firstLine="1205" w:firstLineChars="400"/>
        <w:rPr>
          <w:rFonts w:ascii="宋体" w:hAnsi="宋体" w:cs="宋体"/>
          <w:b/>
          <w:color w:val="000000"/>
          <w:sz w:val="30"/>
          <w:szCs w:val="30"/>
        </w:rPr>
      </w:pPr>
      <w:r>
        <w:rPr>
          <w:rFonts w:hint="eastAsia" w:ascii="宋体" w:hAnsi="宋体" w:cs="宋体"/>
          <w:b/>
          <w:color w:val="000000"/>
          <w:spacing w:val="0"/>
          <w:kern w:val="0"/>
          <w:sz w:val="30"/>
          <w:szCs w:val="30"/>
          <w:fitText w:val="1505" w:id="-1219313151"/>
        </w:rPr>
        <w:t>供应商名称</w:t>
      </w:r>
      <w:r>
        <w:rPr>
          <w:rFonts w:hint="eastAsia" w:ascii="宋体" w:hAnsi="宋体" w:cs="宋体"/>
          <w:b/>
          <w:color w:val="000000"/>
          <w:sz w:val="30"/>
          <w:szCs w:val="30"/>
        </w:rPr>
        <w:t xml:space="preserve"> ：</w:t>
      </w:r>
    </w:p>
    <w:p>
      <w:pPr>
        <w:spacing w:line="480" w:lineRule="auto"/>
        <w:ind w:firstLine="4821" w:firstLineChars="400"/>
        <w:rPr>
          <w:rFonts w:ascii="宋体" w:hAnsi="宋体" w:cs="宋体"/>
          <w:b/>
          <w:color w:val="000000"/>
          <w:sz w:val="30"/>
          <w:szCs w:val="30"/>
        </w:rPr>
      </w:pPr>
      <w:r>
        <w:rPr>
          <w:rFonts w:hint="eastAsia" w:ascii="宋体" w:hAnsi="宋体" w:cs="宋体"/>
          <w:b/>
          <w:color w:val="000000"/>
          <w:spacing w:val="452"/>
          <w:kern w:val="0"/>
          <w:sz w:val="30"/>
          <w:szCs w:val="30"/>
          <w:fitText w:val="1505" w:id="-1219313152"/>
        </w:rPr>
        <w:t>日</w:t>
      </w:r>
      <w:r>
        <w:rPr>
          <w:rFonts w:hint="eastAsia" w:ascii="宋体" w:hAnsi="宋体" w:cs="宋体"/>
          <w:b/>
          <w:color w:val="000000"/>
          <w:spacing w:val="0"/>
          <w:kern w:val="0"/>
          <w:sz w:val="30"/>
          <w:szCs w:val="30"/>
          <w:fitText w:val="1505" w:id="-1219313152"/>
        </w:rPr>
        <w:t>期</w:t>
      </w:r>
      <w:r>
        <w:rPr>
          <w:rFonts w:hint="eastAsia" w:ascii="宋体" w:hAnsi="宋体" w:cs="宋体"/>
          <w:b/>
          <w:color w:val="000000"/>
          <w:sz w:val="30"/>
          <w:szCs w:val="30"/>
        </w:rPr>
        <w:t xml:space="preserve"> ：</w:t>
      </w:r>
    </w:p>
    <w:p>
      <w:pPr>
        <w:spacing w:line="480" w:lineRule="auto"/>
        <w:jc w:val="center"/>
        <w:rPr>
          <w:rFonts w:ascii="宋体" w:hAnsi="宋体" w:cs="宋体"/>
          <w:b/>
          <w:color w:val="000000"/>
          <w:sz w:val="28"/>
          <w:szCs w:val="28"/>
        </w:rPr>
      </w:pPr>
    </w:p>
    <w:p>
      <w:pPr>
        <w:pStyle w:val="10"/>
        <w:outlineLvl w:val="9"/>
        <w:rPr>
          <w:rFonts w:ascii="宋体" w:eastAsia="宋体"/>
          <w:color w:val="000000"/>
        </w:rPr>
      </w:pPr>
    </w:p>
    <w:p>
      <w:pPr>
        <w:pStyle w:val="12"/>
      </w:pPr>
    </w:p>
    <w:p>
      <w:pPr>
        <w:pStyle w:val="9"/>
        <w:spacing w:line="240" w:lineRule="exact"/>
        <w:rPr>
          <w:rFonts w:ascii="宋体" w:hAnsi="宋体" w:cs="宋体"/>
          <w:b/>
          <w:color w:val="000000"/>
          <w:szCs w:val="28"/>
        </w:rPr>
      </w:pPr>
    </w:p>
    <w:p>
      <w:pPr>
        <w:spacing w:line="480" w:lineRule="auto"/>
        <w:jc w:val="center"/>
        <w:rPr>
          <w:rFonts w:ascii="宋体" w:hAnsi="宋体" w:cs="宋体"/>
          <w:b/>
          <w:color w:val="000000"/>
          <w:sz w:val="36"/>
          <w:szCs w:val="21"/>
        </w:rPr>
      </w:pPr>
    </w:p>
    <w:p>
      <w:pPr>
        <w:spacing w:line="480" w:lineRule="auto"/>
        <w:rPr>
          <w:rFonts w:ascii="宋体" w:hAnsi="宋体" w:cs="宋体"/>
          <w:b/>
          <w:color w:val="000000"/>
          <w:sz w:val="36"/>
          <w:szCs w:val="21"/>
        </w:rPr>
      </w:pPr>
      <w:bookmarkStart w:id="183" w:name="_Toc122338102"/>
    </w:p>
    <w:p>
      <w:pPr>
        <w:spacing w:line="480" w:lineRule="auto"/>
        <w:jc w:val="center"/>
        <w:rPr>
          <w:rFonts w:ascii="宋体" w:hAnsi="宋体" w:cs="宋体"/>
          <w:b/>
          <w:color w:val="000000"/>
          <w:sz w:val="36"/>
          <w:szCs w:val="21"/>
        </w:rPr>
      </w:pPr>
    </w:p>
    <w:p>
      <w:pPr>
        <w:spacing w:line="480" w:lineRule="auto"/>
        <w:jc w:val="center"/>
        <w:outlineLvl w:val="1"/>
        <w:rPr>
          <w:rFonts w:ascii="宋体" w:hAnsi="宋体" w:cs="宋体"/>
          <w:b/>
          <w:color w:val="000000"/>
          <w:sz w:val="36"/>
          <w:szCs w:val="21"/>
        </w:rPr>
      </w:pPr>
      <w:r>
        <w:rPr>
          <w:rFonts w:hint="eastAsia" w:ascii="宋体" w:hAnsi="宋体" w:cs="宋体"/>
          <w:b/>
          <w:color w:val="000000"/>
          <w:sz w:val="36"/>
          <w:szCs w:val="21"/>
        </w:rPr>
        <w:t>投标（响应）文件目录</w:t>
      </w:r>
      <w:bookmarkEnd w:id="183"/>
    </w:p>
    <w:p>
      <w:pPr>
        <w:pStyle w:val="9"/>
        <w:spacing w:line="240" w:lineRule="exact"/>
        <w:rPr>
          <w:rFonts w:ascii="宋体" w:hAnsi="宋体" w:cs="宋体"/>
          <w:b/>
          <w:bCs/>
          <w:color w:val="000000"/>
          <w:szCs w:val="28"/>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3"/>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63" w:type="dxa"/>
            <w:noWrap/>
            <w:vAlign w:val="center"/>
          </w:tcPr>
          <w:p>
            <w:pPr>
              <w:spacing w:line="480" w:lineRule="auto"/>
              <w:jc w:val="center"/>
              <w:rPr>
                <w:rFonts w:ascii="宋体" w:hAnsi="宋体" w:cs="宋体"/>
                <w:b/>
                <w:color w:val="000000"/>
                <w:sz w:val="24"/>
              </w:rPr>
            </w:pPr>
            <w:r>
              <w:rPr>
                <w:rFonts w:hint="eastAsia" w:ascii="宋体" w:hAnsi="宋体" w:cs="宋体"/>
                <w:b/>
                <w:color w:val="000000"/>
                <w:sz w:val="24"/>
              </w:rPr>
              <w:t>目录名称</w:t>
            </w:r>
          </w:p>
        </w:tc>
        <w:tc>
          <w:tcPr>
            <w:tcW w:w="1574" w:type="dxa"/>
            <w:noWrap/>
            <w:vAlign w:val="center"/>
          </w:tcPr>
          <w:p>
            <w:pPr>
              <w:spacing w:line="480" w:lineRule="auto"/>
              <w:jc w:val="center"/>
              <w:rPr>
                <w:rFonts w:ascii="宋体" w:hAnsi="宋体" w:cs="宋体"/>
                <w:b/>
                <w:color w:val="000000"/>
                <w:sz w:val="24"/>
              </w:rPr>
            </w:pPr>
            <w:r>
              <w:rPr>
                <w:rFonts w:hint="eastAsia" w:ascii="宋体" w:hAnsi="宋体" w:cs="宋体"/>
                <w:b/>
                <w:color w:val="000000"/>
                <w:sz w:val="24"/>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一、报价一览表(报价表) （格式）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二、供应商的资格证明文件</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三、法定代表人授权委托书（格式）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四、投标（响应）书（格式）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五、盐城市政府采购事前信用承诺书（格式）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六、商务条款偏离表（格式）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七、投标（响应）分项报价表（格式）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八、技术规格（采购需求）偏离表（格式）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九、投标（响应）文件的其它内容</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jc w:val="center"/>
              <w:rPr>
                <w:b/>
                <w:i/>
                <w:color w:val="000000"/>
                <w:u w:val="single"/>
              </w:rPr>
            </w:pPr>
            <w:r>
              <w:rPr>
                <w:rFonts w:hint="eastAsia" w:ascii="宋体" w:hAnsi="宋体"/>
                <w:b/>
                <w:i/>
                <w:color w:val="000000"/>
                <w:u w:val="single"/>
              </w:rPr>
              <w:t>供应商可以编辑详细的目录（建议提供</w:t>
            </w:r>
            <w:r>
              <w:rPr>
                <w:rFonts w:hint="eastAsia"/>
                <w:b/>
                <w:i/>
                <w:color w:val="000000"/>
                <w:u w:val="single"/>
              </w:rPr>
              <w:t>《评分索引表》）</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jc w:val="center"/>
              <w:rPr>
                <w:rFonts w:ascii="宋体" w:hAnsi="宋体" w:cs="宋体"/>
                <w:color w:val="000000"/>
                <w:sz w:val="24"/>
              </w:rPr>
            </w:pPr>
            <w:r>
              <w:rPr>
                <w:rFonts w:hint="eastAsia" w:ascii="宋体" w:hAnsi="宋体"/>
                <w:i/>
                <w:color w:val="000000"/>
                <w:szCs w:val="21"/>
                <w:u w:val="single"/>
              </w:rPr>
              <w:t>行数不够，可按本表格式自行添加</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537" w:type="dxa"/>
            <w:gridSpan w:val="2"/>
            <w:noWrap/>
            <w:vAlign w:val="center"/>
          </w:tcPr>
          <w:p>
            <w:pPr>
              <w:spacing w:line="480" w:lineRule="auto"/>
              <w:jc w:val="center"/>
              <w:rPr>
                <w:b/>
                <w:color w:val="000000"/>
                <w:szCs w:val="21"/>
              </w:rPr>
            </w:pPr>
            <w:r>
              <w:rPr>
                <w:rFonts w:hint="eastAsia"/>
                <w:b/>
                <w:color w:val="000000"/>
                <w:szCs w:val="21"/>
              </w:rPr>
              <w:t>特别说明</w:t>
            </w:r>
          </w:p>
          <w:p>
            <w:pPr>
              <w:spacing w:line="276" w:lineRule="auto"/>
              <w:ind w:firstLine="422" w:firstLineChars="200"/>
              <w:rPr>
                <w:rFonts w:ascii="宋体" w:hAnsi="宋体"/>
                <w:b/>
                <w:color w:val="000000"/>
                <w:szCs w:val="21"/>
              </w:rPr>
            </w:pPr>
            <w:r>
              <w:rPr>
                <w:rFonts w:hint="eastAsia" w:ascii="宋体" w:hAnsi="宋体"/>
                <w:b/>
                <w:color w:val="000000"/>
                <w:szCs w:val="21"/>
              </w:rPr>
              <w:t>1、★本目录（含页码）是专家评审的重要依据，请供应商准确（完整）填写。如供应商未能准确（完整）填写的，所引起的后果由供应商自负。</w:t>
            </w:r>
          </w:p>
          <w:p>
            <w:pPr>
              <w:spacing w:line="276" w:lineRule="auto"/>
              <w:ind w:firstLine="422" w:firstLineChars="200"/>
              <w:jc w:val="left"/>
              <w:rPr>
                <w:rFonts w:ascii="宋体" w:hAnsi="宋体"/>
                <w:color w:val="000000"/>
              </w:rPr>
            </w:pPr>
            <w:r>
              <w:rPr>
                <w:rFonts w:hint="eastAsia" w:ascii="宋体" w:hAnsi="宋体"/>
                <w:b/>
                <w:color w:val="000000"/>
                <w:szCs w:val="21"/>
              </w:rPr>
              <w:t>2、供应商可以根据自身需要编辑详细的响应文件目录（如：《评分索引表》等供应商认为重要的内容）。</w:t>
            </w:r>
            <w:r>
              <w:rPr>
                <w:rFonts w:hint="eastAsia" w:ascii="宋体" w:hAnsi="宋体"/>
                <w:color w:val="000000"/>
                <w:szCs w:val="21"/>
              </w:rPr>
              <w:t>供应商的响应文件目录应当遵循格式规范、便于查找获得的原则（以便评审人员评审）。</w:t>
            </w:r>
          </w:p>
        </w:tc>
      </w:tr>
    </w:tbl>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pStyle w:val="12"/>
        <w:ind w:firstLine="0"/>
      </w:pPr>
    </w:p>
    <w:p>
      <w:pPr>
        <w:rPr>
          <w:color w:val="000000"/>
        </w:rPr>
      </w:pPr>
    </w:p>
    <w:p>
      <w:pPr>
        <w:spacing w:line="552" w:lineRule="auto"/>
        <w:jc w:val="center"/>
        <w:rPr>
          <w:rFonts w:ascii="宋体" w:hAnsi="宋体" w:cs="宋体"/>
          <w:b/>
          <w:bCs/>
          <w:color w:val="000000"/>
          <w:sz w:val="28"/>
          <w:szCs w:val="28"/>
        </w:rPr>
      </w:pPr>
    </w:p>
    <w:p>
      <w:pPr>
        <w:spacing w:line="552" w:lineRule="auto"/>
        <w:jc w:val="center"/>
        <w:rPr>
          <w:rFonts w:ascii="宋体" w:hAnsi="宋体" w:cs="宋体"/>
          <w:b/>
          <w:bCs/>
          <w:color w:val="000000"/>
          <w:sz w:val="28"/>
          <w:szCs w:val="28"/>
        </w:rPr>
      </w:pPr>
      <w:bookmarkStart w:id="184" w:name="_Toc122338103"/>
    </w:p>
    <w:p>
      <w:pPr>
        <w:spacing w:line="552" w:lineRule="auto"/>
        <w:jc w:val="center"/>
        <w:outlineLvl w:val="1"/>
        <w:rPr>
          <w:rFonts w:ascii="宋体" w:hAnsi="宋体" w:cs="宋体"/>
          <w:b/>
          <w:bCs/>
          <w:color w:val="000000"/>
          <w:sz w:val="28"/>
          <w:szCs w:val="28"/>
        </w:rPr>
      </w:pPr>
      <w:r>
        <w:rPr>
          <w:rFonts w:hint="eastAsia" w:ascii="宋体" w:hAnsi="宋体" w:cs="宋体"/>
          <w:b/>
          <w:bCs/>
          <w:color w:val="000000"/>
          <w:sz w:val="28"/>
          <w:szCs w:val="28"/>
        </w:rPr>
        <w:t>一、报价一览表(报价表)（格式）</w:t>
      </w:r>
      <w:bookmarkEnd w:id="184"/>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rFonts w:ascii="宋体" w:hAnsi="宋体" w:cs="宋体"/>
                <w:b/>
                <w:color w:val="000000"/>
                <w:sz w:val="24"/>
              </w:rPr>
            </w:pPr>
            <w:r>
              <w:rPr>
                <w:rFonts w:hint="eastAsia" w:ascii="宋体" w:hAnsi="宋体" w:cs="宋体"/>
                <w:b/>
                <w:color w:val="000000"/>
                <w:sz w:val="24"/>
              </w:rPr>
              <w:t>项目编号</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rFonts w:ascii="宋体" w:hAnsi="宋体" w:cs="宋体"/>
                <w:b/>
                <w:color w:val="000000"/>
                <w:sz w:val="24"/>
              </w:rPr>
            </w:pPr>
            <w:r>
              <w:rPr>
                <w:rFonts w:hint="eastAsia" w:ascii="宋体" w:hAnsi="宋体" w:cs="宋体"/>
                <w:b/>
                <w:color w:val="000000"/>
                <w:sz w:val="24"/>
              </w:rPr>
              <w:t>项目名称</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jc w:val="center"/>
        </w:trPr>
        <w:tc>
          <w:tcPr>
            <w:tcW w:w="3132" w:type="dxa"/>
            <w:tcBorders>
              <w:top w:val="single" w:color="auto" w:sz="4" w:space="0"/>
              <w:left w:val="single" w:color="auto" w:sz="4" w:space="0"/>
              <w:right w:val="single" w:color="auto" w:sz="4" w:space="0"/>
            </w:tcBorders>
            <w:noWrap/>
            <w:vAlign w:val="center"/>
          </w:tcPr>
          <w:p>
            <w:pPr>
              <w:spacing w:line="552" w:lineRule="auto"/>
              <w:jc w:val="center"/>
              <w:rPr>
                <w:rFonts w:ascii="宋体" w:hAnsi="宋体" w:cs="宋体"/>
                <w:b/>
                <w:color w:val="000000"/>
                <w:sz w:val="24"/>
              </w:rPr>
            </w:pPr>
            <w:r>
              <w:rPr>
                <w:rFonts w:hint="eastAsia" w:ascii="宋体" w:hAnsi="宋体" w:cs="宋体"/>
                <w:b/>
                <w:color w:val="000000"/>
                <w:sz w:val="24"/>
              </w:rPr>
              <w:t>投标价格</w:t>
            </w:r>
          </w:p>
          <w:p>
            <w:pPr>
              <w:spacing w:line="552" w:lineRule="auto"/>
              <w:jc w:val="center"/>
              <w:rPr>
                <w:rFonts w:ascii="宋体" w:hAnsi="宋体" w:cs="宋体"/>
                <w:b/>
                <w:color w:val="000000"/>
                <w:sz w:val="24"/>
              </w:rPr>
            </w:pPr>
            <w:r>
              <w:rPr>
                <w:rFonts w:hint="eastAsia" w:ascii="宋体" w:hAnsi="宋体" w:cs="宋体"/>
                <w:b/>
                <w:color w:val="000000"/>
                <w:sz w:val="24"/>
              </w:rPr>
              <w:t>（投标总报价）</w:t>
            </w:r>
          </w:p>
        </w:tc>
        <w:tc>
          <w:tcPr>
            <w:tcW w:w="5253" w:type="dxa"/>
            <w:tcBorders>
              <w:top w:val="single" w:color="auto" w:sz="4" w:space="0"/>
              <w:left w:val="single" w:color="auto" w:sz="4" w:space="0"/>
              <w:right w:val="single" w:color="auto" w:sz="4" w:space="0"/>
            </w:tcBorders>
            <w:noWrap/>
            <w:vAlign w:val="center"/>
          </w:tcPr>
          <w:p>
            <w:pPr>
              <w:spacing w:line="552" w:lineRule="auto"/>
              <w:rPr>
                <w:rFonts w:ascii="宋体" w:hAnsi="宋体" w:cs="宋体"/>
                <w:color w:val="000000"/>
                <w:sz w:val="24"/>
                <w:u w:val="single"/>
              </w:rPr>
            </w:pPr>
            <w:r>
              <w:rPr>
                <w:rFonts w:hint="eastAsia" w:ascii="宋体" w:hAnsi="宋体" w:cs="宋体"/>
                <w:color w:val="000000"/>
                <w:sz w:val="24"/>
                <w:u w:val="single"/>
              </w:rPr>
              <w:t xml:space="preserve">大写：                     </w:t>
            </w:r>
          </w:p>
          <w:p>
            <w:pPr>
              <w:spacing w:line="552" w:lineRule="auto"/>
              <w:rPr>
                <w:rFonts w:ascii="宋体" w:hAnsi="宋体" w:cs="宋体"/>
                <w:color w:val="000000"/>
                <w:sz w:val="24"/>
                <w:u w:val="single"/>
              </w:rPr>
            </w:pPr>
            <w:r>
              <w:rPr>
                <w:rFonts w:hint="eastAsia" w:ascii="宋体" w:hAnsi="宋体" w:cs="宋体"/>
                <w:color w:val="000000"/>
                <w:sz w:val="24"/>
                <w:u w:val="singl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rFonts w:ascii="宋体" w:hAnsi="宋体"/>
                <w:b/>
                <w:color w:val="000000"/>
                <w:sz w:val="24"/>
              </w:rPr>
            </w:pPr>
            <w:r>
              <w:rPr>
                <w:rFonts w:hint="eastAsia" w:ascii="宋体" w:hAnsi="宋体"/>
                <w:b/>
                <w:color w:val="000000"/>
                <w:sz w:val="24"/>
              </w:rPr>
              <w:t>产品（服务）质量标准</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rPr>
                <w:rFonts w:ascii="宋体" w:hAnsi="宋体"/>
                <w:color w:val="000000"/>
                <w:sz w:val="24"/>
              </w:rPr>
            </w:pPr>
            <w:r>
              <w:rPr>
                <w:rFonts w:hint="eastAsia" w:ascii="宋体" w:hAnsi="宋体"/>
                <w:color w:val="000000"/>
                <w:sz w:val="24"/>
                <w:u w:val="single"/>
              </w:rPr>
              <w:t>合格（符合国家强制标准</w:t>
            </w:r>
            <w:r>
              <w:rPr>
                <w:rFonts w:hint="eastAsia"/>
                <w:color w:val="000000"/>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b/>
                <w:color w:val="FF0000"/>
                <w:sz w:val="24"/>
                <w:highlight w:val="yellow"/>
              </w:rPr>
            </w:pPr>
            <w:r>
              <w:rPr>
                <w:rFonts w:hint="eastAsia" w:ascii="宋体" w:hAnsi="宋体"/>
                <w:b/>
                <w:color w:val="000000"/>
                <w:sz w:val="24"/>
              </w:rPr>
              <w:t>项目负责人</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jc w:val="left"/>
              <w:rPr>
                <w:color w:val="FF000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b/>
                <w:color w:val="000000"/>
                <w:sz w:val="24"/>
              </w:rPr>
            </w:pPr>
            <w:r>
              <w:rPr>
                <w:rFonts w:hint="eastAsia"/>
                <w:b/>
                <w:color w:val="000000"/>
                <w:sz w:val="24"/>
              </w:rPr>
              <w:t>交付或者实施的地点</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jc w:val="left"/>
              <w:rPr>
                <w:color w:val="000000"/>
                <w:sz w:val="24"/>
              </w:rPr>
            </w:pPr>
            <w:r>
              <w:rPr>
                <w:rFonts w:hint="eastAsia"/>
                <w:color w:val="000000"/>
                <w:sz w:val="24"/>
              </w:rPr>
              <w:t>江苏盐城（具体地点以采购人另行通知的为准）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widowControl/>
              <w:spacing w:line="552" w:lineRule="auto"/>
              <w:jc w:val="center"/>
              <w:rPr>
                <w:rFonts w:ascii="宋体" w:hAnsi="宋体" w:cs="宋体"/>
                <w:b/>
                <w:color w:val="000000"/>
                <w:kern w:val="0"/>
                <w:sz w:val="24"/>
              </w:rPr>
            </w:pPr>
            <w:r>
              <w:rPr>
                <w:rFonts w:hint="eastAsia" w:ascii="宋体" w:hAnsi="宋体" w:cs="宋体"/>
                <w:b/>
                <w:color w:val="000000"/>
                <w:kern w:val="0"/>
                <w:sz w:val="24"/>
              </w:rPr>
              <w:t>投标有效期</w:t>
            </w:r>
          </w:p>
        </w:tc>
        <w:tc>
          <w:tcPr>
            <w:tcW w:w="5253" w:type="dxa"/>
            <w:tcBorders>
              <w:top w:val="single" w:color="auto" w:sz="4" w:space="0"/>
              <w:left w:val="single" w:color="auto" w:sz="4" w:space="0"/>
              <w:bottom w:val="single" w:color="auto" w:sz="4" w:space="0"/>
              <w:right w:val="single" w:color="auto" w:sz="4" w:space="0"/>
            </w:tcBorders>
            <w:noWrap/>
            <w:vAlign w:val="center"/>
          </w:tcPr>
          <w:p>
            <w:pPr>
              <w:widowControl/>
              <w:spacing w:line="552" w:lineRule="auto"/>
              <w:jc w:val="left"/>
              <w:rPr>
                <w:rFonts w:ascii="宋体" w:hAnsi="宋体"/>
                <w:color w:val="000000"/>
                <w:sz w:val="24"/>
              </w:rPr>
            </w:pPr>
            <w:r>
              <w:rPr>
                <w:rFonts w:hint="eastAsia" w:hAnsi="宋体"/>
                <w:color w:val="000000"/>
                <w:sz w:val="24"/>
              </w:rPr>
              <w:t>提交响应文件截止之日起</w:t>
            </w:r>
            <w:r>
              <w:rPr>
                <w:rFonts w:hint="eastAsia" w:ascii="宋体" w:hAnsi="宋体"/>
                <w:color w:val="000000"/>
                <w:sz w:val="24"/>
                <w:u w:val="single"/>
              </w:rPr>
              <w:t>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385" w:type="dxa"/>
            <w:gridSpan w:val="2"/>
            <w:tcBorders>
              <w:top w:val="single" w:color="auto" w:sz="4" w:space="0"/>
              <w:left w:val="single" w:color="auto" w:sz="4" w:space="0"/>
              <w:bottom w:val="single" w:color="auto" w:sz="4" w:space="0"/>
              <w:right w:val="single" w:color="auto" w:sz="4" w:space="0"/>
            </w:tcBorders>
            <w:noWrap/>
            <w:vAlign w:val="center"/>
          </w:tcPr>
          <w:p>
            <w:pPr>
              <w:pStyle w:val="17"/>
              <w:tabs>
                <w:tab w:val="left" w:pos="5580"/>
              </w:tabs>
              <w:spacing w:line="552" w:lineRule="auto"/>
              <w:ind w:firstLine="562"/>
              <w:jc w:val="left"/>
              <w:rPr>
                <w:rFonts w:hAnsi="宋体" w:cs="宋体"/>
                <w:b/>
                <w:color w:val="000000"/>
                <w:sz w:val="24"/>
                <w:szCs w:val="24"/>
              </w:rPr>
            </w:pPr>
            <w:r>
              <w:rPr>
                <w:rFonts w:hint="eastAsia" w:hAnsi="宋体" w:cs="宋体"/>
                <w:b/>
                <w:color w:val="000000"/>
                <w:sz w:val="24"/>
                <w:szCs w:val="24"/>
              </w:rPr>
              <w:t>投标人名称（单位公章）：</w:t>
            </w:r>
          </w:p>
          <w:p>
            <w:pPr>
              <w:pStyle w:val="17"/>
              <w:tabs>
                <w:tab w:val="left" w:pos="5580"/>
              </w:tabs>
              <w:spacing w:line="552" w:lineRule="auto"/>
              <w:ind w:firstLine="562"/>
              <w:jc w:val="left"/>
              <w:rPr>
                <w:rFonts w:hAnsi="宋体" w:cs="宋体"/>
                <w:b/>
                <w:color w:val="000000"/>
                <w:sz w:val="24"/>
                <w:szCs w:val="24"/>
                <w:u w:val="single"/>
              </w:rPr>
            </w:pPr>
            <w:r>
              <w:rPr>
                <w:rFonts w:hint="eastAsia" w:hAnsi="宋体" w:cs="宋体"/>
                <w:b/>
                <w:color w:val="000000"/>
                <w:sz w:val="24"/>
                <w:szCs w:val="24"/>
              </w:rPr>
              <w:t>法定代表人或其委托代理人(签字):</w:t>
            </w:r>
            <w:r>
              <w:rPr>
                <w:rFonts w:hint="eastAsia" w:hAnsi="宋体" w:cs="宋体"/>
                <w:b/>
                <w:color w:val="000000"/>
                <w:sz w:val="24"/>
                <w:szCs w:val="24"/>
                <w:u w:val="single"/>
              </w:rPr>
              <w:tab/>
            </w:r>
          </w:p>
          <w:p>
            <w:pPr>
              <w:spacing w:line="552" w:lineRule="auto"/>
              <w:ind w:firstLine="482" w:firstLineChars="200"/>
              <w:jc w:val="left"/>
              <w:rPr>
                <w:rFonts w:ascii="宋体" w:hAnsi="宋体" w:cs="宋体"/>
                <w:color w:val="000000"/>
                <w:sz w:val="24"/>
              </w:rPr>
            </w:pPr>
            <w:r>
              <w:rPr>
                <w:rFonts w:hint="eastAsia" w:ascii="宋体" w:hAnsi="宋体" w:cs="宋体"/>
                <w:b/>
                <w:color w:val="000000"/>
                <w:sz w:val="24"/>
              </w:rPr>
              <w:t>日    期：</w:t>
            </w:r>
            <w:r>
              <w:rPr>
                <w:rFonts w:hint="eastAsia" w:ascii="宋体" w:hAnsi="宋体" w:cs="宋体"/>
                <w:b/>
                <w:color w:val="000000"/>
                <w:sz w:val="24"/>
                <w:u w:val="singl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385"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ind w:firstLine="482" w:firstLineChars="200"/>
              <w:rPr>
                <w:rFonts w:ascii="宋体" w:hAnsi="宋体"/>
                <w:b/>
                <w:color w:val="000000"/>
                <w:sz w:val="24"/>
              </w:rPr>
            </w:pPr>
            <w:r>
              <w:rPr>
                <w:rFonts w:hint="eastAsia" w:ascii="宋体" w:hAnsi="宋体"/>
                <w:b/>
                <w:color w:val="000000"/>
                <w:sz w:val="24"/>
              </w:rPr>
              <w:t>注：如果报价一览表（报价表）内容与投标（响应）分项报价表内容不一致的，以报价一览表（报价表）内容为准。</w:t>
            </w:r>
          </w:p>
        </w:tc>
      </w:tr>
    </w:tbl>
    <w:p>
      <w:pPr>
        <w:rPr>
          <w:rFonts w:ascii="宋体" w:hAnsi="宋体"/>
          <w:color w:val="000000"/>
        </w:rPr>
      </w:pPr>
    </w:p>
    <w:p>
      <w:pPr>
        <w:pStyle w:val="9"/>
        <w:rPr>
          <w:color w:val="000000"/>
        </w:rPr>
      </w:pPr>
    </w:p>
    <w:p>
      <w:pPr>
        <w:pStyle w:val="10"/>
        <w:outlineLvl w:val="9"/>
        <w:rPr>
          <w:color w:val="000000"/>
        </w:rPr>
      </w:pPr>
    </w:p>
    <w:p>
      <w:pPr>
        <w:pStyle w:val="12"/>
      </w:pPr>
    </w:p>
    <w:p>
      <w:pPr>
        <w:rPr>
          <w:color w:val="000000"/>
        </w:rPr>
      </w:pPr>
    </w:p>
    <w:p>
      <w:pPr>
        <w:pStyle w:val="9"/>
        <w:rPr>
          <w:color w:val="000000"/>
        </w:rPr>
      </w:pPr>
    </w:p>
    <w:p>
      <w:pPr>
        <w:rPr>
          <w:rFonts w:ascii="宋体" w:hAnsi="宋体"/>
          <w:b/>
          <w:color w:val="000000"/>
          <w:sz w:val="28"/>
          <w:szCs w:val="28"/>
        </w:rPr>
      </w:pPr>
    </w:p>
    <w:p>
      <w:pPr>
        <w:rPr>
          <w:rFonts w:ascii="宋体" w:hAnsi="宋体"/>
          <w:b/>
          <w:color w:val="000000"/>
          <w:sz w:val="28"/>
          <w:szCs w:val="28"/>
        </w:rPr>
      </w:pPr>
      <w:bookmarkStart w:id="185" w:name="_Toc122338104"/>
    </w:p>
    <w:p>
      <w:pPr>
        <w:spacing w:line="360" w:lineRule="auto"/>
        <w:jc w:val="center"/>
        <w:rPr>
          <w:rFonts w:ascii="宋体" w:hAnsi="宋体" w:cs="宋体"/>
          <w:b/>
          <w:color w:val="000000"/>
          <w:sz w:val="28"/>
          <w:szCs w:val="28"/>
        </w:rPr>
      </w:pPr>
    </w:p>
    <w:p>
      <w:pPr>
        <w:jc w:val="center"/>
        <w:outlineLvl w:val="1"/>
        <w:rPr>
          <w:rFonts w:ascii="宋体" w:hAnsi="宋体"/>
          <w:b/>
          <w:color w:val="000000"/>
          <w:sz w:val="28"/>
          <w:szCs w:val="28"/>
        </w:rPr>
      </w:pPr>
      <w:r>
        <w:rPr>
          <w:rFonts w:hint="eastAsia" w:ascii="宋体" w:hAnsi="宋体"/>
          <w:b/>
          <w:color w:val="000000"/>
          <w:sz w:val="28"/>
          <w:szCs w:val="28"/>
        </w:rPr>
        <w:t>二、供应商的资格证明文件</w:t>
      </w:r>
      <w:bookmarkEnd w:id="185"/>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6967"/>
        <w:gridCol w:w="950"/>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序号</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资格证明文件</w:t>
            </w:r>
          </w:p>
        </w:tc>
        <w:tc>
          <w:tcPr>
            <w:tcW w:w="9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sz w:val="18"/>
                <w:szCs w:val="18"/>
              </w:rPr>
            </w:pPr>
            <w:r>
              <w:rPr>
                <w:rFonts w:hint="eastAsia" w:ascii="宋体" w:hAnsi="宋体"/>
                <w:b/>
                <w:color w:val="000000"/>
                <w:sz w:val="18"/>
                <w:szCs w:val="18"/>
              </w:rPr>
              <w:t>所在</w:t>
            </w:r>
          </w:p>
          <w:p>
            <w:pPr>
              <w:jc w:val="center"/>
              <w:rPr>
                <w:rFonts w:ascii="宋体" w:hAnsi="宋体"/>
                <w:b/>
                <w:color w:val="000000"/>
                <w:sz w:val="18"/>
                <w:szCs w:val="18"/>
              </w:rPr>
            </w:pPr>
            <w:r>
              <w:rPr>
                <w:rFonts w:hint="eastAsia" w:ascii="宋体" w:hAnsi="宋体"/>
                <w:b/>
                <w:color w:val="000000"/>
                <w:sz w:val="18"/>
                <w:szCs w:val="18"/>
              </w:rPr>
              <w:t>页码</w:t>
            </w: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62" w:type="dxa"/>
            <w:vMerge w:val="restart"/>
            <w:tcBorders>
              <w:top w:val="single" w:color="auto" w:sz="4" w:space="0"/>
              <w:left w:val="single" w:color="auto" w:sz="4" w:space="0"/>
              <w:right w:val="single" w:color="auto" w:sz="4" w:space="0"/>
            </w:tcBorders>
            <w:noWrap/>
            <w:vAlign w:val="center"/>
          </w:tcPr>
          <w:p>
            <w:pPr>
              <w:spacing w:line="380" w:lineRule="exact"/>
              <w:jc w:val="center"/>
              <w:rPr>
                <w:rFonts w:ascii="宋体" w:hAnsi="宋体"/>
                <w:color w:val="000000"/>
                <w:sz w:val="18"/>
                <w:szCs w:val="18"/>
              </w:rPr>
            </w:pPr>
            <w:r>
              <w:rPr>
                <w:rFonts w:hint="eastAsia" w:ascii="宋体" w:hAnsi="宋体"/>
                <w:b/>
                <w:color w:val="000000"/>
                <w:sz w:val="18"/>
                <w:szCs w:val="18"/>
              </w:rPr>
              <w:t>1</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000000"/>
                <w:sz w:val="18"/>
                <w:szCs w:val="18"/>
              </w:rPr>
            </w:pPr>
            <w:r>
              <w:rPr>
                <w:rFonts w:hint="eastAsia" w:ascii="宋体" w:hAnsi="宋体"/>
                <w:b/>
                <w:color w:val="000000"/>
                <w:sz w:val="18"/>
                <w:szCs w:val="18"/>
              </w:rPr>
              <w:t>满足《中华人民共和国政府采购法》第二十二条规定</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rPr>
            </w:pPr>
            <w:r>
              <w:rPr>
                <w:rFonts w:hint="eastAsia" w:ascii="宋体" w:hAnsi="宋体"/>
                <w:color w:val="000000"/>
                <w:sz w:val="18"/>
                <w:szCs w:val="18"/>
              </w:rPr>
              <w:t>（1.1）具有独立承担民事责任的能力</w:t>
            </w:r>
          </w:p>
          <w:p>
            <w:pPr>
              <w:spacing w:line="360" w:lineRule="auto"/>
              <w:ind w:firstLine="360" w:firstLineChars="200"/>
              <w:rPr>
                <w:rFonts w:ascii="宋体" w:hAnsi="宋体"/>
                <w:color w:val="000000"/>
                <w:sz w:val="18"/>
                <w:szCs w:val="18"/>
              </w:rPr>
            </w:pPr>
            <w:r>
              <w:rPr>
                <w:rFonts w:hint="eastAsia" w:ascii="宋体" w:hAnsi="宋体"/>
                <w:color w:val="000000"/>
                <w:sz w:val="18"/>
                <w:szCs w:val="18"/>
              </w:rPr>
              <w:t>（提供法人或者其他组织的营业执照，提供复印件加盖公章）</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360" w:firstLineChars="200"/>
              <w:rPr>
                <w:rFonts w:ascii="宋体" w:hAnsi="宋体"/>
                <w:b/>
                <w:color w:val="000000"/>
                <w:sz w:val="18"/>
                <w:szCs w:val="18"/>
              </w:rPr>
            </w:pPr>
            <w:r>
              <w:rPr>
                <w:rFonts w:hint="eastAsia" w:ascii="宋体" w:hAnsi="宋体"/>
                <w:color w:val="000000"/>
                <w:sz w:val="18"/>
                <w:szCs w:val="18"/>
              </w:rPr>
              <w:t>（1.2）</w:t>
            </w:r>
            <w:r>
              <w:rPr>
                <w:rFonts w:hint="eastAsia" w:ascii="宋体" w:hAnsi="宋体"/>
                <w:b/>
                <w:color w:val="000000"/>
                <w:sz w:val="18"/>
                <w:szCs w:val="18"/>
              </w:rPr>
              <w:t>具有良好的商业信誉和健全的财务会计制度</w:t>
            </w:r>
          </w:p>
          <w:p>
            <w:pPr>
              <w:spacing w:line="380" w:lineRule="exact"/>
              <w:ind w:firstLine="360" w:firstLineChars="200"/>
              <w:rPr>
                <w:rFonts w:ascii="宋体" w:hAnsi="宋体"/>
                <w:color w:val="000000"/>
                <w:sz w:val="18"/>
                <w:szCs w:val="18"/>
              </w:rPr>
            </w:pPr>
            <w:r>
              <w:rPr>
                <w:rFonts w:hint="eastAsia" w:ascii="宋体" w:hAnsi="宋体"/>
                <w:color w:val="000000"/>
                <w:sz w:val="18"/>
                <w:szCs w:val="18"/>
              </w:rPr>
              <w:t>提供财务状况报告证明材料（例：审计报告、银行对账单、银行资信证明等）</w:t>
            </w:r>
          </w:p>
          <w:p>
            <w:pPr>
              <w:spacing w:line="380" w:lineRule="exact"/>
              <w:ind w:firstLine="360" w:firstLineChars="200"/>
              <w:rPr>
                <w:rFonts w:ascii="宋体" w:hAnsi="宋体"/>
                <w:b/>
                <w:color w:val="000000"/>
                <w:sz w:val="18"/>
                <w:szCs w:val="18"/>
              </w:rPr>
            </w:pPr>
            <w:r>
              <w:rPr>
                <w:rFonts w:hint="eastAsia" w:ascii="宋体" w:hAnsi="宋体"/>
                <w:color w:val="000000"/>
                <w:sz w:val="18"/>
                <w:szCs w:val="18"/>
              </w:rPr>
              <w:t>说明：</w:t>
            </w:r>
          </w:p>
          <w:p>
            <w:pPr>
              <w:spacing w:line="380" w:lineRule="exact"/>
              <w:ind w:firstLine="360" w:firstLineChars="200"/>
              <w:rPr>
                <w:rFonts w:ascii="宋体" w:hAnsi="宋体"/>
                <w:b/>
                <w:color w:val="000000"/>
                <w:sz w:val="18"/>
                <w:szCs w:val="18"/>
              </w:rPr>
            </w:pPr>
            <w:r>
              <w:rPr>
                <w:rFonts w:hint="eastAsia" w:ascii="宋体" w:hAnsi="宋体"/>
                <w:color w:val="000000"/>
                <w:sz w:val="18"/>
                <w:szCs w:val="18"/>
              </w:rPr>
              <w:t>1.如是审计报告，须为本单位上年度（如投标截止时间为</w:t>
            </w:r>
            <w:r>
              <w:rPr>
                <w:rFonts w:ascii="宋体" w:hAnsi="宋体"/>
                <w:color w:val="000000"/>
                <w:sz w:val="18"/>
                <w:szCs w:val="18"/>
              </w:rPr>
              <w:t>1</w:t>
            </w:r>
            <w:r>
              <w:rPr>
                <w:rFonts w:hint="eastAsia" w:ascii="宋体" w:hAnsi="宋体"/>
                <w:color w:val="000000"/>
                <w:sz w:val="18"/>
                <w:szCs w:val="18"/>
              </w:rPr>
              <w:t>季度，可以提供前一年度）经会计师事务所出具的审计报告（须有会计师事务所的盖章）；</w:t>
            </w:r>
          </w:p>
          <w:p>
            <w:pPr>
              <w:spacing w:line="380" w:lineRule="exact"/>
              <w:ind w:firstLine="360" w:firstLineChars="200"/>
              <w:rPr>
                <w:rFonts w:ascii="宋体" w:hAnsi="宋体"/>
                <w:b/>
                <w:color w:val="000000"/>
                <w:sz w:val="18"/>
                <w:szCs w:val="18"/>
              </w:rPr>
            </w:pPr>
            <w:r>
              <w:rPr>
                <w:rFonts w:hint="eastAsia" w:ascii="宋体" w:hAnsi="宋体"/>
                <w:color w:val="000000"/>
                <w:sz w:val="18"/>
                <w:szCs w:val="18"/>
              </w:rPr>
              <w:t>2.如是银行对账单，须为近3个月来任意1个月的银行对账单（须银行盖章）；</w:t>
            </w:r>
          </w:p>
          <w:p>
            <w:pPr>
              <w:spacing w:line="360" w:lineRule="auto"/>
              <w:ind w:firstLine="360" w:firstLineChars="200"/>
              <w:rPr>
                <w:rFonts w:ascii="宋体" w:hAnsi="宋体"/>
                <w:color w:val="000000"/>
                <w:sz w:val="18"/>
                <w:szCs w:val="18"/>
              </w:rPr>
            </w:pPr>
            <w:r>
              <w:rPr>
                <w:rFonts w:hint="eastAsia" w:ascii="宋体" w:hAnsi="宋体"/>
                <w:color w:val="000000"/>
                <w:sz w:val="18"/>
                <w:szCs w:val="18"/>
              </w:rPr>
              <w:t>3.银行资信证明等相关证明如有有效期的，须保证其证明在有效期内。</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rPr>
            </w:pPr>
            <w:r>
              <w:rPr>
                <w:rFonts w:hint="eastAsia" w:ascii="宋体" w:hAnsi="宋体"/>
                <w:color w:val="000000"/>
                <w:sz w:val="18"/>
                <w:szCs w:val="18"/>
              </w:rPr>
              <w:t>（1.3）具有履行合同所必需的设备和专业技术能力（投标人根据履行采购项目合同需要，提供履行合同所必需的设备和专业技术能力的证明材料或者加盖投标供应商公章的承诺函）；</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rPr>
            </w:pPr>
            <w:r>
              <w:rPr>
                <w:rFonts w:hint="eastAsia" w:ascii="宋体" w:hAnsi="宋体"/>
                <w:color w:val="000000"/>
                <w:sz w:val="18"/>
                <w:szCs w:val="18"/>
              </w:rPr>
              <w:t>（1.4）有依法缴纳税收和社会保障资金的良好记录【提供参加本次政府采购活动投标截止时间前三个月以来任意一个月缴纳增值税，或营业税，或企业所得税的凭据；并提供缴纳社会保险的凭据（专用收据或社会保险缴纳清单）】</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rPr>
            </w:pPr>
            <w:r>
              <w:rPr>
                <w:rFonts w:hint="eastAsia" w:ascii="宋体" w:hAnsi="宋体"/>
                <w:color w:val="000000"/>
                <w:sz w:val="18"/>
                <w:szCs w:val="18"/>
              </w:rPr>
              <w:t>（1.5）参加政府采购活动前三年内，在经营活动中没有重大违法记录（提供承诺书）。</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bottom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1" w:firstLineChars="200"/>
              <w:rPr>
                <w:rFonts w:ascii="宋体" w:hAnsi="宋体"/>
                <w:b/>
                <w:color w:val="000000"/>
                <w:sz w:val="18"/>
                <w:szCs w:val="18"/>
              </w:rPr>
            </w:pPr>
            <w:r>
              <w:rPr>
                <w:rFonts w:hint="eastAsia" w:ascii="宋体" w:hAnsi="宋体"/>
                <w:b/>
                <w:color w:val="000000"/>
                <w:sz w:val="18"/>
                <w:szCs w:val="18"/>
              </w:rPr>
              <w:t>（1.6）法律、行政法规规定的其他条件</w:t>
            </w:r>
          </w:p>
          <w:p>
            <w:pPr>
              <w:spacing w:line="360" w:lineRule="auto"/>
              <w:ind w:firstLine="360" w:firstLineChars="200"/>
              <w:rPr>
                <w:rFonts w:ascii="宋体" w:hAnsi="宋体"/>
                <w:color w:val="000000"/>
                <w:sz w:val="18"/>
                <w:szCs w:val="18"/>
              </w:rPr>
            </w:pPr>
            <w:r>
              <w:rPr>
                <w:rFonts w:hint="eastAsia" w:ascii="宋体" w:hAnsi="宋体"/>
                <w:color w:val="000000"/>
                <w:sz w:val="18"/>
                <w:szCs w:val="18"/>
              </w:rPr>
              <w:t>提供</w:t>
            </w:r>
            <w:r>
              <w:rPr>
                <w:rFonts w:ascii="宋体" w:hAnsi="宋体"/>
                <w:color w:val="000000"/>
                <w:sz w:val="18"/>
                <w:szCs w:val="18"/>
              </w:rPr>
              <w:t>具备法律、行政法规规定的其他条件的证明材料</w:t>
            </w:r>
            <w:r>
              <w:rPr>
                <w:rFonts w:hint="eastAsia" w:ascii="宋体" w:hAnsi="宋体"/>
                <w:color w:val="000000"/>
                <w:sz w:val="18"/>
                <w:szCs w:val="18"/>
              </w:rPr>
              <w:t>（按照采购公告的要求提供）</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2</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000000"/>
                <w:sz w:val="18"/>
                <w:szCs w:val="18"/>
              </w:rPr>
            </w:pPr>
            <w:r>
              <w:rPr>
                <w:rFonts w:hint="eastAsia" w:ascii="宋体" w:hAnsi="宋体"/>
                <w:b/>
                <w:color w:val="000000"/>
                <w:sz w:val="18"/>
                <w:szCs w:val="18"/>
              </w:rPr>
              <w:t>落实政府采购政策需满足的资格要求（按照采购公告的要求提供）</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3</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000000"/>
                <w:sz w:val="18"/>
                <w:szCs w:val="18"/>
              </w:rPr>
            </w:pPr>
            <w:r>
              <w:rPr>
                <w:rFonts w:hint="eastAsia" w:ascii="宋体" w:hAnsi="宋体"/>
                <w:b/>
                <w:color w:val="000000"/>
                <w:sz w:val="18"/>
                <w:szCs w:val="18"/>
              </w:rPr>
              <w:t>本项目的特定资格要求（按照采购公告的要求提供）</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4</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36" w:lineRule="auto"/>
              <w:ind w:firstLine="360" w:firstLineChars="200"/>
              <w:rPr>
                <w:rFonts w:ascii="宋体" w:hAnsi="宋体"/>
                <w:b/>
                <w:color w:val="000000"/>
                <w:sz w:val="18"/>
                <w:szCs w:val="18"/>
              </w:rPr>
            </w:pPr>
            <w:r>
              <w:rPr>
                <w:rFonts w:hint="eastAsia" w:ascii="宋体" w:hAnsi="宋体"/>
                <w:color w:val="000000"/>
                <w:sz w:val="18"/>
                <w:szCs w:val="18"/>
              </w:rPr>
              <w:t>供应商被“信用中国”网站(www.creditchina.gov.cn)、“中国政府采购网”(www.ccgp.gov.cn)列入失信被执行人、重大税收违法案件当事人名单、政府采购严重违法失信行为记录名单。</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i/>
                <w:color w:val="000000"/>
                <w:sz w:val="18"/>
                <w:szCs w:val="18"/>
                <w:u w:val="single"/>
              </w:rPr>
            </w:pPr>
            <w:r>
              <w:rPr>
                <w:rFonts w:hint="eastAsia" w:ascii="宋体" w:hAnsi="宋体"/>
                <w:i/>
                <w:color w:val="000000"/>
                <w:sz w:val="18"/>
                <w:szCs w:val="18"/>
                <w:u w:val="single"/>
              </w:rPr>
              <w:t>行数不够，可按本表格式自行添加</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460" w:type="dxa"/>
            <w:gridSpan w:val="4"/>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olor w:val="000000"/>
                <w:sz w:val="18"/>
                <w:szCs w:val="18"/>
              </w:rPr>
            </w:pPr>
            <w:r>
              <w:rPr>
                <w:rFonts w:hint="eastAsia" w:ascii="宋体" w:hAnsi="宋体"/>
                <w:color w:val="000000"/>
                <w:sz w:val="18"/>
                <w:szCs w:val="18"/>
              </w:rPr>
              <w:t>特别提醒：</w:t>
            </w:r>
          </w:p>
          <w:p>
            <w:pPr>
              <w:spacing w:line="360" w:lineRule="auto"/>
              <w:ind w:firstLine="361" w:firstLineChars="200"/>
              <w:rPr>
                <w:rFonts w:ascii="宋体" w:hAnsi="宋体"/>
                <w:color w:val="000000"/>
                <w:sz w:val="18"/>
                <w:szCs w:val="18"/>
              </w:rPr>
            </w:pPr>
            <w:r>
              <w:rPr>
                <w:rFonts w:hint="eastAsia" w:ascii="宋体" w:hAnsi="宋体"/>
                <w:b/>
                <w:color w:val="000000"/>
                <w:sz w:val="18"/>
                <w:szCs w:val="18"/>
                <w:u w:val="single"/>
              </w:rPr>
              <w:t>1.如无特殊说明，提供复印件即可</w:t>
            </w:r>
            <w:r>
              <w:rPr>
                <w:rFonts w:hint="eastAsia" w:ascii="宋体" w:hAnsi="宋体"/>
                <w:b/>
                <w:color w:val="000000"/>
                <w:sz w:val="18"/>
                <w:szCs w:val="18"/>
              </w:rPr>
              <w:t>，</w:t>
            </w:r>
            <w:r>
              <w:rPr>
                <w:rFonts w:hint="eastAsia" w:ascii="宋体" w:hAnsi="宋体"/>
                <w:color w:val="000000"/>
                <w:sz w:val="18"/>
                <w:szCs w:val="18"/>
              </w:rPr>
              <w:t>复印件上请加盖本单位章。</w:t>
            </w:r>
          </w:p>
          <w:p>
            <w:pPr>
              <w:spacing w:line="360" w:lineRule="auto"/>
              <w:ind w:firstLine="360" w:firstLineChars="200"/>
              <w:rPr>
                <w:rFonts w:ascii="宋体" w:hAnsi="宋体"/>
                <w:color w:val="000000"/>
                <w:sz w:val="18"/>
                <w:szCs w:val="18"/>
              </w:rPr>
            </w:pPr>
            <w:r>
              <w:rPr>
                <w:rFonts w:hint="eastAsia" w:ascii="宋体" w:hAnsi="宋体"/>
                <w:color w:val="000000"/>
                <w:sz w:val="18"/>
                <w:szCs w:val="18"/>
              </w:rPr>
              <w:t>2.如供应商资格证明文件提供为原件的，视为一次性证明材料（如：社保证明原件），恕不退回。</w:t>
            </w:r>
          </w:p>
        </w:tc>
      </w:tr>
    </w:tbl>
    <w:p>
      <w:pPr>
        <w:spacing w:line="276" w:lineRule="auto"/>
        <w:jc w:val="left"/>
        <w:rPr>
          <w:b/>
          <w:color w:val="000000"/>
        </w:rPr>
      </w:pPr>
      <w:r>
        <w:rPr>
          <w:rFonts w:hint="eastAsia"/>
          <w:b/>
          <w:color w:val="000000"/>
        </w:rPr>
        <w:t>一、满足《中华人民共和国政府采购法》第二十二条规定</w:t>
      </w:r>
    </w:p>
    <w:p>
      <w:pPr>
        <w:spacing w:line="276" w:lineRule="auto"/>
        <w:ind w:firstLine="422" w:firstLineChars="200"/>
        <w:rPr>
          <w:rFonts w:ascii="宋体" w:hAnsi="宋体"/>
          <w:color w:val="000000"/>
          <w:szCs w:val="21"/>
        </w:rPr>
      </w:pPr>
      <w:r>
        <w:rPr>
          <w:rFonts w:hint="eastAsia" w:ascii="宋体" w:hAnsi="宋体"/>
          <w:b/>
          <w:color w:val="000000"/>
          <w:szCs w:val="21"/>
        </w:rPr>
        <w:t xml:space="preserve">1.1 </w:t>
      </w:r>
      <w:r>
        <w:rPr>
          <w:rFonts w:hint="eastAsia" w:ascii="宋体" w:hAnsi="宋体"/>
          <w:color w:val="000000"/>
          <w:szCs w:val="21"/>
        </w:rPr>
        <w:t>具有独立承担民事责任的能力；</w:t>
      </w:r>
    </w:p>
    <w:p>
      <w:pPr>
        <w:pStyle w:val="9"/>
      </w:pPr>
    </w:p>
    <w:p>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2</w:t>
      </w:r>
      <w:r>
        <w:rPr>
          <w:rFonts w:hint="eastAsia" w:ascii="宋体" w:hAnsi="宋体"/>
          <w:color w:val="000000"/>
          <w:szCs w:val="21"/>
        </w:rPr>
        <w:t>具有良好的商业信誉和健全的财务会计制度；</w:t>
      </w:r>
    </w:p>
    <w:p>
      <w:pPr>
        <w:pStyle w:val="9"/>
      </w:pPr>
    </w:p>
    <w:p>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3</w:t>
      </w:r>
      <w:r>
        <w:rPr>
          <w:rFonts w:hint="eastAsia" w:ascii="宋体" w:hAnsi="宋体"/>
          <w:color w:val="000000"/>
          <w:szCs w:val="21"/>
        </w:rPr>
        <w:t>有履行合同所必需的设备和专业技术能力；</w:t>
      </w:r>
    </w:p>
    <w:p>
      <w:pPr>
        <w:pStyle w:val="9"/>
      </w:pPr>
    </w:p>
    <w:p>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4</w:t>
      </w:r>
      <w:r>
        <w:rPr>
          <w:rFonts w:hint="eastAsia" w:ascii="宋体" w:hAnsi="宋体"/>
          <w:color w:val="000000"/>
          <w:szCs w:val="21"/>
        </w:rPr>
        <w:t>有依法缴纳税收和社会保障资金的良好记录；</w:t>
      </w:r>
    </w:p>
    <w:p>
      <w:pPr>
        <w:pStyle w:val="9"/>
      </w:pPr>
    </w:p>
    <w:p>
      <w:pPr>
        <w:spacing w:line="276" w:lineRule="auto"/>
        <w:ind w:firstLine="422" w:firstLineChars="200"/>
        <w:rPr>
          <w:rFonts w:ascii="宋体" w:hAnsi="宋体"/>
          <w:b/>
          <w:color w:val="000000"/>
        </w:rPr>
      </w:pPr>
      <w:r>
        <w:rPr>
          <w:rFonts w:hint="eastAsia" w:ascii="宋体" w:hAnsi="宋体"/>
          <w:b/>
          <w:color w:val="000000"/>
          <w:szCs w:val="21"/>
        </w:rPr>
        <w:t>1.</w:t>
      </w:r>
      <w:r>
        <w:rPr>
          <w:rFonts w:ascii="宋体" w:hAnsi="宋体"/>
          <w:b/>
          <w:color w:val="000000"/>
          <w:szCs w:val="21"/>
        </w:rPr>
        <w:t>5</w:t>
      </w:r>
      <w:r>
        <w:rPr>
          <w:rFonts w:hint="eastAsia" w:ascii="宋体" w:hAnsi="宋体"/>
          <w:color w:val="000000"/>
          <w:szCs w:val="21"/>
        </w:rPr>
        <w:t>参加政府采购活动前三年内，在经营活动中没有重大违法记录（提供承诺书）。</w:t>
      </w:r>
    </w:p>
    <w:p>
      <w:pPr>
        <w:ind w:firstLine="422" w:firstLineChars="200"/>
        <w:rPr>
          <w:rFonts w:ascii="宋体" w:hAnsi="宋体"/>
          <w:b/>
          <w:color w:val="000000"/>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534" w:type="dxa"/>
            <w:noWrap/>
          </w:tcPr>
          <w:p>
            <w:pPr>
              <w:spacing w:line="360" w:lineRule="auto"/>
              <w:jc w:val="center"/>
              <w:rPr>
                <w:b/>
                <w:color w:val="000000"/>
              </w:rPr>
            </w:pPr>
            <w:r>
              <w:rPr>
                <w:rFonts w:hint="eastAsia"/>
                <w:b/>
                <w:color w:val="000000"/>
              </w:rPr>
              <w:t>1.3、1.5资质要求的响应声明（格式）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noWrap/>
          </w:tcPr>
          <w:p>
            <w:pPr>
              <w:spacing w:line="360" w:lineRule="auto"/>
              <w:jc w:val="left"/>
              <w:rPr>
                <w:rFonts w:ascii="宋体" w:hAnsi="宋体"/>
                <w:bCs/>
                <w:color w:val="000000"/>
                <w:szCs w:val="21"/>
              </w:rPr>
            </w:pPr>
            <w:r>
              <w:rPr>
                <w:rFonts w:hint="eastAsia" w:ascii="宋体" w:hAnsi="宋体"/>
                <w:bCs/>
                <w:color w:val="000000"/>
                <w:szCs w:val="21"/>
              </w:rPr>
              <w:t>我方郑重声明：</w:t>
            </w:r>
          </w:p>
          <w:p>
            <w:pPr>
              <w:spacing w:line="360" w:lineRule="auto"/>
              <w:ind w:firstLine="492"/>
              <w:jc w:val="left"/>
              <w:rPr>
                <w:rFonts w:ascii="宋体" w:hAnsi="宋体"/>
                <w:bCs/>
                <w:color w:val="000000"/>
                <w:szCs w:val="21"/>
              </w:rPr>
            </w:pPr>
            <w:r>
              <w:rPr>
                <w:rFonts w:hint="eastAsia" w:ascii="宋体" w:hAnsi="宋体"/>
                <w:bCs/>
                <w:color w:val="000000"/>
                <w:szCs w:val="21"/>
              </w:rPr>
              <w:t>1、我方具备履行本项采购合同所必需的设备和专业技术能力，为履行本项采购合同我公司具备如下主要设备和主要专业技术能力：</w:t>
            </w:r>
          </w:p>
          <w:p>
            <w:pPr>
              <w:spacing w:line="360" w:lineRule="auto"/>
              <w:ind w:firstLine="492"/>
              <w:jc w:val="left"/>
              <w:rPr>
                <w:rFonts w:ascii="宋体" w:hAnsi="宋体"/>
                <w:bCs/>
                <w:color w:val="000000"/>
                <w:szCs w:val="21"/>
              </w:rPr>
            </w:pPr>
            <w:r>
              <w:rPr>
                <w:rFonts w:hint="eastAsia" w:ascii="宋体" w:hAnsi="宋体"/>
                <w:bCs/>
                <w:color w:val="000000"/>
                <w:szCs w:val="21"/>
              </w:rPr>
              <w:t>主要设备有：</w:t>
            </w:r>
            <w:r>
              <w:rPr>
                <w:rFonts w:hint="eastAsia" w:ascii="宋体" w:hAnsi="宋体"/>
                <w:bCs/>
                <w:color w:val="000000"/>
                <w:szCs w:val="21"/>
                <w:u w:val="single"/>
              </w:rPr>
              <w:t xml:space="preserve">                  （一个即可）</w:t>
            </w:r>
            <w:r>
              <w:rPr>
                <w:rFonts w:hint="eastAsia" w:ascii="宋体" w:hAnsi="宋体"/>
                <w:bCs/>
                <w:color w:val="000000"/>
                <w:szCs w:val="21"/>
              </w:rPr>
              <w:t>。</w:t>
            </w:r>
          </w:p>
          <w:p>
            <w:pPr>
              <w:spacing w:line="360" w:lineRule="auto"/>
              <w:ind w:firstLine="492"/>
              <w:jc w:val="left"/>
              <w:rPr>
                <w:rFonts w:ascii="宋体" w:hAnsi="宋体"/>
                <w:bCs/>
                <w:color w:val="000000"/>
                <w:szCs w:val="21"/>
              </w:rPr>
            </w:pPr>
            <w:r>
              <w:rPr>
                <w:rFonts w:hint="eastAsia" w:ascii="宋体" w:hAnsi="宋体"/>
                <w:bCs/>
                <w:color w:val="000000"/>
                <w:szCs w:val="21"/>
              </w:rPr>
              <w:t>主要专业技术能力有：</w:t>
            </w:r>
            <w:r>
              <w:rPr>
                <w:rFonts w:hint="eastAsia" w:ascii="宋体" w:hAnsi="宋体"/>
                <w:bCs/>
                <w:color w:val="000000"/>
                <w:szCs w:val="21"/>
                <w:u w:val="single"/>
              </w:rPr>
              <w:t xml:space="preserve">          （一项即可）</w:t>
            </w:r>
            <w:r>
              <w:rPr>
                <w:rFonts w:hint="eastAsia" w:ascii="宋体" w:hAnsi="宋体"/>
                <w:bCs/>
                <w:color w:val="000000"/>
                <w:szCs w:val="21"/>
              </w:rPr>
              <w:t>。</w:t>
            </w:r>
          </w:p>
          <w:p>
            <w:pPr>
              <w:spacing w:line="360" w:lineRule="auto"/>
              <w:ind w:firstLine="492"/>
              <w:jc w:val="left"/>
              <w:rPr>
                <w:rFonts w:ascii="宋体" w:hAnsi="宋体"/>
                <w:bCs/>
                <w:color w:val="000000"/>
                <w:szCs w:val="21"/>
              </w:rPr>
            </w:pPr>
            <w:r>
              <w:rPr>
                <w:rFonts w:hint="eastAsia" w:ascii="宋体" w:hAnsi="宋体"/>
                <w:bCs/>
                <w:color w:val="000000"/>
                <w:szCs w:val="21"/>
              </w:rPr>
              <w:t>2、我方参加本次政府采购活动前 3 年内，我方在经营活动中没有因违法经营受到刑事处罚或者责令停产停业、吊销许可证或者执照、较大数额罚款等行政处罚。</w:t>
            </w:r>
          </w:p>
          <w:p>
            <w:pPr>
              <w:spacing w:line="360" w:lineRule="auto"/>
              <w:ind w:firstLine="492"/>
              <w:jc w:val="left"/>
              <w:rPr>
                <w:rFonts w:ascii="宋体" w:hAnsi="宋体"/>
                <w:bCs/>
                <w:color w:val="000000"/>
                <w:szCs w:val="21"/>
              </w:rPr>
            </w:pPr>
            <w:r>
              <w:rPr>
                <w:rFonts w:hint="eastAsia" w:ascii="宋体" w:hAnsi="宋体" w:cs="宋体"/>
                <w:color w:val="000000"/>
                <w:kern w:val="0"/>
                <w:szCs w:val="21"/>
              </w:rPr>
              <w:t>我方就此承诺真实性负责，如有虚假，贵方可视为我方提供虚假材料处理。</w:t>
            </w:r>
          </w:p>
          <w:p>
            <w:pPr>
              <w:spacing w:line="360" w:lineRule="auto"/>
              <w:jc w:val="left"/>
              <w:rPr>
                <w:rFonts w:ascii="宋体" w:hAnsi="宋体"/>
                <w:bCs/>
                <w:color w:val="000000"/>
                <w:szCs w:val="21"/>
                <w:u w:val="single"/>
              </w:rPr>
            </w:pPr>
            <w:r>
              <w:rPr>
                <w:rFonts w:hint="eastAsia" w:ascii="宋体" w:hAnsi="宋体"/>
                <w:bCs/>
                <w:color w:val="000000"/>
                <w:szCs w:val="21"/>
              </w:rPr>
              <w:t xml:space="preserve">     供应商名称（公章）：</w:t>
            </w:r>
          </w:p>
          <w:p>
            <w:pPr>
              <w:spacing w:line="360" w:lineRule="auto"/>
              <w:jc w:val="left"/>
              <w:rPr>
                <w:rFonts w:ascii="宋体" w:hAnsi="宋体"/>
                <w:bCs/>
                <w:color w:val="000000"/>
                <w:szCs w:val="21"/>
                <w:u w:val="single"/>
              </w:rPr>
            </w:pPr>
            <w:r>
              <w:rPr>
                <w:rFonts w:hint="eastAsia" w:ascii="宋体" w:hAnsi="宋体" w:cs="宋体"/>
                <w:color w:val="000000"/>
              </w:rPr>
              <w:t>法定代表人或其委托代理人</w:t>
            </w:r>
            <w:r>
              <w:rPr>
                <w:rFonts w:hint="eastAsia" w:ascii="宋体" w:hAnsi="宋体"/>
                <w:bCs/>
                <w:color w:val="000000"/>
                <w:szCs w:val="21"/>
              </w:rPr>
              <w:t>签字：</w:t>
            </w:r>
          </w:p>
          <w:p>
            <w:pPr>
              <w:spacing w:line="360" w:lineRule="auto"/>
              <w:ind w:firstLine="4578" w:firstLineChars="2180"/>
              <w:jc w:val="left"/>
              <w:rPr>
                <w:rFonts w:ascii="宋体" w:hAnsi="宋体"/>
                <w:bCs/>
                <w:color w:val="000000"/>
                <w:szCs w:val="21"/>
                <w:u w:val="single"/>
              </w:rPr>
            </w:pPr>
            <w:r>
              <w:rPr>
                <w:rFonts w:hint="eastAsia" w:ascii="宋体" w:hAnsi="宋体"/>
                <w:bCs/>
                <w:color w:val="000000"/>
                <w:szCs w:val="21"/>
                <w:u w:val="single"/>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noWrap/>
          </w:tcPr>
          <w:p>
            <w:pPr>
              <w:spacing w:line="360" w:lineRule="auto"/>
              <w:rPr>
                <w:color w:val="000000"/>
              </w:rPr>
            </w:pPr>
            <w:r>
              <w:rPr>
                <w:rFonts w:hint="eastAsia"/>
                <w:color w:val="000000"/>
              </w:rPr>
              <w:t>说明：1.应按本表格式制作，</w:t>
            </w:r>
            <w:r>
              <w:rPr>
                <w:rFonts w:hint="eastAsia"/>
                <w:b/>
                <w:color w:val="000000"/>
                <w:u w:val="single"/>
              </w:rPr>
              <w:t>并在正本中提供原件</w:t>
            </w:r>
            <w:r>
              <w:rPr>
                <w:rFonts w:hint="eastAsia" w:ascii="宋体" w:hAnsi="宋体"/>
                <w:b/>
                <w:color w:val="000000"/>
                <w:u w:val="single"/>
              </w:rPr>
              <w:t>（★未在</w:t>
            </w:r>
            <w:r>
              <w:rPr>
                <w:rFonts w:hint="eastAsia"/>
                <w:b/>
                <w:color w:val="000000"/>
                <w:u w:val="single"/>
              </w:rPr>
              <w:t>正本中提供原件按无效处理</w:t>
            </w:r>
            <w:r>
              <w:rPr>
                <w:rFonts w:hint="eastAsia" w:ascii="宋体" w:hAnsi="宋体"/>
                <w:b/>
                <w:color w:val="000000"/>
                <w:u w:val="single"/>
              </w:rPr>
              <w:t>）</w:t>
            </w:r>
            <w:r>
              <w:rPr>
                <w:rFonts w:hint="eastAsia"/>
                <w:color w:val="000000"/>
              </w:rPr>
              <w:t>。</w:t>
            </w:r>
          </w:p>
          <w:p>
            <w:pPr>
              <w:spacing w:line="360" w:lineRule="auto"/>
              <w:ind w:firstLine="630" w:firstLineChars="300"/>
              <w:rPr>
                <w:color w:val="000000"/>
              </w:rPr>
            </w:pPr>
            <w:r>
              <w:rPr>
                <w:rFonts w:hint="eastAsia"/>
                <w:color w:val="000000"/>
              </w:rPr>
              <w:t>2. 如果是联合体投标，联合体各方均需提供上述证明。</w:t>
            </w:r>
          </w:p>
        </w:tc>
      </w:tr>
    </w:tbl>
    <w:p>
      <w:pPr>
        <w:spacing w:line="276" w:lineRule="auto"/>
        <w:ind w:firstLine="632" w:firstLineChars="301"/>
        <w:jc w:val="left"/>
        <w:rPr>
          <w:rFonts w:ascii="宋体" w:hAnsi="宋体"/>
          <w:color w:val="000000"/>
          <w:szCs w:val="21"/>
        </w:rPr>
      </w:pPr>
    </w:p>
    <w:p>
      <w:pPr>
        <w:spacing w:line="276" w:lineRule="auto"/>
        <w:ind w:firstLine="420" w:firstLineChars="200"/>
        <w:jc w:val="left"/>
        <w:rPr>
          <w:rFonts w:ascii="宋体" w:hAnsi="宋体"/>
          <w:color w:val="000000"/>
        </w:rPr>
      </w:pPr>
      <w:r>
        <w:rPr>
          <w:rFonts w:hint="eastAsia" w:ascii="宋体" w:hAnsi="宋体"/>
          <w:color w:val="000000"/>
          <w:szCs w:val="21"/>
        </w:rPr>
        <w:t>1.6</w:t>
      </w:r>
      <w:r>
        <w:rPr>
          <w:color w:val="000000"/>
          <w:szCs w:val="21"/>
        </w:rPr>
        <w:t>具备法律、行政法规规定的其他条件的证明材料</w:t>
      </w:r>
      <w:r>
        <w:rPr>
          <w:rFonts w:hint="eastAsia" w:ascii="宋体" w:hAnsi="宋体"/>
          <w:color w:val="000000"/>
        </w:rPr>
        <w:t>（按照采购公告的要求提供）</w:t>
      </w:r>
    </w:p>
    <w:p/>
    <w:p/>
    <w:p>
      <w:pPr>
        <w:pStyle w:val="9"/>
      </w:pPr>
    </w:p>
    <w:p>
      <w:pPr>
        <w:pStyle w:val="10"/>
        <w:outlineLvl w:val="9"/>
      </w:pPr>
    </w:p>
    <w:p/>
    <w:p>
      <w:pPr>
        <w:spacing w:line="400" w:lineRule="exact"/>
        <w:ind w:firstLine="420" w:firstLineChars="200"/>
        <w:rPr>
          <w:rFonts w:ascii="宋体" w:hAnsi="宋体" w:cs="宋体"/>
          <w:szCs w:val="21"/>
        </w:rPr>
      </w:pPr>
      <w:r>
        <w:rPr>
          <w:rFonts w:hint="eastAsia" w:ascii="宋体" w:hAnsi="宋体" w:cs="宋体"/>
          <w:szCs w:val="21"/>
        </w:rPr>
        <w:t>2.落实政府采购政策需满足的资格要求：</w:t>
      </w:r>
    </w:p>
    <w:p>
      <w:pPr>
        <w:pStyle w:val="9"/>
      </w:pPr>
    </w:p>
    <w:p>
      <w:pPr>
        <w:pStyle w:val="10"/>
        <w:outlineLvl w:val="9"/>
      </w:pPr>
    </w:p>
    <w:p>
      <w:pPr>
        <w:spacing w:line="400" w:lineRule="exact"/>
        <w:ind w:firstLine="420" w:firstLineChars="200"/>
        <w:jc w:val="left"/>
        <w:rPr>
          <w:rFonts w:ascii="宋体" w:hAnsi="宋体"/>
          <w:szCs w:val="21"/>
        </w:rPr>
      </w:pPr>
      <w:r>
        <w:rPr>
          <w:rFonts w:hint="eastAsia" w:ascii="宋体" w:hAnsi="宋体"/>
          <w:szCs w:val="21"/>
        </w:rPr>
        <w:t>3.本项目的特定资格要求：</w:t>
      </w:r>
    </w:p>
    <w:p>
      <w:pPr>
        <w:spacing w:line="400" w:lineRule="exact"/>
        <w:ind w:firstLine="422" w:firstLineChars="200"/>
        <w:jc w:val="left"/>
        <w:rPr>
          <w:rFonts w:ascii="宋体" w:hAnsi="宋体"/>
          <w:b/>
          <w:szCs w:val="21"/>
        </w:rPr>
      </w:pPr>
    </w:p>
    <w:p>
      <w:pPr>
        <w:pStyle w:val="10"/>
        <w:outlineLvl w:val="9"/>
      </w:pPr>
    </w:p>
    <w:p>
      <w:pPr>
        <w:spacing w:line="400" w:lineRule="exact"/>
        <w:ind w:firstLine="420" w:firstLineChars="200"/>
        <w:jc w:val="left"/>
        <w:rPr>
          <w:rFonts w:ascii="宋体" w:hAnsi="宋体"/>
          <w:szCs w:val="21"/>
        </w:rPr>
      </w:pPr>
      <w:r>
        <w:rPr>
          <w:rFonts w:hint="eastAsia" w:ascii="宋体" w:hAnsi="宋体"/>
          <w:szCs w:val="21"/>
        </w:rPr>
        <w:t>4.供应商被“信用中国”网站(www.creditchina.gov.cn)、“中国政府采购网”(www.ccgp.gov.cn)列入失信被执行人、重大税收违法案件当事人名单、政府采购严重违法失信行为记录名单。</w:t>
      </w: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 w:val="28"/>
          <w:szCs w:val="21"/>
        </w:rPr>
      </w:pPr>
    </w:p>
    <w:p>
      <w:pPr>
        <w:widowControl/>
        <w:shd w:val="clear" w:color="auto" w:fill="FFFFFF"/>
        <w:snapToGrid w:val="0"/>
        <w:spacing w:before="312" w:after="156" w:line="360" w:lineRule="auto"/>
        <w:jc w:val="center"/>
        <w:rPr>
          <w:rFonts w:ascii="宋体" w:hAnsi="宋体" w:cs="宋体"/>
          <w:b/>
          <w:kern w:val="0"/>
          <w:sz w:val="28"/>
          <w:szCs w:val="21"/>
        </w:rPr>
      </w:pPr>
    </w:p>
    <w:p>
      <w:pPr>
        <w:widowControl/>
        <w:shd w:val="clear" w:color="auto" w:fill="FFFFFF"/>
        <w:snapToGrid w:val="0"/>
        <w:spacing w:before="312" w:after="156" w:line="360" w:lineRule="auto"/>
        <w:jc w:val="center"/>
        <w:rPr>
          <w:rFonts w:ascii="宋体" w:hAnsi="宋体" w:cs="宋体"/>
          <w:b/>
          <w:kern w:val="0"/>
          <w:sz w:val="28"/>
          <w:szCs w:val="21"/>
        </w:rPr>
      </w:pPr>
    </w:p>
    <w:p>
      <w:pPr>
        <w:widowControl/>
        <w:shd w:val="clear" w:color="auto" w:fill="FFFFFF"/>
        <w:snapToGrid w:val="0"/>
        <w:spacing w:before="312" w:after="156" w:line="360" w:lineRule="auto"/>
        <w:jc w:val="center"/>
        <w:rPr>
          <w:rFonts w:ascii="宋体" w:hAnsi="宋体" w:cs="宋体"/>
          <w:b/>
          <w:kern w:val="0"/>
          <w:sz w:val="28"/>
          <w:szCs w:val="21"/>
        </w:rPr>
      </w:pPr>
    </w:p>
    <w:p>
      <w:pPr>
        <w:pStyle w:val="17"/>
        <w:tabs>
          <w:tab w:val="left" w:pos="5580"/>
        </w:tabs>
        <w:spacing w:line="600" w:lineRule="exact"/>
        <w:rPr>
          <w:rFonts w:hAnsi="宋体" w:cs="宋体"/>
          <w:b/>
          <w:color w:val="000000"/>
          <w:sz w:val="28"/>
          <w:szCs w:val="28"/>
        </w:rPr>
      </w:pPr>
    </w:p>
    <w:p>
      <w:pPr>
        <w:pStyle w:val="17"/>
        <w:tabs>
          <w:tab w:val="left" w:pos="5580"/>
        </w:tabs>
        <w:spacing w:line="600" w:lineRule="exact"/>
        <w:ind w:left="1080" w:leftChars="257" w:hanging="540"/>
        <w:jc w:val="center"/>
        <w:outlineLvl w:val="1"/>
        <w:rPr>
          <w:rFonts w:hAnsi="宋体" w:cs="宋体"/>
          <w:b/>
          <w:color w:val="000000"/>
          <w:sz w:val="28"/>
          <w:szCs w:val="28"/>
        </w:rPr>
      </w:pPr>
      <w:bookmarkStart w:id="186" w:name="_Toc122338105"/>
      <w:r>
        <w:rPr>
          <w:rFonts w:hint="eastAsia" w:hAnsi="宋体" w:cs="宋体"/>
          <w:b/>
          <w:color w:val="000000"/>
          <w:sz w:val="28"/>
          <w:szCs w:val="28"/>
        </w:rPr>
        <w:t>三、法定代表人授权委托书(格式）</w:t>
      </w:r>
      <w:bookmarkEnd w:id="186"/>
    </w:p>
    <w:p>
      <w:pPr>
        <w:pStyle w:val="5"/>
        <w:spacing w:line="600" w:lineRule="exact"/>
        <w:ind w:firstLine="0"/>
        <w:jc w:val="center"/>
        <w:rPr>
          <w:rFonts w:ascii="宋体" w:hAnsi="宋体" w:cs="宋体"/>
          <w:b/>
          <w:color w:val="000000"/>
          <w:sz w:val="21"/>
          <w:szCs w:val="21"/>
        </w:rPr>
      </w:pPr>
      <w:r>
        <w:rPr>
          <w:rFonts w:hint="eastAsia" w:ascii="宋体" w:hAnsi="宋体" w:cs="宋体"/>
          <w:b/>
          <w:color w:val="000000"/>
          <w:sz w:val="21"/>
          <w:szCs w:val="21"/>
        </w:rPr>
        <w:t>（自然人投标的无需提供）</w:t>
      </w:r>
    </w:p>
    <w:p>
      <w:pPr>
        <w:pStyle w:val="5"/>
        <w:spacing w:line="600" w:lineRule="exact"/>
        <w:ind w:firstLine="0"/>
        <w:jc w:val="center"/>
        <w:rPr>
          <w:rFonts w:ascii="宋体" w:hAnsi="宋体" w:cs="宋体"/>
          <w:b/>
          <w:color w:val="000000"/>
          <w:sz w:val="21"/>
          <w:szCs w:val="21"/>
        </w:rPr>
      </w:pPr>
    </w:p>
    <w:p>
      <w:pPr>
        <w:spacing w:line="600" w:lineRule="exact"/>
        <w:ind w:firstLine="420" w:firstLineChars="200"/>
        <w:rPr>
          <w:rFonts w:ascii="宋体" w:hAnsi="宋体" w:cs="宋体"/>
          <w:color w:val="000000"/>
          <w:szCs w:val="21"/>
        </w:rPr>
      </w:pPr>
      <w:r>
        <w:rPr>
          <w:rFonts w:hint="eastAsia" w:ascii="宋体" w:hAnsi="宋体" w:cs="宋体"/>
          <w:color w:val="000000"/>
          <w:szCs w:val="21"/>
        </w:rPr>
        <w:t>本授权书声明：注册于</w:t>
      </w:r>
      <w:r>
        <w:rPr>
          <w:rFonts w:hint="eastAsia" w:ascii="宋体" w:hAnsi="宋体" w:cs="宋体"/>
          <w:b/>
          <w:i/>
          <w:color w:val="000000"/>
          <w:szCs w:val="21"/>
          <w:u w:val="single"/>
        </w:rPr>
        <w:t xml:space="preserve">           （地区的名称。例：江苏盐城）</w:t>
      </w:r>
      <w:r>
        <w:rPr>
          <w:rFonts w:hint="eastAsia" w:ascii="宋体" w:hAnsi="宋体" w:cs="宋体"/>
          <w:color w:val="000000"/>
          <w:szCs w:val="21"/>
        </w:rPr>
        <w:t>的</w:t>
      </w:r>
      <w:r>
        <w:rPr>
          <w:rFonts w:hint="eastAsia" w:ascii="宋体" w:hAnsi="宋体" w:cs="宋体"/>
          <w:b/>
          <w:i/>
          <w:color w:val="000000"/>
          <w:szCs w:val="21"/>
          <w:u w:val="single"/>
        </w:rPr>
        <w:t xml:space="preserve">           （供应商）</w:t>
      </w:r>
      <w:r>
        <w:rPr>
          <w:rFonts w:hint="eastAsia" w:ascii="宋体" w:hAnsi="宋体" w:cs="宋体"/>
          <w:color w:val="000000"/>
          <w:szCs w:val="21"/>
        </w:rPr>
        <w:t>的在下面签字的</w:t>
      </w:r>
      <w:r>
        <w:rPr>
          <w:rFonts w:hint="eastAsia" w:ascii="宋体" w:hAnsi="宋体" w:cs="宋体"/>
          <w:b/>
          <w:i/>
          <w:color w:val="000000"/>
          <w:szCs w:val="21"/>
          <w:u w:val="single"/>
        </w:rPr>
        <w:t xml:space="preserve">         （法人代表姓名、职务）</w:t>
      </w:r>
      <w:r>
        <w:rPr>
          <w:rFonts w:hint="eastAsia" w:ascii="宋体" w:hAnsi="宋体" w:cs="宋体"/>
          <w:color w:val="000000"/>
          <w:szCs w:val="21"/>
        </w:rPr>
        <w:t>代表我单位授权</w:t>
      </w:r>
      <w:r>
        <w:rPr>
          <w:rFonts w:hint="eastAsia" w:ascii="宋体" w:hAnsi="宋体" w:cs="宋体"/>
          <w:b/>
          <w:i/>
          <w:color w:val="000000"/>
          <w:szCs w:val="21"/>
          <w:u w:val="single"/>
        </w:rPr>
        <w:t xml:space="preserve">                   （单位名称）</w:t>
      </w:r>
      <w:r>
        <w:rPr>
          <w:rFonts w:hint="eastAsia" w:ascii="宋体" w:hAnsi="宋体" w:cs="宋体"/>
          <w:color w:val="000000"/>
          <w:szCs w:val="21"/>
        </w:rPr>
        <w:t>的在下面签字的</w:t>
      </w:r>
      <w:r>
        <w:rPr>
          <w:rFonts w:hint="eastAsia" w:ascii="宋体" w:hAnsi="宋体" w:cs="宋体"/>
          <w:b/>
          <w:i/>
          <w:color w:val="000000"/>
          <w:szCs w:val="21"/>
          <w:u w:val="single"/>
        </w:rPr>
        <w:t xml:space="preserve">                （被授权人的姓名、职务）</w:t>
      </w:r>
      <w:r>
        <w:rPr>
          <w:rFonts w:hint="eastAsia" w:ascii="宋体" w:hAnsi="宋体" w:cs="宋体"/>
          <w:color w:val="000000"/>
          <w:szCs w:val="21"/>
        </w:rPr>
        <w:t>为我单位的合法代理人</w:t>
      </w:r>
      <w:r>
        <w:rPr>
          <w:rFonts w:hint="eastAsia" w:ascii="宋体" w:hAnsi="宋体"/>
          <w:color w:val="000000"/>
          <w:szCs w:val="21"/>
        </w:rPr>
        <w:t>（授权代表）</w:t>
      </w:r>
      <w:r>
        <w:rPr>
          <w:rFonts w:hint="eastAsia" w:ascii="宋体" w:hAnsi="宋体" w:cs="宋体"/>
          <w:color w:val="000000"/>
          <w:szCs w:val="21"/>
        </w:rPr>
        <w:t>，就</w:t>
      </w:r>
      <w:r>
        <w:rPr>
          <w:rFonts w:hint="eastAsia" w:ascii="宋体" w:hAnsi="宋体" w:cs="宋体"/>
          <w:b/>
          <w:i/>
          <w:color w:val="000000"/>
          <w:szCs w:val="21"/>
          <w:u w:val="single"/>
        </w:rPr>
        <w:t xml:space="preserve">             （项目名称）</w:t>
      </w:r>
      <w:r>
        <w:rPr>
          <w:rFonts w:hint="eastAsia" w:ascii="宋体" w:hAnsi="宋体" w:cs="宋体"/>
          <w:color w:val="000000"/>
          <w:szCs w:val="21"/>
        </w:rPr>
        <w:t>的投标（响应），以我单位名义处理一切与之有关的事务。</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本授权书于</w:t>
      </w:r>
      <w:r>
        <w:rPr>
          <w:rFonts w:hint="eastAsia" w:ascii="宋体" w:hAnsi="宋体" w:cs="宋体"/>
          <w:color w:val="000000"/>
          <w:szCs w:val="21"/>
          <w:u w:val="single"/>
        </w:rPr>
        <w:t xml:space="preserve">           年     月     </w:t>
      </w:r>
      <w:r>
        <w:rPr>
          <w:rFonts w:hint="eastAsia" w:ascii="宋体" w:hAnsi="宋体" w:cs="宋体"/>
          <w:color w:val="000000"/>
          <w:szCs w:val="21"/>
        </w:rPr>
        <w:t>日签字生效,特此声明。</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供应商（盖单位章）：</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法定代表人（签字或签章）：</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委托代理人（签字或签章）：</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日        期：</w:t>
      </w:r>
    </w:p>
    <w:p>
      <w:pPr>
        <w:spacing w:line="600" w:lineRule="exact"/>
        <w:ind w:firstLine="420" w:firstLineChars="200"/>
        <w:jc w:val="center"/>
        <w:rPr>
          <w:rFonts w:ascii="宋体" w:hAnsi="宋体" w:cs="宋体"/>
          <w:color w:val="000000"/>
          <w:szCs w:val="21"/>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0"/>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8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sz w:val="24"/>
              </w:rPr>
            </w:pPr>
            <w:r>
              <w:rPr>
                <w:rFonts w:hint="eastAsia" w:ascii="宋体" w:hAnsi="宋体"/>
                <w:b/>
                <w:color w:val="000000"/>
                <w:sz w:val="24"/>
              </w:rPr>
              <w:t>法定代表人有效身份证明</w:t>
            </w:r>
          </w:p>
        </w:tc>
        <w:tc>
          <w:tcPr>
            <w:tcW w:w="48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sz w:val="24"/>
              </w:rPr>
            </w:pPr>
            <w:r>
              <w:rPr>
                <w:rFonts w:hint="eastAsia" w:ascii="宋体" w:hAnsi="宋体"/>
                <w:b/>
                <w:color w:val="000000"/>
                <w:sz w:val="24"/>
              </w:rPr>
              <w:t>委托代理人（</w:t>
            </w:r>
            <w:r>
              <w:rPr>
                <w:rFonts w:hint="eastAsia" w:ascii="宋体" w:hAnsi="宋体" w:cs="宋体"/>
                <w:b/>
                <w:color w:val="000000"/>
                <w:sz w:val="24"/>
              </w:rPr>
              <w:t>被授权人</w:t>
            </w:r>
            <w:r>
              <w:rPr>
                <w:rFonts w:hint="eastAsia" w:ascii="宋体" w:hAnsi="宋体"/>
                <w:b/>
                <w:color w:val="000000"/>
                <w:sz w:val="24"/>
              </w:rPr>
              <w:t>）有效身份证明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jc w:val="center"/>
        </w:trPr>
        <w:tc>
          <w:tcPr>
            <w:tcW w:w="48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000000"/>
              </w:rPr>
            </w:pPr>
            <w:r>
              <w:rPr>
                <w:rFonts w:hint="eastAsia" w:ascii="宋体" w:hAnsi="宋体"/>
                <w:i/>
                <w:color w:val="000000"/>
              </w:rPr>
              <w:t>（身份证复印件粘贴处）</w:t>
            </w:r>
          </w:p>
          <w:p>
            <w:pPr>
              <w:jc w:val="center"/>
              <w:rPr>
                <w:rFonts w:ascii="宋体" w:hAnsi="宋体"/>
                <w:i/>
                <w:color w:val="000000"/>
              </w:rPr>
            </w:pPr>
          </w:p>
          <w:p>
            <w:pPr>
              <w:jc w:val="center"/>
              <w:rPr>
                <w:rFonts w:ascii="宋体" w:hAnsi="宋体"/>
                <w:i/>
                <w:color w:val="000000"/>
              </w:rPr>
            </w:pPr>
            <w:r>
              <w:rPr>
                <w:rFonts w:hint="eastAsia" w:ascii="宋体" w:hAnsi="宋体"/>
                <w:i/>
                <w:color w:val="000000"/>
              </w:rPr>
              <w:t>（可电子粘贴）</w:t>
            </w:r>
          </w:p>
          <w:p>
            <w:pPr>
              <w:jc w:val="center"/>
              <w:rPr>
                <w:rFonts w:ascii="宋体" w:hAnsi="宋体"/>
                <w:i/>
                <w:color w:val="000000"/>
              </w:rPr>
            </w:pPr>
          </w:p>
          <w:p>
            <w:pPr>
              <w:jc w:val="center"/>
              <w:rPr>
                <w:rFonts w:ascii="宋体" w:hAnsi="宋体"/>
                <w:i/>
                <w:color w:val="000000"/>
              </w:rPr>
            </w:pPr>
            <w:r>
              <w:rPr>
                <w:rFonts w:hint="eastAsia" w:ascii="宋体" w:hAnsi="宋体"/>
                <w:i/>
                <w:color w:val="000000"/>
              </w:rPr>
              <w:t>（证明材料可另页，不限于本框内）</w:t>
            </w:r>
          </w:p>
        </w:tc>
        <w:tc>
          <w:tcPr>
            <w:tcW w:w="48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000000"/>
              </w:rPr>
            </w:pPr>
            <w:r>
              <w:rPr>
                <w:rFonts w:hint="eastAsia" w:ascii="宋体" w:hAnsi="宋体"/>
                <w:i/>
                <w:color w:val="000000"/>
              </w:rPr>
              <w:t>（身份证复印件粘贴处）</w:t>
            </w:r>
          </w:p>
          <w:p>
            <w:pPr>
              <w:jc w:val="center"/>
              <w:rPr>
                <w:rFonts w:ascii="宋体" w:hAnsi="宋体"/>
                <w:i/>
                <w:color w:val="000000"/>
              </w:rPr>
            </w:pPr>
          </w:p>
          <w:p>
            <w:pPr>
              <w:jc w:val="center"/>
              <w:rPr>
                <w:rFonts w:ascii="宋体" w:hAnsi="宋体"/>
                <w:i/>
                <w:color w:val="000000"/>
              </w:rPr>
            </w:pPr>
            <w:r>
              <w:rPr>
                <w:rFonts w:hint="eastAsia" w:ascii="宋体" w:hAnsi="宋体"/>
                <w:i/>
                <w:color w:val="000000"/>
              </w:rPr>
              <w:t>（可电子粘贴）</w:t>
            </w:r>
          </w:p>
          <w:p>
            <w:pPr>
              <w:jc w:val="center"/>
              <w:rPr>
                <w:rFonts w:ascii="宋体" w:hAnsi="宋体"/>
                <w:i/>
                <w:color w:val="000000"/>
              </w:rPr>
            </w:pPr>
          </w:p>
          <w:p>
            <w:pPr>
              <w:jc w:val="center"/>
              <w:rPr>
                <w:rFonts w:ascii="宋体" w:hAnsi="宋体"/>
                <w:i/>
                <w:color w:val="000000"/>
              </w:rPr>
            </w:pPr>
            <w:r>
              <w:rPr>
                <w:rFonts w:hint="eastAsia" w:ascii="宋体" w:hAnsi="宋体"/>
                <w:i/>
                <w:color w:val="000000"/>
              </w:rPr>
              <w:t>（证明材料可另页，不限于本框内）</w:t>
            </w:r>
          </w:p>
        </w:tc>
      </w:tr>
    </w:tbl>
    <w:p>
      <w:pPr>
        <w:pStyle w:val="5"/>
        <w:spacing w:line="600" w:lineRule="exact"/>
        <w:ind w:firstLine="0"/>
        <w:jc w:val="center"/>
        <w:rPr>
          <w:rFonts w:ascii="宋体" w:hAnsi="宋体" w:cs="宋体"/>
          <w:b/>
          <w:i/>
          <w:color w:val="000000"/>
          <w:sz w:val="21"/>
          <w:szCs w:val="21"/>
          <w:u w:val="single"/>
        </w:rPr>
      </w:pPr>
      <w:r>
        <w:rPr>
          <w:rFonts w:hint="eastAsia" w:ascii="宋体" w:hAnsi="宋体" w:cs="宋体"/>
          <w:b/>
          <w:color w:val="000000"/>
          <w:sz w:val="21"/>
          <w:szCs w:val="21"/>
          <w:u w:val="single"/>
        </w:rPr>
        <w:t>（备注：如供应商组成联合体参加投标，则联合体各方均须加盖公章）</w:t>
      </w:r>
    </w:p>
    <w:p>
      <w:pPr>
        <w:pStyle w:val="9"/>
        <w:spacing w:line="240" w:lineRule="exact"/>
        <w:rPr>
          <w:color w:val="000000"/>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outlineLvl w:val="1"/>
        <w:rPr>
          <w:rFonts w:ascii="宋体" w:hAnsi="宋体" w:cs="宋体"/>
          <w:b/>
          <w:color w:val="000000"/>
          <w:sz w:val="28"/>
          <w:szCs w:val="28"/>
        </w:rPr>
      </w:pPr>
      <w:bookmarkStart w:id="187" w:name="_Toc122338106"/>
      <w:r>
        <w:rPr>
          <w:rFonts w:hint="eastAsia" w:ascii="宋体" w:hAnsi="宋体" w:cs="宋体"/>
          <w:b/>
          <w:color w:val="000000"/>
          <w:sz w:val="28"/>
          <w:szCs w:val="28"/>
        </w:rPr>
        <w:t>四、投标（响应）书（格式）</w:t>
      </w:r>
      <w:bookmarkEnd w:id="187"/>
    </w:p>
    <w:p>
      <w:pPr>
        <w:pStyle w:val="9"/>
        <w:spacing w:line="240" w:lineRule="exact"/>
        <w:rPr>
          <w:rFonts w:ascii="宋体" w:hAnsi="宋体" w:cs="宋体"/>
          <w:b/>
          <w:color w:val="000000"/>
          <w:szCs w:val="28"/>
        </w:rPr>
      </w:pPr>
    </w:p>
    <w:p>
      <w:pPr>
        <w:spacing w:line="360" w:lineRule="auto"/>
        <w:rPr>
          <w:rFonts w:ascii="宋体" w:hAnsi="宋体" w:cs="宋体"/>
          <w:b/>
          <w:color w:val="000000"/>
          <w:szCs w:val="21"/>
          <w:u w:val="single"/>
        </w:rPr>
      </w:pPr>
      <w:r>
        <w:rPr>
          <w:rFonts w:hint="eastAsia" w:ascii="宋体" w:hAnsi="宋体" w:cs="宋体"/>
          <w:b/>
          <w:color w:val="000000"/>
          <w:szCs w:val="21"/>
          <w:u w:val="single"/>
        </w:rPr>
        <w:t xml:space="preserve">致：    </w:t>
      </w:r>
      <w:r>
        <w:rPr>
          <w:rFonts w:hint="eastAsia" w:ascii="宋体" w:hAnsi="宋体" w:cs="宋体"/>
          <w:b/>
          <w:i/>
          <w:color w:val="000000"/>
          <w:szCs w:val="21"/>
          <w:u w:val="single"/>
        </w:rPr>
        <w:t>(</w:t>
      </w:r>
      <w:r>
        <w:rPr>
          <w:rFonts w:hint="eastAsia" w:ascii="宋体" w:hAnsi="宋体" w:cs="仿宋"/>
          <w:b/>
          <w:i/>
          <w:color w:val="000000"/>
          <w:kern w:val="0"/>
          <w:szCs w:val="21"/>
          <w:u w:val="single"/>
        </w:rPr>
        <w:t>采购人或携手阳光公司的名称</w:t>
      </w:r>
      <w:r>
        <w:rPr>
          <w:rFonts w:hint="eastAsia" w:ascii="宋体" w:hAnsi="宋体" w:cs="宋体"/>
          <w:b/>
          <w:i/>
          <w:color w:val="000000"/>
          <w:szCs w:val="21"/>
          <w:u w:val="single"/>
        </w:rPr>
        <w:t>)</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根据贵方</w:t>
      </w:r>
      <w:r>
        <w:rPr>
          <w:rFonts w:hint="eastAsia" w:hAnsi="宋体" w:cs="宋体"/>
          <w:b/>
          <w:i/>
          <w:color w:val="000000"/>
          <w:sz w:val="21"/>
          <w:szCs w:val="21"/>
          <w:u w:val="single"/>
        </w:rPr>
        <w:t xml:space="preserve"> (项目名称)</w:t>
      </w:r>
      <w:r>
        <w:rPr>
          <w:rFonts w:hint="eastAsia" w:hAnsi="宋体" w:cs="宋体"/>
          <w:color w:val="000000"/>
          <w:sz w:val="21"/>
          <w:szCs w:val="21"/>
        </w:rPr>
        <w:t>项目的投标邀请</w:t>
      </w:r>
      <w:r>
        <w:rPr>
          <w:rFonts w:hint="eastAsia" w:hAnsi="宋体" w:cs="宋体"/>
          <w:b/>
          <w:i/>
          <w:color w:val="000000"/>
          <w:sz w:val="21"/>
          <w:szCs w:val="21"/>
          <w:u w:val="single"/>
        </w:rPr>
        <w:t>(采购编号)</w:t>
      </w:r>
      <w:r>
        <w:rPr>
          <w:rFonts w:hint="eastAsia" w:hAnsi="宋体" w:cs="宋体"/>
          <w:color w:val="000000"/>
          <w:sz w:val="21"/>
          <w:szCs w:val="21"/>
        </w:rPr>
        <w:t>,签字代表</w:t>
      </w:r>
      <w:r>
        <w:rPr>
          <w:rFonts w:hint="eastAsia" w:hAnsi="宋体" w:cs="宋体"/>
          <w:b/>
          <w:i/>
          <w:color w:val="000000"/>
          <w:sz w:val="21"/>
          <w:szCs w:val="21"/>
          <w:u w:val="single"/>
        </w:rPr>
        <w:t>(姓名、职务)</w:t>
      </w:r>
      <w:r>
        <w:rPr>
          <w:rFonts w:hint="eastAsia" w:hAnsi="宋体" w:cs="宋体"/>
          <w:color w:val="000000"/>
          <w:sz w:val="21"/>
          <w:szCs w:val="21"/>
        </w:rPr>
        <w:t>经正式授权并代表供应商</w:t>
      </w:r>
      <w:r>
        <w:rPr>
          <w:rFonts w:hint="eastAsia" w:hAnsi="宋体" w:cs="宋体"/>
          <w:b/>
          <w:i/>
          <w:color w:val="000000"/>
          <w:sz w:val="21"/>
          <w:szCs w:val="21"/>
          <w:u w:val="single"/>
        </w:rPr>
        <w:t>（供应商名称）</w:t>
      </w:r>
      <w:r>
        <w:rPr>
          <w:rFonts w:hint="eastAsia" w:hAnsi="宋体" w:cs="宋体"/>
          <w:color w:val="000000"/>
          <w:sz w:val="21"/>
          <w:szCs w:val="21"/>
        </w:rPr>
        <w:t>提交下述文件正本</w:t>
      </w:r>
      <w:r>
        <w:rPr>
          <w:rFonts w:hint="eastAsia" w:hAnsi="宋体" w:cs="宋体"/>
          <w:b/>
          <w:color w:val="000000"/>
          <w:sz w:val="21"/>
          <w:szCs w:val="21"/>
          <w:u w:val="single"/>
        </w:rPr>
        <w:t>1</w:t>
      </w:r>
      <w:r>
        <w:rPr>
          <w:rFonts w:hint="eastAsia" w:hAnsi="宋体" w:cs="宋体"/>
          <w:color w:val="000000"/>
          <w:sz w:val="21"/>
          <w:szCs w:val="21"/>
        </w:rPr>
        <w:t>份、副本</w:t>
      </w:r>
      <w:r>
        <w:rPr>
          <w:rFonts w:hint="eastAsia" w:hAnsi="宋体" w:cs="宋体"/>
          <w:b/>
          <w:color w:val="000000"/>
          <w:sz w:val="21"/>
          <w:szCs w:val="21"/>
        </w:rPr>
        <w:t>份</w:t>
      </w:r>
      <w:r>
        <w:rPr>
          <w:rFonts w:hint="eastAsia" w:hAnsi="宋体" w:cs="宋体"/>
          <w:color w:val="000000"/>
          <w:sz w:val="21"/>
          <w:szCs w:val="21"/>
        </w:rPr>
        <w:t>。</w:t>
      </w:r>
    </w:p>
    <w:p>
      <w:pPr>
        <w:pStyle w:val="17"/>
        <w:tabs>
          <w:tab w:val="left" w:pos="5580"/>
        </w:tabs>
        <w:spacing w:line="360" w:lineRule="auto"/>
        <w:ind w:firstLine="422" w:firstLineChars="200"/>
        <w:rPr>
          <w:rFonts w:hAnsi="宋体" w:cs="宋体"/>
          <w:b/>
          <w:color w:val="000000"/>
          <w:sz w:val="21"/>
          <w:szCs w:val="21"/>
        </w:rPr>
      </w:pPr>
      <w:r>
        <w:rPr>
          <w:rFonts w:hint="eastAsia" w:hAnsi="宋体" w:cs="宋体"/>
          <w:b/>
          <w:color w:val="000000"/>
          <w:sz w:val="21"/>
          <w:szCs w:val="21"/>
        </w:rPr>
        <w:t>据此，签字代表宣布同意如下：</w:t>
      </w:r>
    </w:p>
    <w:p>
      <w:pPr>
        <w:pStyle w:val="17"/>
        <w:tabs>
          <w:tab w:val="left" w:pos="5580"/>
        </w:tabs>
        <w:spacing w:line="360" w:lineRule="auto"/>
        <w:ind w:firstLine="420" w:firstLineChars="200"/>
        <w:rPr>
          <w:rFonts w:hAnsi="宋体" w:cs="宋体"/>
          <w:color w:val="000000"/>
          <w:spacing w:val="15"/>
          <w:sz w:val="21"/>
          <w:szCs w:val="21"/>
          <w:u w:val="single"/>
        </w:rPr>
      </w:pPr>
      <w:r>
        <w:rPr>
          <w:rFonts w:hint="eastAsia" w:hAnsi="宋体" w:cs="宋体"/>
          <w:color w:val="000000"/>
          <w:sz w:val="21"/>
          <w:szCs w:val="21"/>
        </w:rPr>
        <w:t>（1）</w:t>
      </w:r>
      <w:r>
        <w:rPr>
          <w:rFonts w:hint="eastAsia" w:hAnsi="宋体"/>
          <w:color w:val="000000"/>
          <w:sz w:val="21"/>
          <w:szCs w:val="21"/>
        </w:rPr>
        <w:t>附投标价格表中规定的应提供产品（货物、服务、工程）</w:t>
      </w:r>
      <w:r>
        <w:rPr>
          <w:rFonts w:hAnsi="宋体"/>
          <w:color w:val="000000"/>
          <w:sz w:val="21"/>
          <w:szCs w:val="21"/>
        </w:rPr>
        <w:t>的</w:t>
      </w:r>
      <w:r>
        <w:rPr>
          <w:rFonts w:hint="eastAsia" w:hAnsi="宋体"/>
          <w:color w:val="000000"/>
          <w:sz w:val="21"/>
          <w:szCs w:val="21"/>
        </w:rPr>
        <w:t>投标总价详见报价一览表。</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（2）本投标有效期为自</w:t>
      </w:r>
      <w:r>
        <w:rPr>
          <w:rFonts w:hint="eastAsia" w:hAnsi="宋体"/>
          <w:color w:val="000000"/>
          <w:sz w:val="21"/>
          <w:szCs w:val="21"/>
        </w:rPr>
        <w:t>提交响应文件截止之日</w:t>
      </w:r>
      <w:r>
        <w:rPr>
          <w:rFonts w:hint="eastAsia" w:hAnsi="宋体" w:cs="宋体"/>
          <w:color w:val="000000"/>
          <w:sz w:val="21"/>
          <w:szCs w:val="21"/>
        </w:rPr>
        <w:t>起</w:t>
      </w:r>
      <w:r>
        <w:rPr>
          <w:rFonts w:hint="eastAsia" w:hAnsi="宋体" w:cs="宋体"/>
          <w:color w:val="000000"/>
          <w:sz w:val="21"/>
          <w:szCs w:val="21"/>
          <w:u w:val="single"/>
        </w:rPr>
        <w:t>60</w:t>
      </w:r>
      <w:r>
        <w:rPr>
          <w:rFonts w:hint="eastAsia" w:hAnsi="宋体" w:cs="宋体"/>
          <w:color w:val="000000"/>
          <w:sz w:val="21"/>
          <w:szCs w:val="21"/>
        </w:rPr>
        <w:t>个日历日。</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（3）已详细审查全部采购文件，包括所有补充通知（如果有的话），完全理解并同意放弃对这方面有不明、误解和质疑的权力。</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（4）在规定的开标时间后，遵守采购文件中有关保证金的规定。</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（5）我方不是为本项目提供整体设计、规范编制或者项目管理、监理、检测等服务的供应商，我方不是采购代理机构的附属机构。</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（6）在领取成交通知书的同时按采购文件规定的形式，向盐城市携手阳光集中采购代理有限公司一次性支付</w:t>
      </w:r>
      <w:r>
        <w:rPr>
          <w:rFonts w:hint="eastAsia" w:hAnsi="宋体"/>
          <w:color w:val="000000"/>
          <w:sz w:val="21"/>
          <w:szCs w:val="21"/>
        </w:rPr>
        <w:t>代理</w:t>
      </w:r>
      <w:r>
        <w:rPr>
          <w:rFonts w:hint="eastAsia" w:hAnsi="宋体" w:cs="宋体"/>
          <w:color w:val="000000"/>
          <w:sz w:val="21"/>
          <w:szCs w:val="21"/>
        </w:rPr>
        <w:t>服务费。</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（7）按照贵方可能要求，提供与其投标有关的一切数据或资料，完全理解贵方不一定接受最低价的投标或收到的任何投标。</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（8）按照采购文件的规定履行合同责任和义务。</w:t>
      </w:r>
    </w:p>
    <w:p>
      <w:pPr>
        <w:pStyle w:val="17"/>
        <w:tabs>
          <w:tab w:val="left" w:pos="5580"/>
        </w:tabs>
        <w:spacing w:line="360" w:lineRule="auto"/>
        <w:ind w:firstLine="422" w:firstLineChars="200"/>
        <w:rPr>
          <w:rFonts w:hAnsi="宋体" w:cs="宋体"/>
          <w:b/>
          <w:color w:val="000000"/>
          <w:sz w:val="21"/>
          <w:szCs w:val="21"/>
          <w:u w:val="single"/>
        </w:rPr>
      </w:pPr>
      <w:r>
        <w:rPr>
          <w:rFonts w:hint="eastAsia" w:hAnsi="宋体" w:cs="宋体"/>
          <w:b/>
          <w:color w:val="000000"/>
          <w:sz w:val="21"/>
          <w:szCs w:val="21"/>
          <w:u w:val="single"/>
        </w:rPr>
        <w:t>（9）评审期间，如采购人或携手阳光相关工作人员无法与我方委托代理人联系（联系电话：</w:t>
      </w:r>
      <w:r>
        <w:rPr>
          <w:rFonts w:hint="eastAsia" w:hAnsi="宋体" w:cs="宋体"/>
          <w:b/>
          <w:i/>
          <w:color w:val="000000"/>
          <w:sz w:val="21"/>
          <w:szCs w:val="21"/>
          <w:u w:val="single"/>
        </w:rPr>
        <w:t>手机号</w:t>
      </w:r>
      <w:r>
        <w:rPr>
          <w:rFonts w:hint="eastAsia" w:hAnsi="宋体" w:cs="宋体"/>
          <w:b/>
          <w:color w:val="000000"/>
          <w:sz w:val="21"/>
          <w:szCs w:val="21"/>
          <w:u w:val="single"/>
        </w:rPr>
        <w:t>）或我方法定代表人或其委托代理人接到通知后15分钟内未及时向评审人员进行澄清（含提供相关证明材料等）等情形的，评审人员有权视为我方放弃澄清等相关所有权益（以贵方或评审人员理解为准）。</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与本投标有关的一切正式往来信函请寄：</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地址：</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供应商（须盖单位章）：</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法定代表人或其委托代理人(须签字或盖章)：</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电子函件或传真：</w:t>
      </w:r>
    </w:p>
    <w:p>
      <w:pPr>
        <w:pStyle w:val="17"/>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日期：</w:t>
      </w:r>
    </w:p>
    <w:p>
      <w:pPr>
        <w:spacing w:line="480" w:lineRule="auto"/>
        <w:rPr>
          <w:rFonts w:ascii="宋体" w:hAnsi="宋体" w:cs="宋体"/>
          <w:b/>
          <w:color w:val="000000"/>
          <w:sz w:val="28"/>
          <w:szCs w:val="28"/>
          <w:u w:val="single"/>
        </w:rPr>
      </w:pPr>
    </w:p>
    <w:p>
      <w:pPr>
        <w:spacing w:line="540" w:lineRule="atLeast"/>
        <w:jc w:val="center"/>
        <w:rPr>
          <w:rFonts w:ascii="宋体" w:hAnsi="宋体"/>
          <w:b/>
          <w:color w:val="000000"/>
          <w:sz w:val="28"/>
          <w:szCs w:val="28"/>
        </w:rPr>
      </w:pPr>
    </w:p>
    <w:p>
      <w:pPr>
        <w:spacing w:line="540" w:lineRule="atLeast"/>
        <w:jc w:val="center"/>
        <w:outlineLvl w:val="1"/>
        <w:rPr>
          <w:rFonts w:ascii="宋体" w:hAnsi="宋体" w:cs="宋体"/>
          <w:b/>
          <w:color w:val="000000"/>
          <w:sz w:val="28"/>
          <w:szCs w:val="28"/>
        </w:rPr>
      </w:pPr>
      <w:bookmarkStart w:id="188" w:name="_Toc122338107"/>
      <w:r>
        <w:rPr>
          <w:rFonts w:hint="eastAsia" w:ascii="宋体" w:hAnsi="宋体"/>
          <w:b/>
          <w:color w:val="000000"/>
          <w:sz w:val="28"/>
          <w:szCs w:val="28"/>
        </w:rPr>
        <w:t>五、盐城市政府采购事前信用承诺书（格式）</w:t>
      </w:r>
      <w:bookmarkEnd w:id="188"/>
    </w:p>
    <w:p>
      <w:pPr>
        <w:ind w:firstLine="420" w:firstLineChars="200"/>
        <w:jc w:val="left"/>
        <w:rPr>
          <w:rFonts w:ascii="宋体" w:hAnsi="宋体"/>
          <w:color w:val="000000"/>
          <w:szCs w:val="21"/>
        </w:rPr>
      </w:pPr>
    </w:p>
    <w:p>
      <w:pPr>
        <w:spacing w:line="540" w:lineRule="atLeast"/>
        <w:ind w:firstLine="420" w:firstLineChars="200"/>
        <w:jc w:val="left"/>
        <w:rPr>
          <w:rFonts w:ascii="宋体" w:hAnsi="宋体" w:cs="宋体"/>
          <w:b/>
          <w:color w:val="000000"/>
          <w:sz w:val="28"/>
          <w:szCs w:val="28"/>
        </w:rPr>
      </w:pPr>
      <w:r>
        <w:rPr>
          <w:rFonts w:hint="eastAsia" w:ascii="宋体" w:hAnsi="宋体"/>
          <w:color w:val="000000"/>
          <w:szCs w:val="21"/>
        </w:rPr>
        <w:t>为营造我市公开、公平、公正、诚实守信的政府采购交易环境，树立诚信守法的投标人形象，本人代表本单位作出以下承诺：</w:t>
      </w:r>
    </w:p>
    <w:p>
      <w:pPr>
        <w:widowControl/>
        <w:spacing w:line="540" w:lineRule="atLeast"/>
        <w:jc w:val="left"/>
        <w:rPr>
          <w:rFonts w:ascii="宋体" w:hAnsi="宋体"/>
          <w:color w:val="000000"/>
          <w:szCs w:val="21"/>
        </w:rPr>
      </w:pPr>
      <w:r>
        <w:rPr>
          <w:rFonts w:hint="eastAsia" w:ascii="宋体" w:hAnsi="宋体"/>
          <w:color w:val="000000"/>
          <w:szCs w:val="21"/>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pPr>
        <w:widowControl/>
        <w:spacing w:line="540" w:lineRule="atLeast"/>
        <w:ind w:firstLine="420" w:firstLineChars="200"/>
        <w:jc w:val="left"/>
        <w:rPr>
          <w:rFonts w:ascii="宋体" w:hAnsi="宋体"/>
          <w:color w:val="000000"/>
          <w:szCs w:val="21"/>
        </w:rPr>
      </w:pPr>
      <w:r>
        <w:rPr>
          <w:rFonts w:hint="eastAsia" w:ascii="宋体" w:hAnsi="宋体"/>
          <w:color w:val="000000"/>
          <w:szCs w:val="21"/>
        </w:rPr>
        <w:t>（二）本单位无涉及政府采购活动的违法、违规不良记录，我公司及相关负责人无因存在重大隐患整改不力、发生有重大社会影响生产安全事故或其他严重违法违规行为而被列入失信联合惩戒的不良记录；</w:t>
      </w:r>
    </w:p>
    <w:p>
      <w:pPr>
        <w:widowControl/>
        <w:spacing w:line="540" w:lineRule="atLeast"/>
        <w:jc w:val="left"/>
        <w:rPr>
          <w:rFonts w:ascii="宋体" w:hAnsi="宋体"/>
          <w:color w:val="000000"/>
          <w:szCs w:val="21"/>
        </w:rPr>
      </w:pPr>
      <w:r>
        <w:rPr>
          <w:rFonts w:hint="eastAsia" w:ascii="宋体" w:hAnsi="宋体"/>
          <w:color w:val="000000"/>
          <w:szCs w:val="21"/>
        </w:rPr>
        <w:t xml:space="preserve">   （三）严格依照国家和省、市关于政府采购的法律、法规、规章、规范性文件，参加政府采购投标活动；积极履行社会责任，促进廉政建设； </w:t>
      </w:r>
    </w:p>
    <w:p>
      <w:pPr>
        <w:widowControl/>
        <w:spacing w:line="540" w:lineRule="atLeast"/>
        <w:jc w:val="left"/>
        <w:rPr>
          <w:rFonts w:ascii="宋体" w:hAnsi="宋体"/>
          <w:color w:val="000000"/>
          <w:szCs w:val="21"/>
        </w:rPr>
      </w:pPr>
      <w:r>
        <w:rPr>
          <w:rFonts w:hint="eastAsia" w:ascii="宋体" w:hAnsi="宋体"/>
          <w:color w:val="000000"/>
          <w:szCs w:val="21"/>
        </w:rPr>
        <w:t>   （四）严格遵守即时信息公示规定，及时维护和更新盐城市政府采购网中与本单位相关的信息；</w:t>
      </w:r>
    </w:p>
    <w:p>
      <w:pPr>
        <w:widowControl/>
        <w:spacing w:line="540" w:lineRule="atLeast"/>
        <w:jc w:val="left"/>
        <w:rPr>
          <w:rFonts w:ascii="宋体" w:hAnsi="宋体"/>
          <w:color w:val="000000"/>
          <w:szCs w:val="21"/>
        </w:rPr>
      </w:pPr>
      <w:r>
        <w:rPr>
          <w:rFonts w:hint="eastAsia" w:ascii="宋体" w:hAnsi="宋体"/>
          <w:color w:val="000000"/>
          <w:szCs w:val="21"/>
        </w:rPr>
        <w:t>   （五）自我约束、自我管理，守合同、重信用，自觉维护政府采购交易的良好秩序，与参与本次政府采购活动的其他供应商不存在直接控股或管理关系，不参与围标串标、弄虚作假、骗取中标（成交）、干扰评审、违约毁约等行为；</w:t>
      </w:r>
    </w:p>
    <w:p>
      <w:pPr>
        <w:widowControl/>
        <w:spacing w:line="540" w:lineRule="atLeast"/>
        <w:jc w:val="left"/>
        <w:rPr>
          <w:rFonts w:ascii="宋体" w:hAnsi="宋体"/>
          <w:color w:val="000000"/>
          <w:szCs w:val="21"/>
        </w:rPr>
      </w:pPr>
      <w:r>
        <w:rPr>
          <w:rFonts w:hint="eastAsia" w:ascii="宋体" w:hAnsi="宋体"/>
          <w:color w:val="000000"/>
          <w:szCs w:val="21"/>
        </w:rPr>
        <w:t>   （六）自觉接受政府、行业组织、社会公众、新闻舆论的监督；</w:t>
      </w:r>
    </w:p>
    <w:p>
      <w:pPr>
        <w:widowControl/>
        <w:spacing w:line="540" w:lineRule="atLeast"/>
        <w:ind w:firstLine="420" w:firstLineChars="200"/>
        <w:jc w:val="left"/>
        <w:rPr>
          <w:rFonts w:ascii="宋体" w:hAnsi="宋体"/>
          <w:color w:val="000000"/>
          <w:szCs w:val="21"/>
        </w:rPr>
      </w:pPr>
      <w:r>
        <w:rPr>
          <w:rFonts w:hint="eastAsia" w:ascii="宋体" w:hAnsi="宋体"/>
          <w:color w:val="000000"/>
          <w:szCs w:val="21"/>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widowControl/>
        <w:spacing w:line="540" w:lineRule="atLeast"/>
        <w:jc w:val="left"/>
        <w:rPr>
          <w:rFonts w:ascii="宋体" w:hAnsi="宋体"/>
          <w:color w:val="000000"/>
          <w:szCs w:val="21"/>
        </w:rPr>
      </w:pPr>
      <w:r>
        <w:rPr>
          <w:rFonts w:hint="eastAsia" w:ascii="宋体" w:hAnsi="宋体"/>
          <w:color w:val="000000"/>
          <w:szCs w:val="21"/>
        </w:rPr>
        <w:t>   （八）本人已认真阅读了上述承诺，并向本单位员工作了宣传教育。</w:t>
      </w:r>
    </w:p>
    <w:p>
      <w:pPr>
        <w:pStyle w:val="17"/>
        <w:tabs>
          <w:tab w:val="left" w:pos="5580"/>
        </w:tabs>
        <w:spacing w:line="360" w:lineRule="auto"/>
        <w:ind w:firstLine="400" w:firstLineChars="200"/>
        <w:rPr>
          <w:rFonts w:hAnsi="宋体" w:cs="宋体"/>
          <w:color w:val="000000"/>
        </w:rPr>
      </w:pPr>
    </w:p>
    <w:p>
      <w:pPr>
        <w:pStyle w:val="17"/>
        <w:tabs>
          <w:tab w:val="left" w:pos="5580"/>
        </w:tabs>
        <w:spacing w:line="360" w:lineRule="auto"/>
        <w:ind w:firstLine="400" w:firstLineChars="200"/>
        <w:rPr>
          <w:rFonts w:hAnsi="宋体" w:cs="宋体"/>
          <w:color w:val="000000"/>
        </w:rPr>
      </w:pPr>
    </w:p>
    <w:p>
      <w:pPr>
        <w:pStyle w:val="17"/>
        <w:tabs>
          <w:tab w:val="left" w:pos="5580"/>
        </w:tabs>
        <w:spacing w:line="360" w:lineRule="auto"/>
        <w:ind w:firstLine="5250" w:firstLineChars="2500"/>
        <w:rPr>
          <w:rFonts w:hAnsi="宋体" w:cs="宋体"/>
          <w:color w:val="000000"/>
          <w:sz w:val="21"/>
          <w:szCs w:val="21"/>
        </w:rPr>
      </w:pPr>
      <w:r>
        <w:rPr>
          <w:rFonts w:hint="eastAsia" w:hAnsi="宋体" w:cs="宋体"/>
          <w:color w:val="000000"/>
          <w:sz w:val="21"/>
          <w:szCs w:val="21"/>
        </w:rPr>
        <w:t>供应商（须盖单位章）：</w:t>
      </w:r>
    </w:p>
    <w:p>
      <w:pPr>
        <w:pStyle w:val="17"/>
        <w:tabs>
          <w:tab w:val="left" w:pos="5580"/>
        </w:tabs>
        <w:spacing w:line="360" w:lineRule="auto"/>
        <w:ind w:firstLine="5250" w:firstLineChars="2500"/>
        <w:rPr>
          <w:rFonts w:hAnsi="宋体" w:cs="宋体"/>
          <w:color w:val="000000"/>
          <w:sz w:val="21"/>
          <w:szCs w:val="21"/>
        </w:rPr>
      </w:pPr>
      <w:r>
        <w:rPr>
          <w:rFonts w:hint="eastAsia" w:hAnsi="宋体" w:cs="宋体"/>
          <w:color w:val="000000"/>
          <w:sz w:val="21"/>
          <w:szCs w:val="21"/>
        </w:rPr>
        <w:t>法定代表人 (须签字或盖章)：</w:t>
      </w:r>
    </w:p>
    <w:p>
      <w:pPr>
        <w:pStyle w:val="17"/>
        <w:tabs>
          <w:tab w:val="left" w:pos="5580"/>
        </w:tabs>
        <w:spacing w:line="360" w:lineRule="auto"/>
        <w:ind w:firstLine="5250" w:firstLineChars="2500"/>
        <w:rPr>
          <w:rFonts w:hAnsi="宋体" w:cs="宋体"/>
          <w:color w:val="000000"/>
          <w:sz w:val="21"/>
          <w:szCs w:val="21"/>
        </w:rPr>
      </w:pPr>
      <w:r>
        <w:rPr>
          <w:rFonts w:hint="eastAsia" w:hAnsi="宋体" w:cs="宋体"/>
          <w:color w:val="000000"/>
          <w:sz w:val="21"/>
          <w:szCs w:val="21"/>
        </w:rPr>
        <w:t>日期：   年  月  日</w:t>
      </w:r>
    </w:p>
    <w:p>
      <w:pPr>
        <w:spacing w:line="540" w:lineRule="atLeast"/>
        <w:jc w:val="both"/>
        <w:rPr>
          <w:rFonts w:ascii="宋体" w:hAnsi="宋体"/>
          <w:b/>
          <w:color w:val="000000"/>
          <w:sz w:val="28"/>
          <w:szCs w:val="28"/>
        </w:rPr>
      </w:pPr>
    </w:p>
    <w:p>
      <w:pPr>
        <w:pStyle w:val="2"/>
      </w:pPr>
    </w:p>
    <w:tbl>
      <w:tblPr>
        <w:tblStyle w:val="29"/>
        <w:tblpPr w:leftFromText="180" w:rightFromText="180" w:vertAnchor="text" w:horzAnchor="margin" w:tblpY="9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711"/>
        <w:gridCol w:w="453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3369" w:type="dxa"/>
            <w:gridSpan w:val="2"/>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项目编号</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3369" w:type="dxa"/>
            <w:gridSpan w:val="2"/>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项目名称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名称（品目）</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投标人响应（承诺）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产品质量标准</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合格（符合国家强制标准），全新原厂原件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免费质量保证期</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left"/>
              <w:rPr>
                <w:rFonts w:ascii="宋体" w:hAnsi="宋体" w:cs="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提供       年免费原厂质保（均须为原厂原件</w:t>
            </w:r>
            <w:r>
              <w:rPr>
                <w:rFonts w:hint="eastAsia" w:ascii="宋体" w:hAnsi="宋体" w:cs="宋体"/>
                <w:color w:val="000000" w:themeColor="text1"/>
                <w:szCs w:val="21"/>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交付或者实施的时间</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天（日历天）内供货（送达）、安装调试完毕并达到采购人的验收标准。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交付或者实施的地点</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江苏盐城（具体地点服从采购人的另行通知）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是否接受招标文件的</w:t>
            </w:r>
          </w:p>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采购资金的支付方式、时间、条件（付款条件）</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spacing w:line="456" w:lineRule="auto"/>
              <w:jc w:val="center"/>
              <w:rPr>
                <w:rFonts w:ascii="宋体" w:hAnsi="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w:t>
            </w:r>
            <w:r>
              <w:rPr>
                <w:rFonts w:hint="eastAsia" w:ascii="宋体" w:hAnsi="宋体"/>
                <w:i/>
                <w:color w:val="000000" w:themeColor="text1"/>
                <w:szCs w:val="21"/>
                <w:u w:val="single"/>
                <w14:textFill>
                  <w14:solidFill>
                    <w14:schemeClr w14:val="tx1"/>
                  </w14:solidFill>
                </w14:textFill>
              </w:rPr>
              <w:t>接受”或“不接受”</w:t>
            </w:r>
            <w:r>
              <w:rPr>
                <w:rFonts w:hint="eastAsia" w:ascii="宋体" w:hAnsi="宋体" w:cs="宋体"/>
                <w:i/>
                <w:color w:val="000000" w:themeColor="text1"/>
                <w:szCs w:val="21"/>
                <w:u w:val="singl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是否接受招标文件的</w:t>
            </w:r>
          </w:p>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包装和运输要求</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spacing w:line="456" w:lineRule="auto"/>
              <w:jc w:val="center"/>
              <w:rPr>
                <w:rFonts w:ascii="宋体" w:hAnsi="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w:t>
            </w:r>
            <w:r>
              <w:rPr>
                <w:rFonts w:hint="eastAsia" w:ascii="宋体" w:hAnsi="宋体"/>
                <w:i/>
                <w:color w:val="000000" w:themeColor="text1"/>
                <w:szCs w:val="21"/>
                <w:u w:val="single"/>
                <w14:textFill>
                  <w14:solidFill>
                    <w14:schemeClr w14:val="tx1"/>
                  </w14:solidFill>
                </w14:textFill>
              </w:rPr>
              <w:t>接受”或“不接受”</w:t>
            </w:r>
            <w:r>
              <w:rPr>
                <w:rFonts w:hint="eastAsia" w:ascii="宋体" w:hAnsi="宋体" w:cs="宋体"/>
                <w:i/>
                <w:color w:val="000000" w:themeColor="text1"/>
                <w:szCs w:val="21"/>
                <w:u w:val="singl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2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保险</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本次报价包括了与项目有关的保险费用。</w:t>
            </w:r>
          </w:p>
          <w:p>
            <w:pPr>
              <w:rPr>
                <w:rFonts w:ascii="宋体" w:hAnsi="宋体"/>
                <w:color w:val="000000" w:themeColor="text1"/>
                <w14:textFill>
                  <w14:solidFill>
                    <w14:schemeClr w14:val="tx1"/>
                  </w14:solidFill>
                </w14:textFill>
              </w:rPr>
            </w:pPr>
            <w:r>
              <w:rPr>
                <w:rFonts w:hint="eastAsia" w:ascii="宋体" w:hAnsi="宋体"/>
                <w:iCs/>
                <w:color w:val="000000" w:themeColor="text1"/>
                <w14:textFill>
                  <w14:solidFill>
                    <w14:schemeClr w14:val="tx1"/>
                  </w14:solidFill>
                </w14:textFill>
              </w:rPr>
              <w:t>其它承诺：</w:t>
            </w:r>
            <w:r>
              <w:rPr>
                <w:rFonts w:hint="eastAsia" w:ascii="宋体" w:hAnsi="宋体"/>
                <w:i/>
                <w:iCs/>
                <w:color w:val="000000" w:themeColor="text1"/>
                <w:u w:val="single"/>
                <w14:textFill>
                  <w14:solidFill>
                    <w14:schemeClr w14:val="tx1"/>
                  </w14:solidFill>
                </w14:textFill>
              </w:rPr>
              <w:t>可另页详述（应答），但须标注其所在页码</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w:t>
            </w:r>
          </w:p>
        </w:tc>
        <w:tc>
          <w:tcPr>
            <w:tcW w:w="2711"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具体的售后服务等其它要求</w:t>
            </w:r>
            <w:r>
              <w:rPr>
                <w:rFonts w:hint="eastAsia" w:ascii="宋体" w:hAnsi="宋体"/>
                <w:b/>
                <w:i/>
                <w:color w:val="000000" w:themeColor="text1"/>
                <w:u w:val="single"/>
                <w14:textFill>
                  <w14:solidFill>
                    <w14:schemeClr w14:val="tx1"/>
                  </w14:solidFill>
                </w14:textFill>
              </w:rPr>
              <w:t>（可根据招标文件要求自行添加）</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14:textFill>
                  <w14:solidFill>
                    <w14:schemeClr w14:val="tx1"/>
                  </w14:solidFill>
                </w14:textFill>
              </w:rPr>
            </w:pPr>
            <w:r>
              <w:rPr>
                <w:rFonts w:hint="eastAsia" w:ascii="宋体" w:hAnsi="宋体"/>
                <w:i/>
                <w:iCs/>
                <w:color w:val="000000" w:themeColor="text1"/>
                <w:u w:val="single"/>
                <w14:textFill>
                  <w14:solidFill>
                    <w14:schemeClr w14:val="tx1"/>
                  </w14:solidFill>
                </w14:textFill>
              </w:rPr>
              <w:t>可另页详述（应答），但须标注其所在页码</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i/>
                <w:color w:val="000000" w:themeColor="text1"/>
                <w:szCs w:val="21"/>
                <w:u w:val="single"/>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u w:val="singl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c>
          <w:tcPr>
            <w:tcW w:w="2711" w:type="dxa"/>
            <w:tcBorders>
              <w:top w:val="single" w:color="auto" w:sz="4" w:space="0"/>
              <w:left w:val="single" w:color="auto" w:sz="4" w:space="0"/>
              <w:bottom w:val="single" w:color="auto" w:sz="4" w:space="0"/>
              <w:right w:val="single" w:color="auto" w:sz="4" w:space="0"/>
            </w:tcBorders>
            <w:vAlign w:val="center"/>
          </w:tcPr>
          <w:p>
            <w:pPr>
              <w:widowControl/>
              <w:spacing w:line="456" w:lineRule="auto"/>
              <w:jc w:val="center"/>
              <w:rPr>
                <w:rFonts w:ascii="宋体" w:hAnsi="宋体" w:cs="宋体"/>
                <w:b/>
                <w:i/>
                <w:color w:val="000000" w:themeColor="text1"/>
                <w:kern w:val="0"/>
                <w:szCs w:val="21"/>
                <w:u w:val="single"/>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i/>
                <w:color w:val="000000" w:themeColor="text1"/>
                <w:szCs w:val="21"/>
                <w:u w:val="single"/>
                <w14:textFill>
                  <w14:solidFill>
                    <w14:schemeClr w14:val="tx1"/>
                  </w14:solidFill>
                </w14:textFill>
              </w:rPr>
              <w:t>行数不够，可按本表格式自行添加</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64" w:type="dxa"/>
            <w:gridSpan w:val="4"/>
            <w:tcBorders>
              <w:top w:val="single" w:color="auto" w:sz="4" w:space="0"/>
              <w:left w:val="single" w:color="auto" w:sz="4" w:space="0"/>
              <w:bottom w:val="single" w:color="auto" w:sz="4" w:space="0"/>
              <w:right w:val="single" w:color="auto" w:sz="4" w:space="0"/>
            </w:tcBorders>
            <w:vAlign w:val="center"/>
          </w:tcPr>
          <w:p>
            <w:pPr>
              <w:spacing w:line="456" w:lineRule="auto"/>
              <w:jc w:val="left"/>
              <w:rPr>
                <w:rFonts w:ascii="宋体" w:hAnsi="宋体"/>
                <w:b/>
                <w:color w:val="000000" w:themeColor="text1"/>
                <w:szCs w:val="21"/>
                <w:u w:val="single"/>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法定代表人或其委托</w:t>
            </w:r>
            <w:r>
              <w:rPr>
                <w:rFonts w:ascii="宋体" w:hAnsi="宋体"/>
                <w:b/>
                <w:color w:val="000000" w:themeColor="text1"/>
                <w:szCs w:val="21"/>
                <w:u w:val="single"/>
                <w14:textFill>
                  <w14:solidFill>
                    <w14:schemeClr w14:val="tx1"/>
                  </w14:solidFill>
                </w14:textFill>
              </w:rPr>
              <w:t>代理人</w:t>
            </w:r>
            <w:r>
              <w:rPr>
                <w:rFonts w:hint="eastAsia" w:ascii="宋体" w:hAnsi="宋体"/>
                <w:b/>
                <w:color w:val="000000" w:themeColor="text1"/>
                <w:szCs w:val="21"/>
                <w:u w:val="single"/>
                <w14:textFill>
                  <w14:solidFill>
                    <w14:schemeClr w14:val="tx1"/>
                  </w14:solidFill>
                </w14:textFill>
              </w:rPr>
              <w:t xml:space="preserve">（签字）：                  </w:t>
            </w:r>
          </w:p>
          <w:p>
            <w:pPr>
              <w:spacing w:line="456" w:lineRule="auto"/>
              <w:jc w:val="left"/>
              <w:rPr>
                <w:rFonts w:ascii="宋体" w:hAnsi="宋体" w:cs="宋体"/>
                <w:color w:val="000000" w:themeColor="text1"/>
                <w:szCs w:val="21"/>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 xml:space="preserve">投标人(盖单位章)：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6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p>
          <w:p>
            <w:pPr>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1.投标人需按</w:t>
            </w:r>
            <w:r>
              <w:rPr>
                <w:rFonts w:hint="eastAsia" w:ascii="宋体" w:hAnsi="宋体"/>
                <w:color w:val="000000" w:themeColor="text1"/>
                <w14:textFill>
                  <w14:solidFill>
                    <w14:schemeClr w14:val="tx1"/>
                  </w14:solidFill>
                </w14:textFill>
              </w:rPr>
              <w:t>招标文件中的商务要求</w:t>
            </w:r>
            <w:r>
              <w:rPr>
                <w:rFonts w:ascii="宋体" w:hAnsi="宋体"/>
                <w:color w:val="000000" w:themeColor="text1"/>
                <w14:textFill>
                  <w14:solidFill>
                    <w14:schemeClr w14:val="tx1"/>
                  </w14:solidFill>
                </w14:textFill>
              </w:rPr>
              <w:t>进行应答</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详细描述如何满足该需求</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w:t>
            </w:r>
          </w:p>
          <w:p>
            <w:pPr>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.如本表表格填写不便的，可以另页</w:t>
            </w:r>
            <w:r>
              <w:rPr>
                <w:rFonts w:ascii="宋体" w:hAnsi="宋体"/>
                <w:color w:val="000000" w:themeColor="text1"/>
                <w14:textFill>
                  <w14:solidFill>
                    <w14:schemeClr w14:val="tx1"/>
                  </w14:solidFill>
                </w14:textFill>
              </w:rPr>
              <w:t>详述</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应答</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，但必须给出确切的位置索引</w:t>
            </w:r>
            <w:r>
              <w:rPr>
                <w:rFonts w:hint="eastAsia" w:ascii="宋体" w:hAnsi="宋体"/>
                <w:color w:val="000000" w:themeColor="text1"/>
                <w14:textFill>
                  <w14:solidFill>
                    <w14:schemeClr w14:val="tx1"/>
                  </w14:solidFill>
                </w14:textFill>
              </w:rPr>
              <w:t>（标注内容的所在页码）</w:t>
            </w:r>
            <w:r>
              <w:rPr>
                <w:rFonts w:ascii="宋体" w:hAnsi="宋体"/>
                <w:color w:val="000000" w:themeColor="text1"/>
                <w14:textFill>
                  <w14:solidFill>
                    <w14:schemeClr w14:val="tx1"/>
                  </w14:solidFill>
                </w14:textFill>
              </w:rPr>
              <w:t>。</w:t>
            </w:r>
          </w:p>
          <w:p>
            <w:pPr>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投标人可根据其投标内容进一步细化上述表格，并可增添其它表格或说明以便进一步明确投标内容。</w:t>
            </w:r>
          </w:p>
        </w:tc>
      </w:tr>
    </w:tbl>
    <w:p>
      <w:pPr>
        <w:spacing w:line="540" w:lineRule="atLeast"/>
        <w:jc w:val="center"/>
        <w:outlineLvl w:val="1"/>
        <w:rPr>
          <w:rFonts w:ascii="宋体" w:hAnsi="宋体"/>
          <w:b/>
          <w:color w:val="000000"/>
          <w:sz w:val="28"/>
          <w:szCs w:val="28"/>
        </w:rPr>
      </w:pPr>
      <w:bookmarkStart w:id="189" w:name="_Toc122338108"/>
      <w:r>
        <w:rPr>
          <w:rFonts w:hint="eastAsia" w:ascii="宋体" w:hAnsi="宋体"/>
          <w:b/>
          <w:color w:val="000000"/>
          <w:sz w:val="28"/>
          <w:szCs w:val="28"/>
        </w:rPr>
        <w:t>六、商务条款偏离表（格式）</w:t>
      </w:r>
      <w:bookmarkEnd w:id="189"/>
    </w:p>
    <w:p>
      <w:pPr>
        <w:spacing w:line="360" w:lineRule="auto"/>
        <w:rPr>
          <w:rFonts w:ascii="宋体" w:hAnsi="宋体"/>
          <w:b/>
          <w:color w:val="000000"/>
          <w:sz w:val="24"/>
        </w:rPr>
      </w:pPr>
    </w:p>
    <w:p>
      <w:pPr>
        <w:spacing w:line="540" w:lineRule="atLeast"/>
        <w:jc w:val="center"/>
        <w:outlineLvl w:val="1"/>
        <w:rPr>
          <w:rFonts w:ascii="宋体" w:hAnsi="宋体" w:cs="宋体"/>
          <w:b/>
          <w:color w:val="000000"/>
          <w:sz w:val="28"/>
          <w:szCs w:val="28"/>
        </w:rPr>
      </w:pPr>
      <w:bookmarkStart w:id="190" w:name="_Toc122338109"/>
      <w:r>
        <w:rPr>
          <w:rFonts w:hint="eastAsia" w:ascii="宋体" w:hAnsi="宋体"/>
          <w:b/>
          <w:color w:val="000000"/>
          <w:sz w:val="28"/>
          <w:szCs w:val="28"/>
        </w:rPr>
        <w:t>七、投标（响应）分项报价表（格式）</w:t>
      </w:r>
      <w:bookmarkEnd w:id="190"/>
    </w:p>
    <w:tbl>
      <w:tblPr>
        <w:tblStyle w:val="29"/>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2744"/>
        <w:gridCol w:w="962"/>
        <w:gridCol w:w="1214"/>
        <w:gridCol w:w="838"/>
        <w:gridCol w:w="804"/>
        <w:gridCol w:w="840"/>
        <w:gridCol w:w="95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350" w:type="dxa"/>
            <w:gridSpan w:val="2"/>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项目编号</w:t>
            </w:r>
          </w:p>
        </w:tc>
        <w:tc>
          <w:tcPr>
            <w:tcW w:w="6485" w:type="dxa"/>
            <w:gridSpan w:val="7"/>
            <w:vAlign w:val="center"/>
          </w:tcPr>
          <w:p>
            <w:pPr>
              <w:jc w:val="center"/>
              <w:rPr>
                <w:rFonts w:asciiTheme="minorEastAsia" w:hAnsiTheme="minorEastAsia" w:eastAsiaTheme="minorEastAsia" w:cs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350" w:type="dxa"/>
            <w:gridSpan w:val="2"/>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项目名称</w:t>
            </w:r>
          </w:p>
        </w:tc>
        <w:tc>
          <w:tcPr>
            <w:tcW w:w="6485" w:type="dxa"/>
            <w:gridSpan w:val="7"/>
            <w:vAlign w:val="center"/>
          </w:tcPr>
          <w:p>
            <w:pPr>
              <w:jc w:val="center"/>
              <w:rPr>
                <w:rFonts w:asciiTheme="minorEastAsia" w:hAnsiTheme="minorEastAsia" w:eastAsiaTheme="minorEastAsia" w:cs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序号</w:t>
            </w:r>
          </w:p>
        </w:tc>
        <w:tc>
          <w:tcPr>
            <w:tcW w:w="2744"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采购货物名称</w:t>
            </w:r>
          </w:p>
          <w:p>
            <w:pPr>
              <w:pStyle w:val="28"/>
              <w:ind w:firstLine="0" w:firstLineChars="0"/>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2"/>
                <w:sz w:val="21"/>
                <w:szCs w:val="21"/>
              </w:rPr>
              <w:t>（进口设备须标明英文名）</w:t>
            </w:r>
          </w:p>
        </w:tc>
        <w:tc>
          <w:tcPr>
            <w:tcW w:w="962"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品牌</w:t>
            </w:r>
          </w:p>
        </w:tc>
        <w:tc>
          <w:tcPr>
            <w:tcW w:w="1214"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型号/规格</w:t>
            </w:r>
          </w:p>
        </w:tc>
        <w:tc>
          <w:tcPr>
            <w:tcW w:w="838"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厂商</w:t>
            </w:r>
          </w:p>
        </w:tc>
        <w:tc>
          <w:tcPr>
            <w:tcW w:w="804"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产地</w:t>
            </w:r>
          </w:p>
        </w:tc>
        <w:tc>
          <w:tcPr>
            <w:tcW w:w="840"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数量</w:t>
            </w:r>
          </w:p>
        </w:tc>
        <w:tc>
          <w:tcPr>
            <w:tcW w:w="954"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单价</w:t>
            </w:r>
          </w:p>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（元）</w:t>
            </w:r>
          </w:p>
        </w:tc>
        <w:tc>
          <w:tcPr>
            <w:tcW w:w="873" w:type="dxa"/>
            <w:vAlign w:val="center"/>
          </w:tcPr>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总价</w:t>
            </w:r>
          </w:p>
          <w:p>
            <w:pPr>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2744"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tc>
        <w:tc>
          <w:tcPr>
            <w:tcW w:w="962"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tc>
        <w:tc>
          <w:tcPr>
            <w:tcW w:w="804"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lang w:val="zh-CN"/>
              </w:rPr>
            </w:pPr>
          </w:p>
        </w:tc>
        <w:tc>
          <w:tcPr>
            <w:tcW w:w="873" w:type="dxa"/>
            <w:vAlign w:val="center"/>
          </w:tcPr>
          <w:p>
            <w:pPr>
              <w:spacing w:line="360" w:lineRule="auto"/>
              <w:jc w:val="center"/>
              <w:rPr>
                <w:rFonts w:asciiTheme="minorEastAsia" w:hAnsiTheme="minorEastAsia" w:eastAsiaTheme="minorEastAsia" w:cstheme="minorEastAsia"/>
                <w:color w:val="00000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2744"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p>
        </w:tc>
        <w:tc>
          <w:tcPr>
            <w:tcW w:w="804" w:type="dxa"/>
            <w:vAlign w:val="center"/>
          </w:tcPr>
          <w:p>
            <w:pPr>
              <w:spacing w:line="360" w:lineRule="auto"/>
              <w:jc w:val="center"/>
              <w:rPr>
                <w:rFonts w:asciiTheme="minorEastAsia" w:hAnsiTheme="minorEastAsia" w:eastAsiaTheme="minorEastAsia" w:cstheme="minorEastAsia"/>
                <w:color w:val="000000"/>
                <w:szCs w:val="21"/>
              </w:rPr>
            </w:pP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rPr>
            </w:pPr>
          </w:p>
        </w:tc>
        <w:tc>
          <w:tcPr>
            <w:tcW w:w="873"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2744"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p>
        </w:tc>
        <w:tc>
          <w:tcPr>
            <w:tcW w:w="804" w:type="dxa"/>
            <w:vAlign w:val="center"/>
          </w:tcPr>
          <w:p>
            <w:pPr>
              <w:spacing w:line="360" w:lineRule="auto"/>
              <w:jc w:val="center"/>
              <w:rPr>
                <w:rFonts w:asciiTheme="minorEastAsia" w:hAnsiTheme="minorEastAsia" w:eastAsiaTheme="minorEastAsia" w:cstheme="minorEastAsia"/>
                <w:color w:val="000000"/>
                <w:szCs w:val="21"/>
              </w:rPr>
            </w:pP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rPr>
            </w:pPr>
          </w:p>
        </w:tc>
        <w:tc>
          <w:tcPr>
            <w:tcW w:w="873"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w:t>
            </w:r>
          </w:p>
        </w:tc>
        <w:tc>
          <w:tcPr>
            <w:tcW w:w="2744"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p>
        </w:tc>
        <w:tc>
          <w:tcPr>
            <w:tcW w:w="804" w:type="dxa"/>
            <w:vAlign w:val="center"/>
          </w:tcPr>
          <w:p>
            <w:pPr>
              <w:spacing w:line="360" w:lineRule="auto"/>
              <w:jc w:val="center"/>
              <w:rPr>
                <w:rFonts w:asciiTheme="minorEastAsia" w:hAnsiTheme="minorEastAsia" w:eastAsiaTheme="minorEastAsia" w:cstheme="minorEastAsia"/>
                <w:color w:val="000000"/>
                <w:szCs w:val="21"/>
              </w:rPr>
            </w:pP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rPr>
            </w:pPr>
          </w:p>
        </w:tc>
        <w:tc>
          <w:tcPr>
            <w:tcW w:w="873"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w:t>
            </w:r>
          </w:p>
        </w:tc>
        <w:tc>
          <w:tcPr>
            <w:tcW w:w="2744"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p>
        </w:tc>
        <w:tc>
          <w:tcPr>
            <w:tcW w:w="804" w:type="dxa"/>
            <w:vAlign w:val="center"/>
          </w:tcPr>
          <w:p>
            <w:pPr>
              <w:spacing w:line="360" w:lineRule="auto"/>
              <w:jc w:val="center"/>
              <w:rPr>
                <w:rFonts w:asciiTheme="minorEastAsia" w:hAnsiTheme="minorEastAsia" w:eastAsiaTheme="minorEastAsia" w:cstheme="minorEastAsia"/>
                <w:color w:val="000000"/>
                <w:szCs w:val="21"/>
              </w:rPr>
            </w:pP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rPr>
            </w:pPr>
          </w:p>
        </w:tc>
        <w:tc>
          <w:tcPr>
            <w:tcW w:w="873"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w:t>
            </w:r>
          </w:p>
        </w:tc>
        <w:tc>
          <w:tcPr>
            <w:tcW w:w="2744"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p>
        </w:tc>
        <w:tc>
          <w:tcPr>
            <w:tcW w:w="804" w:type="dxa"/>
            <w:vAlign w:val="center"/>
          </w:tcPr>
          <w:p>
            <w:pPr>
              <w:spacing w:line="360" w:lineRule="auto"/>
              <w:jc w:val="center"/>
              <w:rPr>
                <w:rFonts w:asciiTheme="minorEastAsia" w:hAnsiTheme="minorEastAsia" w:eastAsiaTheme="minorEastAsia" w:cstheme="minorEastAsia"/>
                <w:color w:val="000000"/>
                <w:szCs w:val="21"/>
              </w:rPr>
            </w:pP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rPr>
            </w:pPr>
          </w:p>
        </w:tc>
        <w:tc>
          <w:tcPr>
            <w:tcW w:w="873"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w:t>
            </w:r>
          </w:p>
        </w:tc>
        <w:tc>
          <w:tcPr>
            <w:tcW w:w="2744"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p>
        </w:tc>
        <w:tc>
          <w:tcPr>
            <w:tcW w:w="804" w:type="dxa"/>
            <w:vAlign w:val="center"/>
          </w:tcPr>
          <w:p>
            <w:pPr>
              <w:spacing w:line="360" w:lineRule="auto"/>
              <w:jc w:val="center"/>
              <w:rPr>
                <w:rFonts w:asciiTheme="minorEastAsia" w:hAnsiTheme="minorEastAsia" w:eastAsiaTheme="minorEastAsia" w:cstheme="minorEastAsia"/>
                <w:color w:val="000000"/>
                <w:szCs w:val="21"/>
              </w:rPr>
            </w:pP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rPr>
            </w:pPr>
          </w:p>
        </w:tc>
        <w:tc>
          <w:tcPr>
            <w:tcW w:w="873"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w:t>
            </w:r>
          </w:p>
        </w:tc>
        <w:tc>
          <w:tcPr>
            <w:tcW w:w="2744"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p>
        </w:tc>
        <w:tc>
          <w:tcPr>
            <w:tcW w:w="804" w:type="dxa"/>
            <w:vAlign w:val="center"/>
          </w:tcPr>
          <w:p>
            <w:pPr>
              <w:spacing w:line="360" w:lineRule="auto"/>
              <w:jc w:val="center"/>
              <w:rPr>
                <w:rFonts w:asciiTheme="minorEastAsia" w:hAnsiTheme="minorEastAsia" w:eastAsiaTheme="minorEastAsia" w:cstheme="minorEastAsia"/>
                <w:color w:val="000000"/>
                <w:szCs w:val="21"/>
              </w:rPr>
            </w:pP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rPr>
            </w:pPr>
          </w:p>
        </w:tc>
        <w:tc>
          <w:tcPr>
            <w:tcW w:w="873"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w:t>
            </w:r>
          </w:p>
        </w:tc>
        <w:tc>
          <w:tcPr>
            <w:tcW w:w="2744" w:type="dxa"/>
            <w:vAlign w:val="center"/>
          </w:tcPr>
          <w:p>
            <w:pPr>
              <w:spacing w:line="360" w:lineRule="auto"/>
              <w:jc w:val="center"/>
              <w:rPr>
                <w:rFonts w:asciiTheme="minorEastAsia" w:hAnsiTheme="minorEastAsia" w:eastAsiaTheme="minorEastAsia" w:cstheme="minorEastAsia"/>
                <w:color w:val="000000"/>
                <w:szCs w:val="21"/>
              </w:rPr>
            </w:pPr>
          </w:p>
        </w:tc>
        <w:tc>
          <w:tcPr>
            <w:tcW w:w="962" w:type="dxa"/>
            <w:vAlign w:val="center"/>
          </w:tcPr>
          <w:p>
            <w:pPr>
              <w:spacing w:line="360" w:lineRule="auto"/>
              <w:jc w:val="center"/>
              <w:rPr>
                <w:rFonts w:asciiTheme="minorEastAsia" w:hAnsiTheme="minorEastAsia" w:eastAsiaTheme="minorEastAsia" w:cstheme="minorEastAsia"/>
                <w:color w:val="000000"/>
                <w:szCs w:val="21"/>
              </w:rPr>
            </w:pPr>
          </w:p>
        </w:tc>
        <w:tc>
          <w:tcPr>
            <w:tcW w:w="1214" w:type="dxa"/>
          </w:tcPr>
          <w:p>
            <w:pPr>
              <w:spacing w:line="360" w:lineRule="auto"/>
              <w:jc w:val="center"/>
              <w:rPr>
                <w:rFonts w:asciiTheme="minorEastAsia" w:hAnsiTheme="minorEastAsia" w:eastAsiaTheme="minorEastAsia" w:cstheme="minorEastAsia"/>
                <w:color w:val="000000"/>
                <w:szCs w:val="21"/>
              </w:rPr>
            </w:pPr>
          </w:p>
        </w:tc>
        <w:tc>
          <w:tcPr>
            <w:tcW w:w="838" w:type="dxa"/>
            <w:vAlign w:val="center"/>
          </w:tcPr>
          <w:p>
            <w:pPr>
              <w:spacing w:line="360" w:lineRule="auto"/>
              <w:jc w:val="center"/>
              <w:rPr>
                <w:rFonts w:asciiTheme="minorEastAsia" w:hAnsiTheme="minorEastAsia" w:eastAsiaTheme="minorEastAsia" w:cstheme="minorEastAsia"/>
                <w:color w:val="000000"/>
                <w:szCs w:val="21"/>
              </w:rPr>
            </w:pPr>
          </w:p>
        </w:tc>
        <w:tc>
          <w:tcPr>
            <w:tcW w:w="804" w:type="dxa"/>
            <w:vAlign w:val="center"/>
          </w:tcPr>
          <w:p>
            <w:pPr>
              <w:spacing w:line="360" w:lineRule="auto"/>
              <w:jc w:val="center"/>
              <w:rPr>
                <w:rFonts w:asciiTheme="minorEastAsia" w:hAnsiTheme="minorEastAsia" w:eastAsiaTheme="minorEastAsia" w:cstheme="minorEastAsia"/>
                <w:color w:val="000000"/>
                <w:szCs w:val="21"/>
              </w:rPr>
            </w:pPr>
          </w:p>
        </w:tc>
        <w:tc>
          <w:tcPr>
            <w:tcW w:w="840" w:type="dxa"/>
          </w:tcPr>
          <w:p>
            <w:pPr>
              <w:spacing w:line="360" w:lineRule="auto"/>
              <w:jc w:val="center"/>
              <w:rPr>
                <w:rFonts w:asciiTheme="minorEastAsia" w:hAnsiTheme="minorEastAsia" w:eastAsiaTheme="minorEastAsia" w:cstheme="minorEastAsia"/>
                <w:color w:val="000000"/>
                <w:szCs w:val="21"/>
              </w:rPr>
            </w:pPr>
          </w:p>
        </w:tc>
        <w:tc>
          <w:tcPr>
            <w:tcW w:w="954" w:type="dxa"/>
            <w:vAlign w:val="center"/>
          </w:tcPr>
          <w:p>
            <w:pPr>
              <w:spacing w:line="360" w:lineRule="auto"/>
              <w:jc w:val="center"/>
              <w:rPr>
                <w:rFonts w:asciiTheme="minorEastAsia" w:hAnsiTheme="minorEastAsia" w:eastAsiaTheme="minorEastAsia" w:cstheme="minorEastAsia"/>
                <w:color w:val="000000"/>
                <w:szCs w:val="21"/>
              </w:rPr>
            </w:pPr>
          </w:p>
        </w:tc>
        <w:tc>
          <w:tcPr>
            <w:tcW w:w="873" w:type="dxa"/>
            <w:vAlign w:val="center"/>
          </w:tcPr>
          <w:p>
            <w:pPr>
              <w:spacing w:line="360" w:lineRule="auto"/>
              <w:jc w:val="center"/>
              <w:rPr>
                <w:rFonts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5" w:type="dxa"/>
            <w:gridSpan w:val="9"/>
            <w:vAlign w:val="center"/>
          </w:tcPr>
          <w:p>
            <w:pPr>
              <w:spacing w:line="360" w:lineRule="auto"/>
              <w:jc w:val="center"/>
              <w:rPr>
                <w:b/>
                <w:i/>
                <w:u w:val="single"/>
              </w:rPr>
            </w:pPr>
            <w:r>
              <w:rPr>
                <w:rFonts w:hint="eastAsia"/>
                <w:b/>
                <w:i/>
                <w:u w:val="single"/>
              </w:rPr>
              <w:t>行数不够，可按本表格式自行添加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35" w:type="dxa"/>
            <w:gridSpan w:val="9"/>
          </w:tcPr>
          <w:p>
            <w:pPr>
              <w:spacing w:line="360" w:lineRule="auto"/>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合计：（大写）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35" w:type="dxa"/>
            <w:gridSpan w:val="9"/>
            <w:vAlign w:val="center"/>
          </w:tcPr>
          <w:p>
            <w:pPr>
              <w:spacing w:line="360" w:lineRule="auto"/>
              <w:rPr>
                <w:rFonts w:ascii="宋体" w:hAnsi="宋体" w:cs="宋体"/>
              </w:rPr>
            </w:pPr>
            <w:r>
              <w:rPr>
                <w:rFonts w:hint="eastAsia" w:ascii="宋体" w:hAnsi="宋体" w:cs="宋体"/>
              </w:rPr>
              <w:t>法定代表人或</w:t>
            </w:r>
            <w:r>
              <w:rPr>
                <w:rFonts w:hint="eastAsia" w:ascii="宋体" w:hAnsi="宋体"/>
                <w:szCs w:val="21"/>
              </w:rPr>
              <w:t>其委托</w:t>
            </w:r>
            <w:r>
              <w:rPr>
                <w:rFonts w:ascii="宋体" w:hAnsi="宋体"/>
                <w:szCs w:val="21"/>
              </w:rPr>
              <w:t>代理人</w:t>
            </w:r>
            <w:r>
              <w:rPr>
                <w:rFonts w:hint="eastAsia" w:ascii="宋体" w:hAnsi="宋体" w:cs="宋体"/>
              </w:rPr>
              <w:t>（签字）</w:t>
            </w:r>
            <w:r>
              <w:rPr>
                <w:rFonts w:hint="eastAsia" w:ascii="宋体" w:hAnsi="宋体" w:cs="宋体"/>
                <w:u w:val="single"/>
              </w:rPr>
              <w:t xml:space="preserve">：                     </w:t>
            </w:r>
          </w:p>
          <w:p>
            <w:pPr>
              <w:spacing w:line="360" w:lineRule="auto"/>
              <w:rPr>
                <w:rFonts w:ascii="宋体" w:hAnsi="宋体" w:cs="宋体"/>
              </w:rPr>
            </w:pPr>
            <w:r>
              <w:rPr>
                <w:rFonts w:hint="eastAsia" w:ascii="宋体" w:hAnsi="宋体" w:cs="宋体"/>
              </w:rPr>
              <w:t>投标人(盖单位章)</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35" w:type="dxa"/>
            <w:gridSpan w:val="9"/>
            <w:vAlign w:val="center"/>
          </w:tcPr>
          <w:p>
            <w:pPr>
              <w:spacing w:line="360" w:lineRule="auto"/>
              <w:ind w:firstLine="420" w:firstLineChars="200"/>
            </w:pPr>
            <w:r>
              <w:rPr>
                <w:rFonts w:hint="eastAsia"/>
              </w:rPr>
              <w:t>注：1.如果本表与报价一览表（报价表）内容不一致的，以报价一览表（报价表）内容为准。</w:t>
            </w:r>
          </w:p>
          <w:p>
            <w:pPr>
              <w:spacing w:line="360" w:lineRule="auto"/>
              <w:ind w:firstLine="840" w:firstLineChars="400"/>
            </w:pPr>
            <w:r>
              <w:rPr>
                <w:rFonts w:hint="eastAsia"/>
              </w:rPr>
              <w:t>2.如果不提供详细分项报价将视为没有实质性响应招标文件。</w:t>
            </w:r>
          </w:p>
          <w:p>
            <w:pPr>
              <w:spacing w:line="360" w:lineRule="auto"/>
              <w:ind w:firstLine="840" w:firstLineChars="400"/>
            </w:pPr>
            <w:r>
              <w:rPr>
                <w:rFonts w:hint="eastAsia"/>
              </w:rPr>
              <w:t>3.上述各项的详细分项报价，可以另页描述。</w:t>
            </w:r>
          </w:p>
          <w:p>
            <w:pPr>
              <w:spacing w:line="360" w:lineRule="auto"/>
              <w:ind w:firstLine="840" w:firstLineChars="400"/>
            </w:pPr>
            <w:r>
              <w:rPr>
                <w:rFonts w:hint="eastAsia"/>
              </w:rPr>
              <w:t>4.如果投标人认为需要，可以每种品目填写一份该表。</w:t>
            </w:r>
          </w:p>
          <w:p>
            <w:pPr>
              <w:spacing w:line="360" w:lineRule="auto"/>
              <w:ind w:firstLine="840" w:firstLineChars="400"/>
            </w:pPr>
            <w:r>
              <w:rPr>
                <w:rFonts w:hint="eastAsia"/>
              </w:rPr>
              <w:t>5.</w:t>
            </w:r>
            <w:r>
              <w:rPr>
                <w:rFonts w:hint="eastAsia" w:ascii="宋体" w:hAnsi="宋体" w:cs="宋体"/>
                <w:szCs w:val="21"/>
              </w:rPr>
              <w:t>最后报价低于首次报价的，所有</w:t>
            </w:r>
            <w:r>
              <w:rPr>
                <w:rFonts w:hint="eastAsia" w:ascii="宋体" w:hAnsi="宋体"/>
                <w:szCs w:val="21"/>
              </w:rPr>
              <w:t>分项报价按总价下浮比同比下浮。</w:t>
            </w:r>
          </w:p>
        </w:tc>
      </w:tr>
    </w:tbl>
    <w:p>
      <w:pPr>
        <w:pStyle w:val="28"/>
        <w:ind w:firstLine="640"/>
        <w:sectPr>
          <w:headerReference r:id="rId4" w:type="default"/>
          <w:footerReference r:id="rId5" w:type="default"/>
          <w:pgSz w:w="11906" w:h="16838"/>
          <w:pgMar w:top="1134" w:right="1077" w:bottom="1418" w:left="1191" w:header="851" w:footer="992" w:gutter="0"/>
          <w:cols w:space="720" w:num="1"/>
          <w:docGrid w:type="lines" w:linePitch="312" w:charSpace="0"/>
        </w:sectPr>
      </w:pPr>
    </w:p>
    <w:tbl>
      <w:tblPr>
        <w:tblStyle w:val="29"/>
        <w:tblpPr w:leftFromText="180" w:rightFromText="180" w:vertAnchor="text" w:horzAnchor="margin" w:tblpY="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241"/>
        <w:gridCol w:w="2454"/>
        <w:gridCol w:w="283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p>
        </w:tc>
        <w:tc>
          <w:tcPr>
            <w:tcW w:w="684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684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2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名称（品目）</w:t>
            </w: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招标文件要求</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投标人响应（承诺）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i/>
                <w:color w:val="000000" w:themeColor="text1"/>
                <w:u w:val="single"/>
                <w14:textFill>
                  <w14:solidFill>
                    <w14:schemeClr w14:val="tx1"/>
                  </w14:solidFill>
                </w14:textFill>
              </w:rPr>
            </w:pPr>
            <w:r>
              <w:rPr>
                <w:rFonts w:hAnsi="宋体" w:cs="Courier New"/>
                <w:i/>
                <w:color w:val="000000" w:themeColor="text1"/>
                <w:u w:val="single"/>
                <w14:textFill>
                  <w14:solidFill>
                    <w14:schemeClr w14:val="tx1"/>
                  </w14:solidFill>
                </w14:textFill>
              </w:rPr>
              <w:t>例：“显示屏”</w:t>
            </w:r>
          </w:p>
          <w:p>
            <w:pPr>
              <w:pStyle w:val="17"/>
              <w:spacing w:line="360" w:lineRule="auto"/>
              <w:jc w:val="center"/>
              <w:rPr>
                <w:rFonts w:hAnsi="宋体" w:cs="Courier New"/>
                <w:i/>
                <w:color w:val="000000" w:themeColor="text1"/>
                <w:u w:val="single"/>
                <w14:textFill>
                  <w14:solidFill>
                    <w14:schemeClr w14:val="tx1"/>
                  </w14:solidFill>
                </w14:textFill>
              </w:rPr>
            </w:pPr>
            <w:r>
              <w:rPr>
                <w:rFonts w:hAnsi="宋体" w:cs="Courier New"/>
                <w:i/>
                <w:color w:val="000000" w:themeColor="text1"/>
                <w:u w:val="single"/>
                <w14:textFill>
                  <w14:solidFill>
                    <w14:schemeClr w14:val="tx1"/>
                  </w14:solidFill>
                </w14:textFill>
              </w:rPr>
              <w:t>（注：仅示例如何填写，与投标内容无关）</w:t>
            </w: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i/>
                <w:color w:val="000000" w:themeColor="text1"/>
                <w:szCs w:val="21"/>
                <w:u w:val="single"/>
                <w14:textFill>
                  <w14:solidFill>
                    <w14:schemeClr w14:val="tx1"/>
                  </w14:solidFill>
                </w14:textFill>
              </w:rPr>
            </w:pPr>
            <w:r>
              <w:rPr>
                <w:rFonts w:hint="eastAsia" w:ascii="宋体" w:hAnsi="宋体" w:cs="Courier New"/>
                <w:i/>
                <w:color w:val="000000" w:themeColor="text1"/>
                <w:szCs w:val="21"/>
                <w:u w:val="single"/>
                <w14:textFill>
                  <w14:solidFill>
                    <w14:schemeClr w14:val="tx1"/>
                  </w14:solidFill>
                </w14:textFill>
              </w:rPr>
              <w:t>例：</w:t>
            </w:r>
            <w:r>
              <w:rPr>
                <w:rFonts w:hint="eastAsia" w:ascii="宋体" w:hAnsi="宋体" w:cs="宋体"/>
                <w:i/>
                <w:color w:val="000000" w:themeColor="text1"/>
                <w:szCs w:val="21"/>
                <w:u w:val="single"/>
                <w14:textFill>
                  <w14:solidFill>
                    <w14:schemeClr w14:val="tx1"/>
                  </w14:solidFill>
                </w14:textFill>
              </w:rPr>
              <w:t>“LED</w:t>
            </w:r>
            <w:r>
              <w:rPr>
                <w:rFonts w:ascii="宋体" w:hAnsi="宋体"/>
                <w:i/>
                <w:color w:val="000000" w:themeColor="text1"/>
                <w:szCs w:val="21"/>
                <w:u w:val="single"/>
                <w14:textFill>
                  <w14:solidFill>
                    <w14:schemeClr w14:val="tx1"/>
                  </w14:solidFill>
                </w14:textFill>
              </w:rPr>
              <w:t>显示屏</w:t>
            </w:r>
            <w:r>
              <w:rPr>
                <w:rFonts w:hint="eastAsia" w:ascii="宋体" w:hAnsi="宋体"/>
                <w:i/>
                <w:color w:val="000000" w:themeColor="text1"/>
                <w:szCs w:val="21"/>
                <w:u w:val="single"/>
                <w14:textFill>
                  <w14:solidFill>
                    <w14:schemeClr w14:val="tx1"/>
                  </w14:solidFill>
                </w14:textFill>
              </w:rPr>
              <w:t>，</w:t>
            </w:r>
            <w:r>
              <w:rPr>
                <w:rFonts w:ascii="宋体" w:hAnsi="宋体" w:cs="Arial"/>
                <w:i/>
                <w:color w:val="000000" w:themeColor="text1"/>
                <w:szCs w:val="21"/>
                <w:u w:val="single"/>
                <w:shd w:val="clear" w:color="auto" w:fill="FFFFFF"/>
                <w14:textFill>
                  <w14:solidFill>
                    <w14:schemeClr w14:val="tx1"/>
                  </w14:solidFill>
                </w14:textFill>
              </w:rPr>
              <w:t>p2.5</w:t>
            </w:r>
            <w:r>
              <w:rPr>
                <w:rFonts w:hint="eastAsia" w:ascii="宋体" w:hAnsi="宋体" w:cs="Arial"/>
                <w:i/>
                <w:color w:val="000000" w:themeColor="text1"/>
                <w:szCs w:val="21"/>
                <w:u w:val="single"/>
                <w:shd w:val="clear" w:color="auto" w:fill="FFFFFF"/>
                <w14:textFill>
                  <w14:solidFill>
                    <w14:schemeClr w14:val="tx1"/>
                  </w14:solidFill>
                </w14:textFill>
              </w:rPr>
              <w:t>，</w:t>
            </w:r>
            <w:r>
              <w:rPr>
                <w:rFonts w:ascii="宋体" w:hAnsi="宋体" w:cs="Arial"/>
                <w:i/>
                <w:color w:val="000000" w:themeColor="text1"/>
                <w:szCs w:val="21"/>
                <w:u w:val="single"/>
                <w:shd w:val="clear" w:color="auto" w:fill="FFFFFF"/>
                <w14:textFill>
                  <w14:solidFill>
                    <w14:schemeClr w14:val="tx1"/>
                  </w14:solidFill>
                </w14:textFill>
              </w:rPr>
              <w:t>模组</w:t>
            </w:r>
            <w:r>
              <w:rPr>
                <w:rFonts w:hint="eastAsia" w:ascii="宋体" w:hAnsi="宋体" w:cs="Arial"/>
                <w:i/>
                <w:color w:val="000000" w:themeColor="text1"/>
                <w:szCs w:val="21"/>
                <w:u w:val="single"/>
                <w:shd w:val="clear" w:color="auto" w:fill="FFFFFF"/>
                <w14:textFill>
                  <w14:solidFill>
                    <w14:schemeClr w14:val="tx1"/>
                  </w14:solidFill>
                </w14:textFill>
              </w:rPr>
              <w:t>尺寸</w:t>
            </w:r>
            <w:r>
              <w:rPr>
                <w:rFonts w:ascii="宋体" w:hAnsi="宋体" w:cs="Arial"/>
                <w:i/>
                <w:color w:val="000000" w:themeColor="text1"/>
                <w:szCs w:val="21"/>
                <w:u w:val="single"/>
                <w:shd w:val="clear" w:color="auto" w:fill="FFFFFF"/>
                <w14:textFill>
                  <w14:solidFill>
                    <w14:schemeClr w14:val="tx1"/>
                  </w14:solidFill>
                </w14:textFill>
              </w:rPr>
              <w:t>160*160</w:t>
            </w:r>
            <w:r>
              <w:rPr>
                <w:rFonts w:hint="eastAsia" w:ascii="宋体" w:hAnsi="宋体" w:cs="宋体"/>
                <w:i/>
                <w:color w:val="000000" w:themeColor="text1"/>
                <w:szCs w:val="21"/>
                <w:u w:val="single"/>
                <w14:textFill>
                  <w14:solidFill>
                    <w14:schemeClr w14:val="tx1"/>
                  </w14:solidFill>
                </w14:textFill>
              </w:rPr>
              <w:t>……”</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Courier New"/>
                <w:i/>
                <w:color w:val="000000" w:themeColor="text1"/>
                <w:szCs w:val="21"/>
                <w:u w:val="single"/>
                <w14:textFill>
                  <w14:solidFill>
                    <w14:schemeClr w14:val="tx1"/>
                  </w14:solidFill>
                </w14:textFill>
              </w:rPr>
            </w:pPr>
            <w:r>
              <w:rPr>
                <w:rFonts w:hint="eastAsia" w:ascii="宋体" w:hAnsi="宋体" w:cs="Courier New"/>
                <w:i/>
                <w:color w:val="000000" w:themeColor="text1"/>
                <w:szCs w:val="21"/>
                <w:u w:val="single"/>
                <w14:textFill>
                  <w14:solidFill>
                    <w14:schemeClr w14:val="tx1"/>
                  </w14:solidFill>
                </w14:textFill>
              </w:rPr>
              <w:t>例1：</w:t>
            </w:r>
            <w:r>
              <w:rPr>
                <w:rFonts w:hint="eastAsia" w:ascii="宋体" w:hAnsi="宋体" w:cs="宋体"/>
                <w:i/>
                <w:color w:val="000000" w:themeColor="text1"/>
                <w:szCs w:val="21"/>
                <w:u w:val="single"/>
                <w14:textFill>
                  <w14:solidFill>
                    <w14:schemeClr w14:val="tx1"/>
                  </w14:solidFill>
                </w14:textFill>
              </w:rPr>
              <w:t>“LED</w:t>
            </w:r>
            <w:r>
              <w:rPr>
                <w:rFonts w:ascii="宋体" w:hAnsi="宋体"/>
                <w:i/>
                <w:color w:val="000000" w:themeColor="text1"/>
                <w:szCs w:val="21"/>
                <w:u w:val="single"/>
                <w14:textFill>
                  <w14:solidFill>
                    <w14:schemeClr w14:val="tx1"/>
                  </w14:solidFill>
                </w14:textFill>
              </w:rPr>
              <w:t>显示屏</w:t>
            </w:r>
            <w:r>
              <w:rPr>
                <w:rFonts w:hint="eastAsia" w:ascii="宋体" w:hAnsi="宋体"/>
                <w:i/>
                <w:color w:val="000000" w:themeColor="text1"/>
                <w:szCs w:val="21"/>
                <w:u w:val="single"/>
                <w14:textFill>
                  <w14:solidFill>
                    <w14:schemeClr w14:val="tx1"/>
                  </w14:solidFill>
                </w14:textFill>
              </w:rPr>
              <w:t>，</w:t>
            </w:r>
            <w:r>
              <w:rPr>
                <w:rFonts w:ascii="宋体" w:hAnsi="宋体" w:cs="Arial"/>
                <w:i/>
                <w:color w:val="000000" w:themeColor="text1"/>
                <w:szCs w:val="21"/>
                <w:u w:val="single"/>
                <w:shd w:val="clear" w:color="auto" w:fill="FFFFFF"/>
                <w14:textFill>
                  <w14:solidFill>
                    <w14:schemeClr w14:val="tx1"/>
                  </w14:solidFill>
                </w14:textFill>
              </w:rPr>
              <w:t>p2.5</w:t>
            </w:r>
            <w:r>
              <w:rPr>
                <w:rFonts w:hint="eastAsia" w:ascii="宋体" w:hAnsi="宋体" w:cs="Arial"/>
                <w:i/>
                <w:color w:val="000000" w:themeColor="text1"/>
                <w:szCs w:val="21"/>
                <w:u w:val="single"/>
                <w:shd w:val="clear" w:color="auto" w:fill="FFFFFF"/>
                <w14:textFill>
                  <w14:solidFill>
                    <w14:schemeClr w14:val="tx1"/>
                  </w14:solidFill>
                </w14:textFill>
              </w:rPr>
              <w:t>，</w:t>
            </w:r>
            <w:r>
              <w:rPr>
                <w:rFonts w:ascii="宋体" w:hAnsi="宋体" w:cs="Arial"/>
                <w:i/>
                <w:color w:val="000000" w:themeColor="text1"/>
                <w:szCs w:val="21"/>
                <w:u w:val="single"/>
                <w:shd w:val="clear" w:color="auto" w:fill="FFFFFF"/>
                <w14:textFill>
                  <w14:solidFill>
                    <w14:schemeClr w14:val="tx1"/>
                  </w14:solidFill>
                </w14:textFill>
              </w:rPr>
              <w:t>模组</w:t>
            </w:r>
            <w:r>
              <w:rPr>
                <w:rFonts w:hint="eastAsia" w:ascii="宋体" w:hAnsi="宋体" w:cs="Arial"/>
                <w:i/>
                <w:color w:val="000000" w:themeColor="text1"/>
                <w:szCs w:val="21"/>
                <w:u w:val="single"/>
                <w:shd w:val="clear" w:color="auto" w:fill="FFFFFF"/>
                <w14:textFill>
                  <w14:solidFill>
                    <w14:schemeClr w14:val="tx1"/>
                  </w14:solidFill>
                </w14:textFill>
              </w:rPr>
              <w:t>尺寸</w:t>
            </w:r>
            <w:r>
              <w:rPr>
                <w:rFonts w:ascii="宋体" w:hAnsi="宋体" w:cs="Arial"/>
                <w:i/>
                <w:color w:val="000000" w:themeColor="text1"/>
                <w:szCs w:val="21"/>
                <w:u w:val="single"/>
                <w:shd w:val="clear" w:color="auto" w:fill="FFFFFF"/>
                <w14:textFill>
                  <w14:solidFill>
                    <w14:schemeClr w14:val="tx1"/>
                  </w14:solidFill>
                </w14:textFill>
              </w:rPr>
              <w:t>160*160</w:t>
            </w:r>
            <w:r>
              <w:rPr>
                <w:rFonts w:hint="eastAsia" w:ascii="宋体" w:hAnsi="宋体" w:cs="宋体"/>
                <w:i/>
                <w:color w:val="000000" w:themeColor="text1"/>
                <w:szCs w:val="21"/>
                <w:u w:val="single"/>
                <w14:textFill>
                  <w14:solidFill>
                    <w14:schemeClr w14:val="tx1"/>
                  </w14:solidFill>
                </w14:textFill>
              </w:rPr>
              <w:t>……；</w:t>
            </w:r>
          </w:p>
          <w:p>
            <w:pPr>
              <w:spacing w:line="360" w:lineRule="auto"/>
              <w:jc w:val="left"/>
              <w:rPr>
                <w:rFonts w:ascii="宋体" w:hAnsi="宋体" w:cs="宋体"/>
                <w:i/>
                <w:color w:val="000000" w:themeColor="text1"/>
                <w:szCs w:val="21"/>
                <w:u w:val="single"/>
                <w14:textFill>
                  <w14:solidFill>
                    <w14:schemeClr w14:val="tx1"/>
                  </w14:solidFill>
                </w14:textFill>
              </w:rPr>
            </w:pPr>
            <w:r>
              <w:rPr>
                <w:rFonts w:hint="eastAsia" w:ascii="宋体" w:hAnsi="宋体" w:cs="Courier New"/>
                <w:i/>
                <w:color w:val="000000" w:themeColor="text1"/>
                <w:szCs w:val="21"/>
                <w:u w:val="single"/>
                <w14:textFill>
                  <w14:solidFill>
                    <w14:schemeClr w14:val="tx1"/>
                  </w14:solidFill>
                </w14:textFill>
              </w:rPr>
              <w:t>例2：</w:t>
            </w:r>
            <w:r>
              <w:rPr>
                <w:rFonts w:hint="eastAsia" w:ascii="宋体" w:hAnsi="宋体" w:cs="宋体"/>
                <w:i/>
                <w:color w:val="000000" w:themeColor="text1"/>
                <w:szCs w:val="21"/>
                <w:u w:val="single"/>
                <w14:textFill>
                  <w14:solidFill>
                    <w14:schemeClr w14:val="tx1"/>
                  </w14:solidFill>
                </w14:textFill>
              </w:rPr>
              <w:t>“详见投标文件第55页”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i/>
                <w:color w:val="000000" w:themeColor="text1"/>
                <w:u w:val="single"/>
                <w14:textFill>
                  <w14:solidFill>
                    <w14:schemeClr w14:val="tx1"/>
                  </w14:solidFill>
                </w14:textFill>
              </w:rPr>
            </w:pPr>
            <w:r>
              <w:rPr>
                <w:rFonts w:ascii="宋体" w:hAnsi="宋体"/>
                <w:i/>
                <w:color w:val="000000" w:themeColor="text1"/>
                <w:u w:val="single"/>
                <w14:textFill>
                  <w14:solidFill>
                    <w14:schemeClr w14:val="tx1"/>
                  </w14:solidFill>
                </w14:textFill>
              </w:rPr>
              <w:t>满足/不满足/</w:t>
            </w:r>
          </w:p>
          <w:p>
            <w:pPr>
              <w:spacing w:line="360" w:lineRule="auto"/>
              <w:jc w:val="center"/>
              <w:rPr>
                <w:rFonts w:ascii="宋体" w:hAnsi="宋体" w:cs="宋体"/>
                <w:i/>
                <w:color w:val="000000" w:themeColor="text1"/>
                <w:szCs w:val="21"/>
                <w:u w:val="single"/>
                <w14:textFill>
                  <w14:solidFill>
                    <w14:schemeClr w14:val="tx1"/>
                  </w14:solidFill>
                </w14:textFill>
              </w:rPr>
            </w:pPr>
            <w:r>
              <w:rPr>
                <w:rFonts w:ascii="宋体" w:hAnsi="宋体"/>
                <w:i/>
                <w:color w:val="000000" w:themeColor="text1"/>
                <w:u w:val="single"/>
                <w14:textFill>
                  <w14:solidFill>
                    <w14:schemeClr w14:val="tx1"/>
                  </w14:solidFill>
                </w14:textFill>
              </w:rPr>
              <w:t>部分满足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color w:val="000000" w:themeColor="text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i/>
                <w:color w:val="000000" w:themeColor="text1"/>
                <w:u w:val="single"/>
                <w14:textFill>
                  <w14:solidFill>
                    <w14:schemeClr w14:val="tx1"/>
                  </w14:solidFill>
                </w14:textFill>
              </w:rPr>
            </w:pPr>
            <w:r>
              <w:rPr>
                <w:rFonts w:hint="eastAsia" w:ascii="宋体" w:hAnsi="宋体"/>
                <w:i/>
                <w:color w:val="000000" w:themeColor="text1"/>
                <w:u w:val="single"/>
                <w14:textFill>
                  <w14:solidFill>
                    <w14:schemeClr w14:val="tx1"/>
                  </w14:solidFill>
                </w14:textFill>
              </w:rPr>
              <w:t>可另页详述（应答），</w:t>
            </w:r>
          </w:p>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i/>
                <w:color w:val="000000" w:themeColor="text1"/>
                <w:u w:val="single"/>
                <w14:textFill>
                  <w14:solidFill>
                    <w14:schemeClr w14:val="tx1"/>
                  </w14:solidFill>
                </w14:textFill>
              </w:rPr>
              <w:t>但须标注其所在页码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color w:val="000000" w:themeColor="text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color w:val="000000" w:themeColor="text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color w:val="000000" w:themeColor="text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color w:val="000000" w:themeColor="text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color w:val="000000" w:themeColor="text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color w:val="000000" w:themeColor="text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color w:val="000000" w:themeColor="text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i/>
                <w:color w:val="000000" w:themeColor="text1"/>
                <w:szCs w:val="21"/>
                <w:u w:val="single"/>
                <w14:textFill>
                  <w14:solidFill>
                    <w14:schemeClr w14:val="tx1"/>
                  </w14:solidFill>
                </w14:textFill>
              </w:rPr>
            </w:pPr>
            <w:r>
              <w:rPr>
                <w:rFonts w:hint="eastAsia" w:ascii="宋体" w:hAnsi="宋体"/>
                <w:i/>
                <w:color w:val="000000" w:themeColor="text1"/>
                <w:szCs w:val="21"/>
                <w:u w:val="single"/>
                <w14:textFill>
                  <w14:solidFill>
                    <w14:schemeClr w14:val="tx1"/>
                  </w14:solidFill>
                </w14:textFill>
              </w:rPr>
              <w:t>行数不够，可按本表格式自行添加</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74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我公司确认，除以上“偏离说明”栏中列明的偏差外，我公司无条件接受招标文件规定的所有</w:t>
            </w:r>
            <w:r>
              <w:rPr>
                <w:rFonts w:hint="eastAsia" w:ascii="宋体" w:hAnsi="宋体"/>
                <w:color w:val="000000" w:themeColor="text1"/>
                <w14:textFill>
                  <w14:solidFill>
                    <w14:schemeClr w14:val="tx1"/>
                  </w14:solidFill>
                </w14:textFill>
              </w:rPr>
              <w:t>技术要求（技术规格</w:t>
            </w:r>
            <w:r>
              <w:rPr>
                <w:rFonts w:hint="eastAsia" w:ascii="宋体" w:hAnsi="宋体"/>
                <w:color w:val="000000" w:themeColor="text1"/>
                <w:szCs w:val="21"/>
                <w14:textFill>
                  <w14:solidFill>
                    <w14:schemeClr w14:val="tx1"/>
                  </w14:solidFill>
                </w14:textFill>
              </w:rPr>
              <w:t>）等</w:t>
            </w:r>
            <w:r>
              <w:rPr>
                <w:rFonts w:ascii="宋体" w:hAnsi="宋体"/>
                <w:color w:val="000000" w:themeColor="text1"/>
                <w:szCs w:val="21"/>
                <w14:textFill>
                  <w14:solidFill>
                    <w14:schemeClr w14:val="tx1"/>
                  </w14:solidFill>
                </w14:textFill>
              </w:rPr>
              <w:t>。</w:t>
            </w:r>
          </w:p>
          <w:p>
            <w:pPr>
              <w:spacing w:line="360" w:lineRule="auto"/>
              <w:jc w:val="left"/>
              <w:rPr>
                <w:rFonts w:ascii="宋体" w:hAnsi="宋体"/>
                <w:b/>
                <w:color w:val="000000" w:themeColor="text1"/>
                <w:szCs w:val="21"/>
                <w:u w:val="single"/>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法定代表人或其委托</w:t>
            </w:r>
            <w:r>
              <w:rPr>
                <w:rFonts w:ascii="宋体" w:hAnsi="宋体"/>
                <w:b/>
                <w:color w:val="000000" w:themeColor="text1"/>
                <w:szCs w:val="21"/>
                <w:u w:val="single"/>
                <w14:textFill>
                  <w14:solidFill>
                    <w14:schemeClr w14:val="tx1"/>
                  </w14:solidFill>
                </w14:textFill>
              </w:rPr>
              <w:t>代理人</w:t>
            </w:r>
            <w:r>
              <w:rPr>
                <w:rFonts w:hint="eastAsia" w:ascii="宋体" w:hAnsi="宋体"/>
                <w:b/>
                <w:color w:val="000000" w:themeColor="text1"/>
                <w:szCs w:val="21"/>
                <w:u w:val="single"/>
                <w14:textFill>
                  <w14:solidFill>
                    <w14:schemeClr w14:val="tx1"/>
                  </w14:solidFill>
                </w14:textFill>
              </w:rPr>
              <w:t xml:space="preserve">（签字）：                  </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 xml:space="preserve">投标人(盖单位章)：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747"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p>
          <w:p>
            <w:pPr>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1.投标人需按</w:t>
            </w:r>
            <w:r>
              <w:rPr>
                <w:rFonts w:hint="eastAsia" w:ascii="宋体" w:hAnsi="宋体"/>
                <w:color w:val="000000" w:themeColor="text1"/>
                <w14:textFill>
                  <w14:solidFill>
                    <w14:schemeClr w14:val="tx1"/>
                  </w14:solidFill>
                </w14:textFill>
              </w:rPr>
              <w:t>招标</w:t>
            </w:r>
            <w:r>
              <w:rPr>
                <w:rFonts w:ascii="宋体" w:hAnsi="宋体"/>
                <w:color w:val="000000" w:themeColor="text1"/>
                <w14:textFill>
                  <w14:solidFill>
                    <w14:schemeClr w14:val="tx1"/>
                  </w14:solidFill>
                </w14:textFill>
              </w:rPr>
              <w:t>文件对</w:t>
            </w:r>
            <w:r>
              <w:rPr>
                <w:rFonts w:hint="eastAsia" w:ascii="宋体" w:hAnsi="宋体"/>
                <w:color w:val="000000" w:themeColor="text1"/>
                <w14:textFill>
                  <w14:solidFill>
                    <w14:schemeClr w14:val="tx1"/>
                  </w14:solidFill>
                </w14:textFill>
              </w:rPr>
              <w:t>技术要求（技术规格）</w:t>
            </w:r>
            <w:r>
              <w:rPr>
                <w:rFonts w:ascii="宋体" w:hAnsi="宋体"/>
                <w:color w:val="000000" w:themeColor="text1"/>
                <w14:textFill>
                  <w14:solidFill>
                    <w14:schemeClr w14:val="tx1"/>
                  </w14:solidFill>
                </w14:textFill>
              </w:rPr>
              <w:t>进行应答</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详细描述如何满足该需求</w:t>
            </w:r>
            <w:r>
              <w:rPr>
                <w:rFonts w:hint="eastAsia" w:ascii="宋体" w:hAnsi="宋体"/>
                <w:color w:val="000000" w:themeColor="text1"/>
                <w14:textFill>
                  <w14:solidFill>
                    <w14:schemeClr w14:val="tx1"/>
                  </w14:solidFill>
                </w14:textFill>
              </w:rPr>
              <w:t>）</w:t>
            </w:r>
            <w:r>
              <w:rPr>
                <w:rFonts w:hint="eastAsia" w:ascii="宋体" w:hAnsi="宋体"/>
                <w:b/>
                <w:color w:val="000000" w:themeColor="text1"/>
                <w14:textFill>
                  <w14:solidFill>
                    <w14:schemeClr w14:val="tx1"/>
                  </w14:solidFill>
                </w14:textFill>
              </w:rPr>
              <w:t>不得直接复制粘贴采购要求，否则将视同为未实质性响应</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如本表表格填写不便的，可以另页</w:t>
            </w:r>
            <w:r>
              <w:rPr>
                <w:rFonts w:ascii="宋体" w:hAnsi="宋体"/>
                <w:color w:val="000000" w:themeColor="text1"/>
                <w14:textFill>
                  <w14:solidFill>
                    <w14:schemeClr w14:val="tx1"/>
                  </w14:solidFill>
                </w14:textFill>
              </w:rPr>
              <w:t>详述</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应答</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，但必须给出确切的位置索引</w:t>
            </w:r>
            <w:r>
              <w:rPr>
                <w:rFonts w:hint="eastAsia" w:ascii="宋体" w:hAnsi="宋体"/>
                <w:color w:val="000000" w:themeColor="text1"/>
                <w14:textFill>
                  <w14:solidFill>
                    <w14:schemeClr w14:val="tx1"/>
                  </w14:solidFill>
                </w14:textFill>
              </w:rPr>
              <w:t>（标注具体内容的所在页码）</w:t>
            </w:r>
            <w:r>
              <w:rPr>
                <w:rFonts w:ascii="宋体" w:hAnsi="宋体"/>
                <w:color w:val="000000" w:themeColor="text1"/>
                <w14:textFill>
                  <w14:solidFill>
                    <w14:schemeClr w14:val="tx1"/>
                  </w14:solidFill>
                </w14:textFill>
              </w:rPr>
              <w:t>。</w:t>
            </w:r>
          </w:p>
          <w:p>
            <w:pPr>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用“满足/不满足/部分满足”响应来表明该需求是否被满足，不得使用“明白”、“理解”等词语。</w:t>
            </w:r>
            <w:r>
              <w:rPr>
                <w:rFonts w:hint="eastAsia" w:ascii="宋体" w:hAnsi="宋体"/>
                <w:color w:val="000000" w:themeColor="text1"/>
                <w14:textFill>
                  <w14:solidFill>
                    <w14:schemeClr w14:val="tx1"/>
                  </w14:solidFill>
                </w14:textFill>
              </w:rPr>
              <w:t>如</w:t>
            </w:r>
            <w:r>
              <w:rPr>
                <w:rFonts w:ascii="宋体" w:hAnsi="宋体"/>
                <w:color w:val="000000" w:themeColor="text1"/>
                <w14:textFill>
                  <w14:solidFill>
                    <w14:schemeClr w14:val="tx1"/>
                  </w14:solidFill>
                </w14:textFill>
              </w:rPr>
              <w:t>与</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需求之间有偏差时必须用“部分满足”响应来表明该需求未被完全满足的情况，并用确切的描述解释如何规避该偏差。</w:t>
            </w:r>
            <w:r>
              <w:rPr>
                <w:rFonts w:hint="eastAsia" w:ascii="宋体" w:hAnsi="宋体"/>
                <w:color w:val="000000" w:themeColor="text1"/>
                <w14:textFill>
                  <w14:solidFill>
                    <w14:schemeClr w14:val="tx1"/>
                  </w14:solidFill>
                </w14:textFill>
              </w:rPr>
              <w:t>如</w:t>
            </w:r>
            <w:r>
              <w:rPr>
                <w:rFonts w:ascii="宋体" w:hAnsi="宋体"/>
                <w:color w:val="000000" w:themeColor="text1"/>
                <w14:textFill>
                  <w14:solidFill>
                    <w14:schemeClr w14:val="tx1"/>
                  </w14:solidFill>
                </w14:textFill>
              </w:rPr>
              <w:t>不能实现</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需求时必须用“不满足”来响应。</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ascii="宋体" w:hAnsi="宋体"/>
                <w:color w:val="000000" w:themeColor="text1"/>
                <w:szCs w:val="21"/>
                <w14:textFill>
                  <w14:solidFill>
                    <w14:schemeClr w14:val="tx1"/>
                  </w14:solidFill>
                </w14:textFill>
              </w:rPr>
              <w:t>投标人可根据其投标内容进一步细化上述表格，并可增添其它表格或说明以便进一步明确投标内容。</w:t>
            </w:r>
          </w:p>
        </w:tc>
      </w:tr>
    </w:tbl>
    <w:p>
      <w:pPr>
        <w:pStyle w:val="12"/>
        <w:ind w:firstLine="0"/>
        <w:jc w:val="center"/>
        <w:outlineLvl w:val="1"/>
        <w:sectPr>
          <w:pgSz w:w="11906" w:h="16838"/>
          <w:pgMar w:top="1440" w:right="1080" w:bottom="1440" w:left="1080" w:header="851" w:footer="992" w:gutter="0"/>
          <w:cols w:space="720" w:num="1"/>
          <w:docGrid w:type="lines" w:linePitch="312" w:charSpace="0"/>
        </w:sectPr>
      </w:pPr>
      <w:bookmarkStart w:id="191" w:name="_Toc122338112"/>
      <w:r>
        <w:rPr>
          <w:rFonts w:hint="eastAsia"/>
          <w:b/>
          <w:sz w:val="28"/>
          <w:szCs w:val="28"/>
        </w:rPr>
        <w:t>八、技术规格（采购需求）偏离表</w:t>
      </w:r>
      <w:bookmarkEnd w:id="191"/>
    </w:p>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九、投标文件的其它内容</w:t>
      </w:r>
    </w:p>
    <w:p>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证明投标标的的合格性和符合招标文件规定的技术文件等</w:t>
      </w:r>
    </w:p>
    <w:p>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（包括但不限于:招标文件要求及投标人认为应当提供相关文件等）</w:t>
      </w:r>
    </w:p>
    <w:p>
      <w:pPr>
        <w:spacing w:line="360" w:lineRule="auto"/>
        <w:jc w:val="center"/>
        <w:outlineLvl w:val="1"/>
        <w:rPr>
          <w:rFonts w:asciiTheme="minorEastAsia" w:hAnsiTheme="minorEastAsia" w:eastAsiaTheme="minorEastAsia" w:cstheme="minorEastAsia"/>
          <w:b/>
          <w:spacing w:val="6"/>
          <w:szCs w:val="21"/>
        </w:rPr>
      </w:pPr>
      <w:r>
        <w:rPr>
          <w:rFonts w:hint="eastAsia" w:asciiTheme="minorEastAsia" w:hAnsiTheme="minorEastAsia" w:eastAsiaTheme="minorEastAsia" w:cstheme="minorEastAsia"/>
          <w:b/>
          <w:color w:val="000000"/>
          <w:spacing w:val="6"/>
          <w:szCs w:val="21"/>
        </w:rPr>
        <w:t>1.</w:t>
      </w:r>
      <w:r>
        <w:rPr>
          <w:rFonts w:hint="eastAsia" w:asciiTheme="minorEastAsia" w:hAnsiTheme="minorEastAsia" w:eastAsiaTheme="minorEastAsia" w:cstheme="minorEastAsia"/>
          <w:b/>
          <w:spacing w:val="6"/>
          <w:szCs w:val="21"/>
        </w:rPr>
        <w:t>《中小企业声明函》</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本公司（联合体）郑重声明,根据《政府采购促进中小企业发展管理办法》（财库﹝2020﹞46 号）的规定，本公司（联合体）参加</w:t>
      </w:r>
      <w:r>
        <w:rPr>
          <w:rFonts w:hint="eastAsia" w:asciiTheme="minorEastAsia" w:hAnsiTheme="minorEastAsia" w:eastAsiaTheme="minorEastAsia" w:cstheme="minorEastAsia"/>
          <w:i/>
          <w:kern w:val="0"/>
          <w:szCs w:val="21"/>
          <w:u w:val="single"/>
        </w:rPr>
        <w:t>（单位名称）</w:t>
      </w:r>
      <w:r>
        <w:rPr>
          <w:rFonts w:hint="eastAsia" w:asciiTheme="minorEastAsia" w:hAnsiTheme="minorEastAsia" w:eastAsiaTheme="minorEastAsia" w:cstheme="minorEastAsia"/>
          <w:kern w:val="0"/>
          <w:szCs w:val="21"/>
        </w:rPr>
        <w:t>的</w:t>
      </w:r>
      <w:r>
        <w:rPr>
          <w:rFonts w:hint="eastAsia" w:asciiTheme="minorEastAsia" w:hAnsiTheme="minorEastAsia" w:eastAsiaTheme="minorEastAsia" w:cstheme="minorEastAsia"/>
          <w:i/>
          <w:kern w:val="0"/>
          <w:szCs w:val="21"/>
          <w:u w:val="single"/>
        </w:rPr>
        <w:t>（项目名称）</w:t>
      </w:r>
      <w:r>
        <w:rPr>
          <w:rFonts w:hint="eastAsia" w:asciiTheme="minorEastAsia" w:hAnsiTheme="minorEastAsia" w:eastAsiaTheme="minorEastAsia" w:cstheme="minorEastAsia"/>
          <w:kern w:val="0"/>
          <w:szCs w:val="21"/>
        </w:rPr>
        <w:t>采购活动，提供的货物全部由符合政策要求的中小企业制造。相关企业（含联合体中的中小企业、签订分包意向协议的中小企业）的具体情况如下：</w:t>
      </w:r>
    </w:p>
    <w:p>
      <w:pPr>
        <w:autoSpaceDE w:val="0"/>
        <w:autoSpaceDN w:val="0"/>
        <w:adjustRightInd w:val="0"/>
        <w:spacing w:line="360" w:lineRule="auto"/>
        <w:ind w:firstLine="315" w:firstLineChars="15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 </w:t>
      </w:r>
      <w:r>
        <w:rPr>
          <w:rFonts w:hint="eastAsia" w:asciiTheme="minorEastAsia" w:hAnsiTheme="minorEastAsia" w:eastAsiaTheme="minorEastAsia" w:cstheme="minorEastAsia"/>
          <w:i/>
          <w:kern w:val="0"/>
          <w:szCs w:val="21"/>
          <w:u w:val="single"/>
        </w:rPr>
        <w:t xml:space="preserve">（标的名称） </w:t>
      </w:r>
      <w:r>
        <w:rPr>
          <w:rFonts w:hint="eastAsia" w:asciiTheme="minorEastAsia" w:hAnsiTheme="minorEastAsia" w:eastAsiaTheme="minorEastAsia" w:cstheme="minorEastAsia"/>
          <w:kern w:val="0"/>
          <w:szCs w:val="21"/>
        </w:rPr>
        <w:t>，属于</w:t>
      </w:r>
      <w:r>
        <w:rPr>
          <w:rFonts w:hint="eastAsia" w:asciiTheme="minorEastAsia" w:hAnsiTheme="minorEastAsia" w:eastAsiaTheme="minorEastAsia" w:cstheme="minorEastAsia"/>
          <w:i/>
          <w:kern w:val="0"/>
          <w:szCs w:val="21"/>
          <w:u w:val="single"/>
        </w:rPr>
        <w:t>（采购文件中明确的所属行业）</w:t>
      </w:r>
      <w:r>
        <w:rPr>
          <w:rFonts w:hint="eastAsia" w:asciiTheme="minorEastAsia" w:hAnsiTheme="minorEastAsia" w:eastAsiaTheme="minorEastAsia" w:cstheme="minorEastAsia"/>
          <w:kern w:val="0"/>
          <w:szCs w:val="21"/>
        </w:rPr>
        <w:t>行业；制造商为</w:t>
      </w:r>
      <w:r>
        <w:rPr>
          <w:rFonts w:hint="eastAsia" w:asciiTheme="minorEastAsia" w:hAnsiTheme="minorEastAsia" w:eastAsiaTheme="minorEastAsia" w:cstheme="minorEastAsia"/>
          <w:i/>
          <w:kern w:val="0"/>
          <w:szCs w:val="21"/>
          <w:u w:val="single"/>
        </w:rPr>
        <w:t>（企业名称）</w:t>
      </w:r>
      <w:r>
        <w:rPr>
          <w:rFonts w:hint="eastAsia" w:asciiTheme="minorEastAsia" w:hAnsiTheme="minorEastAsia" w:eastAsiaTheme="minorEastAsia" w:cstheme="minorEastAsia"/>
          <w:kern w:val="0"/>
          <w:szCs w:val="21"/>
        </w:rPr>
        <w:t>，从业人员</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人，营业收入为</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万元，资产总额为</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万元①，属于</w:t>
      </w:r>
      <w:r>
        <w:rPr>
          <w:rFonts w:hint="eastAsia" w:asciiTheme="minorEastAsia" w:hAnsiTheme="minorEastAsia" w:eastAsiaTheme="minorEastAsia" w:cstheme="minorEastAsia"/>
          <w:i/>
          <w:kern w:val="0"/>
          <w:szCs w:val="21"/>
          <w:u w:val="single"/>
        </w:rPr>
        <w:t>（中型企业、小型企业、微型企业）</w:t>
      </w:r>
      <w:r>
        <w:rPr>
          <w:rFonts w:hint="eastAsia" w:asciiTheme="minorEastAsia" w:hAnsiTheme="minorEastAsia" w:eastAsiaTheme="minorEastAsia" w:cstheme="minorEastAsia"/>
          <w:kern w:val="0"/>
          <w:szCs w:val="21"/>
        </w:rPr>
        <w:t>；</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2. </w:t>
      </w:r>
      <w:r>
        <w:rPr>
          <w:rFonts w:hint="eastAsia" w:asciiTheme="minorEastAsia" w:hAnsiTheme="minorEastAsia" w:eastAsiaTheme="minorEastAsia" w:cstheme="minorEastAsia"/>
          <w:i/>
          <w:kern w:val="0"/>
          <w:szCs w:val="21"/>
          <w:u w:val="single"/>
        </w:rPr>
        <w:t>（标的名称）</w:t>
      </w:r>
      <w:r>
        <w:rPr>
          <w:rFonts w:hint="eastAsia" w:asciiTheme="minorEastAsia" w:hAnsiTheme="minorEastAsia" w:eastAsiaTheme="minorEastAsia" w:cstheme="minorEastAsia"/>
          <w:kern w:val="0"/>
          <w:szCs w:val="21"/>
        </w:rPr>
        <w:t xml:space="preserve"> ，属于</w:t>
      </w:r>
      <w:r>
        <w:rPr>
          <w:rFonts w:hint="eastAsia" w:asciiTheme="minorEastAsia" w:hAnsiTheme="minorEastAsia" w:eastAsiaTheme="minorEastAsia" w:cstheme="minorEastAsia"/>
          <w:i/>
          <w:kern w:val="0"/>
          <w:szCs w:val="21"/>
          <w:u w:val="single"/>
        </w:rPr>
        <w:t>（采购文件中明确的所属行业）</w:t>
      </w:r>
      <w:r>
        <w:rPr>
          <w:rFonts w:hint="eastAsia" w:asciiTheme="minorEastAsia" w:hAnsiTheme="minorEastAsia" w:eastAsiaTheme="minorEastAsia" w:cstheme="minorEastAsia"/>
          <w:kern w:val="0"/>
          <w:szCs w:val="21"/>
        </w:rPr>
        <w:t>行业；制造商为</w:t>
      </w:r>
      <w:r>
        <w:rPr>
          <w:rFonts w:hint="eastAsia" w:asciiTheme="minorEastAsia" w:hAnsiTheme="minorEastAsia" w:eastAsiaTheme="minorEastAsia" w:cstheme="minorEastAsia"/>
          <w:i/>
          <w:kern w:val="0"/>
          <w:szCs w:val="21"/>
          <w:u w:val="single"/>
        </w:rPr>
        <w:t>（企业名称）</w:t>
      </w:r>
      <w:r>
        <w:rPr>
          <w:rFonts w:hint="eastAsia" w:asciiTheme="minorEastAsia" w:hAnsiTheme="minorEastAsia" w:eastAsiaTheme="minorEastAsia" w:cstheme="minorEastAsia"/>
          <w:kern w:val="0"/>
          <w:szCs w:val="21"/>
        </w:rPr>
        <w:t>，从业人员</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人，营业收入为</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万元，资产总额为</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万元①，属于</w:t>
      </w:r>
      <w:r>
        <w:rPr>
          <w:rFonts w:hint="eastAsia" w:asciiTheme="minorEastAsia" w:hAnsiTheme="minorEastAsia" w:eastAsiaTheme="minorEastAsia" w:cstheme="minorEastAsia"/>
          <w:i/>
          <w:kern w:val="0"/>
          <w:szCs w:val="21"/>
          <w:u w:val="single"/>
        </w:rPr>
        <w:t>（中型企业、小型企业、微型企业）</w:t>
      </w:r>
      <w:r>
        <w:rPr>
          <w:rFonts w:hint="eastAsia" w:asciiTheme="minorEastAsia" w:hAnsiTheme="minorEastAsia" w:eastAsiaTheme="minorEastAsia" w:cstheme="minorEastAsia"/>
          <w:kern w:val="0"/>
          <w:szCs w:val="21"/>
        </w:rPr>
        <w:t>；</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以上企业，不属于大企业的分支机构，不存在控股股东为大企业的情形，也不存在与大企业的负责人为同一人的情形。</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本企业对上述声明内容的真实性负责。如有虚假，将依法承担相应责任。</w:t>
      </w:r>
    </w:p>
    <w:p>
      <w:pPr>
        <w:autoSpaceDE w:val="0"/>
        <w:autoSpaceDN w:val="0"/>
        <w:adjustRightInd w:val="0"/>
        <w:spacing w:line="360" w:lineRule="auto"/>
        <w:ind w:firstLine="4329" w:firstLineChars="195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pacing w:val="6"/>
          <w:szCs w:val="21"/>
        </w:rPr>
        <w:t>企业名称（盖章）：</w:t>
      </w:r>
      <w:r>
        <w:rPr>
          <w:rFonts w:hint="eastAsia" w:asciiTheme="minorEastAsia" w:hAnsiTheme="minorEastAsia" w:eastAsiaTheme="minorEastAsia" w:cstheme="minorEastAsia"/>
          <w:szCs w:val="21"/>
          <w:u w:val="single"/>
        </w:rPr>
        <w:t xml:space="preserve">                </w:t>
      </w:r>
    </w:p>
    <w:p>
      <w:pPr>
        <w:autoSpaceDE w:val="0"/>
        <w:autoSpaceDN w:val="0"/>
        <w:adjustRightInd w:val="0"/>
        <w:spacing w:line="360" w:lineRule="auto"/>
        <w:ind w:firstLine="4305" w:firstLineChars="20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autoSpaceDE w:val="0"/>
        <w:autoSpaceDN w:val="0"/>
        <w:adjustRightIn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①从业人员、营业收入、资产总额填报上一年度数据，无上一年度数据的新成立企业可不填报</w:t>
      </w:r>
    </w:p>
    <w:p>
      <w:pPr>
        <w:pStyle w:val="9"/>
        <w:spacing w:line="360" w:lineRule="auto"/>
        <w:rPr>
          <w:rFonts w:asciiTheme="minorEastAsia" w:hAnsiTheme="minorEastAsia" w:eastAsiaTheme="minorEastAsia" w:cstheme="minorEastAsia"/>
          <w:sz w:val="21"/>
          <w:szCs w:val="21"/>
        </w:rPr>
      </w:pPr>
    </w:p>
    <w:p>
      <w:pPr>
        <w:keepNext/>
        <w:keepLines/>
        <w:spacing w:line="360" w:lineRule="auto"/>
        <w:jc w:val="center"/>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2.《残疾人福利性单位声明函》</w:t>
      </w:r>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本单位郑重声明，根据《财政部 民政部 中国残疾人联合会关于促进残疾人就业政府采购政策的通知》（财库</w:t>
      </w:r>
      <w:r>
        <w:rPr>
          <w:rFonts w:hint="eastAsia" w:asciiTheme="minorEastAsia" w:hAnsiTheme="minorEastAsia" w:eastAsiaTheme="minorEastAsia" w:cstheme="minorEastAsia"/>
          <w:szCs w:val="21"/>
        </w:rPr>
        <w:t>〔2017〕 141</w:t>
      </w:r>
      <w:r>
        <w:rPr>
          <w:rFonts w:hint="eastAsia" w:asciiTheme="minorEastAsia" w:hAnsiTheme="minorEastAsia" w:eastAsiaTheme="minorEastAsia" w:cstheme="minorEastAsia"/>
          <w:spacing w:val="6"/>
          <w:szCs w:val="21"/>
        </w:rPr>
        <w:t>号）的规定，本单位为符合条件的残疾人福利性单位。本单位参加</w:t>
      </w:r>
      <w:r>
        <w:rPr>
          <w:rFonts w:hint="eastAsia" w:asciiTheme="minorEastAsia" w:hAnsiTheme="minorEastAsia" w:eastAsiaTheme="minorEastAsia" w:cstheme="minorEastAsia"/>
          <w:szCs w:val="21"/>
        </w:rPr>
        <w:t>项目编号为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项目采购活动</w:t>
      </w:r>
      <w:r>
        <w:rPr>
          <w:rFonts w:hint="eastAsia" w:asciiTheme="minorEastAsia" w:hAnsiTheme="minorEastAsia" w:eastAsiaTheme="minorEastAsia" w:cstheme="minorEastAsia"/>
          <w:spacing w:val="6"/>
          <w:szCs w:val="21"/>
        </w:rPr>
        <w:t>提供本单位制造的货物（由本单位承担工程、提供服务），或提供其他残疾人福利性单位制造的货物。</w:t>
      </w:r>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本单位对上述声明的真实性负责。如有虚假，将依法承担相应责任。</w:t>
      </w:r>
    </w:p>
    <w:p>
      <w:pPr>
        <w:snapToGrid w:val="0"/>
        <w:spacing w:line="360" w:lineRule="auto"/>
        <w:ind w:firstLine="4200" w:firstLineChars="20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单位（公章）：</w:t>
      </w:r>
      <w:r>
        <w:rPr>
          <w:rFonts w:hint="eastAsia" w:asciiTheme="minorEastAsia" w:hAnsiTheme="minorEastAsia" w:eastAsiaTheme="minorEastAsia" w:cstheme="minorEastAsia"/>
          <w:szCs w:val="21"/>
          <w:u w:val="single"/>
        </w:rPr>
        <w:t xml:space="preserve">                </w:t>
      </w:r>
    </w:p>
    <w:p>
      <w:pPr>
        <w:snapToGrid w:val="0"/>
        <w:spacing w:line="360" w:lineRule="auto"/>
        <w:ind w:firstLine="4200" w:firstLineChars="2000"/>
        <w:rPr>
          <w:rFonts w:asciiTheme="minorEastAsia" w:hAnsiTheme="minorEastAsia" w:eastAsiaTheme="minorEastAsia" w:cstheme="minorEastAsia"/>
          <w:b/>
          <w:bCs/>
          <w:szCs w:val="21"/>
          <w:u w:val="single"/>
        </w:rPr>
      </w:pPr>
      <w:r>
        <w:rPr>
          <w:rFonts w:hint="eastAsia" w:asciiTheme="minorEastAsia" w:hAnsiTheme="minorEastAsia" w:eastAsiaTheme="minorEastAsia" w:cstheme="minorEastAsia"/>
          <w:szCs w:val="21"/>
        </w:rPr>
        <w:t>日期：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12" w:lineRule="auto"/>
        <w:rPr>
          <w:rFonts w:asciiTheme="minorEastAsia" w:hAnsiTheme="minorEastAsia" w:eastAsiaTheme="minorEastAsia" w:cstheme="minorEastAsia"/>
          <w:b/>
          <w:bCs/>
          <w:szCs w:val="21"/>
          <w:u w:val="single"/>
        </w:rPr>
      </w:pPr>
    </w:p>
    <w:p>
      <w:pPr>
        <w:spacing w:line="312" w:lineRule="auto"/>
        <w:jc w:val="center"/>
        <w:rPr>
          <w:rFonts w:asciiTheme="minorEastAsia" w:hAnsiTheme="minorEastAsia" w:eastAsiaTheme="minorEastAsia" w:cstheme="minorEastAsia"/>
          <w:b/>
          <w:bCs/>
          <w:szCs w:val="21"/>
          <w:u w:val="single"/>
        </w:rPr>
      </w:pPr>
    </w:p>
    <w:p>
      <w:pPr>
        <w:spacing w:line="312" w:lineRule="auto"/>
        <w:jc w:val="center"/>
        <w:rPr>
          <w:rFonts w:ascii="宋体" w:hAnsi="宋体"/>
          <w:color w:val="000000"/>
        </w:rPr>
      </w:pPr>
      <w:r>
        <w:rPr>
          <w:rFonts w:hint="eastAsia" w:asciiTheme="minorEastAsia" w:hAnsiTheme="minorEastAsia" w:eastAsiaTheme="minorEastAsia" w:cstheme="minorEastAsia"/>
          <w:b/>
          <w:bCs/>
          <w:szCs w:val="21"/>
          <w:u w:val="single"/>
        </w:rPr>
        <w:t>感谢您对携手阳光公司的支持，欢迎您向我们提出宝贵建议。</w:t>
      </w:r>
    </w:p>
    <w:p>
      <w:pPr>
        <w:rPr>
          <w:color w:val="000000"/>
        </w:rPr>
      </w:pPr>
    </w:p>
    <w:sectPr>
      <w:pgSz w:w="11906" w:h="16838"/>
      <w:pgMar w:top="1077" w:right="1077" w:bottom="119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黑简体">
    <w:altName w:val="宋体"/>
    <w:panose1 w:val="00000000000000000000"/>
    <w:charset w:val="86"/>
    <w:family w:val="auto"/>
    <w:pitch w:val="default"/>
    <w:sig w:usb0="00000000" w:usb1="00000000" w:usb2="00000010" w:usb3="00000000" w:csb0="00040000" w:csb1="00000000"/>
  </w:font>
  <w:font w:name="汉仪粗黑简">
    <w:altName w:val="宋体"/>
    <w:panose1 w:val="00000000000000000000"/>
    <w:charset w:val="86"/>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6" w:firstLineChars="150"/>
      <w:jc w:val="center"/>
      <w:rPr>
        <w:rFonts w:ascii="宋体" w:hAnsi="宋体"/>
        <w:b/>
        <w:color w:val="FF0000"/>
        <w:szCs w:val="21"/>
      </w:rPr>
    </w:pPr>
    <w:r>
      <w:rPr>
        <w:rFonts w:hint="eastAsia" w:ascii="宋体" w:hAnsi="宋体"/>
        <w:b/>
        <w:szCs w:val="21"/>
      </w:rPr>
      <w:t>盐城市携手阳光集中采购代理有限公司</w:t>
    </w:r>
    <w:r>
      <w:rPr>
        <w:rFonts w:hint="eastAsia"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w:instrText>
    </w:r>
    <w:r>
      <w:rPr>
        <w:rFonts w:ascii="宋体" w:hAnsi="宋体"/>
        <w:b/>
        <w:color w:val="000000"/>
        <w:szCs w:val="21"/>
      </w:rPr>
      <w:fldChar w:fldCharType="separate"/>
    </w:r>
    <w:r>
      <w:rPr>
        <w:rFonts w:ascii="宋体" w:hAnsi="宋体"/>
        <w:b/>
        <w:color w:val="000000"/>
        <w:szCs w:val="21"/>
      </w:rPr>
      <w:t>3</w:t>
    </w:r>
    <w:r>
      <w:rPr>
        <w:rFonts w:ascii="宋体" w:hAnsi="宋体"/>
        <w:b/>
        <w:color w:val="000000"/>
        <w:szCs w:val="21"/>
      </w:rPr>
      <w:fldChar w:fldCharType="end"/>
    </w:r>
    <w:r>
      <w:rPr>
        <w:rFonts w:hint="eastAsia" w:ascii="宋体" w:hAnsi="宋体"/>
        <w:b/>
        <w:color w:val="00000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Cs w:val="21"/>
        <w:u w:val="single"/>
      </w:rPr>
    </w:pPr>
    <w:r>
      <w:rPr>
        <w:rFonts w:hint="eastAsia"/>
        <w:szCs w:val="21"/>
        <w:u w:val="single"/>
      </w:rPr>
      <w:t>术业有专攻、政采有阳光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F6829"/>
    <w:multiLevelType w:val="singleLevel"/>
    <w:tmpl w:val="B67F6829"/>
    <w:lvl w:ilvl="0" w:tentative="0">
      <w:start w:val="1"/>
      <w:numFmt w:val="chineseCounting"/>
      <w:suff w:val="space"/>
      <w:lvlText w:val="第%1项"/>
      <w:lvlJc w:val="left"/>
      <w:rPr>
        <w:rFonts w:hint="eastAsia"/>
      </w:rPr>
    </w:lvl>
  </w:abstractNum>
  <w:abstractNum w:abstractNumId="1">
    <w:nsid w:val="0019DEE3"/>
    <w:multiLevelType w:val="singleLevel"/>
    <w:tmpl w:val="0019DEE3"/>
    <w:lvl w:ilvl="0" w:tentative="0">
      <w:start w:val="1"/>
      <w:numFmt w:val="chineseCounting"/>
      <w:suff w:val="space"/>
      <w:lvlText w:val="第%1章"/>
      <w:lvlJc w:val="left"/>
      <w:rPr>
        <w:rFonts w:hint="eastAsia"/>
      </w:rPr>
    </w:lvl>
  </w:abstractNum>
  <w:abstractNum w:abstractNumId="2">
    <w:nsid w:val="2CAE8B67"/>
    <w:multiLevelType w:val="singleLevel"/>
    <w:tmpl w:val="2CAE8B67"/>
    <w:lvl w:ilvl="0" w:tentative="0">
      <w:start w:val="5"/>
      <w:numFmt w:val="chineseCounting"/>
      <w:suff w:val="nothing"/>
      <w:lvlText w:val="%1、"/>
      <w:lvlJc w:val="left"/>
      <w:rPr>
        <w:rFonts w:hint="eastAsia"/>
      </w:rPr>
    </w:lvl>
  </w:abstractNum>
  <w:abstractNum w:abstractNumId="3">
    <w:nsid w:val="6A6DE7F2"/>
    <w:multiLevelType w:val="singleLevel"/>
    <w:tmpl w:val="6A6DE7F2"/>
    <w:lvl w:ilvl="0" w:tentative="0">
      <w:start w:val="2"/>
      <w:numFmt w:val="chineseCounting"/>
      <w:suff w:val="nothing"/>
      <w:lvlText w:val="%1、"/>
      <w:lvlJc w:val="left"/>
      <w:rPr>
        <w:rFonts w:hint="eastAsia"/>
      </w:rPr>
    </w:lvl>
  </w:abstractNum>
  <w:abstractNum w:abstractNumId="4">
    <w:nsid w:val="79B6B2B5"/>
    <w:multiLevelType w:val="singleLevel"/>
    <w:tmpl w:val="79B6B2B5"/>
    <w:lvl w:ilvl="0" w:tentative="0">
      <w:start w:val="2"/>
      <w:numFmt w:val="decimal"/>
      <w:lvlText w:val="%1."/>
      <w:lvlJc w:val="left"/>
      <w:pPr>
        <w:tabs>
          <w:tab w:val="left" w:pos="312"/>
        </w:tabs>
      </w:pPr>
    </w:lvl>
  </w:abstractNum>
  <w:abstractNum w:abstractNumId="5">
    <w:nsid w:val="7BCB5BB5"/>
    <w:multiLevelType w:val="multilevel"/>
    <w:tmpl w:val="7BCB5BB5"/>
    <w:lvl w:ilvl="0" w:tentative="0">
      <w:start w:val="1"/>
      <w:numFmt w:val="japaneseCounting"/>
      <w:lvlText w:val="%1、"/>
      <w:lvlJc w:val="left"/>
      <w:pPr>
        <w:ind w:left="977" w:hanging="49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Y2Y5YTYwZjJhZjQxNWNlYmI3ZjJmMzI3ZjUxNjEifQ=="/>
  </w:docVars>
  <w:rsids>
    <w:rsidRoot w:val="362A1B67"/>
    <w:rsid w:val="000016F8"/>
    <w:rsid w:val="00001C8E"/>
    <w:rsid w:val="00023AE2"/>
    <w:rsid w:val="000275B9"/>
    <w:rsid w:val="000316B8"/>
    <w:rsid w:val="00034000"/>
    <w:rsid w:val="00036B07"/>
    <w:rsid w:val="00046A2D"/>
    <w:rsid w:val="00071B8E"/>
    <w:rsid w:val="00081B72"/>
    <w:rsid w:val="00082625"/>
    <w:rsid w:val="000851B2"/>
    <w:rsid w:val="00085646"/>
    <w:rsid w:val="00091652"/>
    <w:rsid w:val="000A2297"/>
    <w:rsid w:val="000D0124"/>
    <w:rsid w:val="000D2FD1"/>
    <w:rsid w:val="000D31A9"/>
    <w:rsid w:val="000D51E0"/>
    <w:rsid w:val="000F1064"/>
    <w:rsid w:val="000F19FC"/>
    <w:rsid w:val="00116683"/>
    <w:rsid w:val="001467EC"/>
    <w:rsid w:val="00154AAC"/>
    <w:rsid w:val="00173803"/>
    <w:rsid w:val="001756B4"/>
    <w:rsid w:val="00184034"/>
    <w:rsid w:val="001A69B1"/>
    <w:rsid w:val="001C0E56"/>
    <w:rsid w:val="001E500B"/>
    <w:rsid w:val="001F31CE"/>
    <w:rsid w:val="001F64AD"/>
    <w:rsid w:val="001F720C"/>
    <w:rsid w:val="0020613E"/>
    <w:rsid w:val="00224128"/>
    <w:rsid w:val="002269D4"/>
    <w:rsid w:val="00234A27"/>
    <w:rsid w:val="00246233"/>
    <w:rsid w:val="00247964"/>
    <w:rsid w:val="00274234"/>
    <w:rsid w:val="002852DA"/>
    <w:rsid w:val="00285E01"/>
    <w:rsid w:val="002951E1"/>
    <w:rsid w:val="002A05CA"/>
    <w:rsid w:val="002A377A"/>
    <w:rsid w:val="002A3AD8"/>
    <w:rsid w:val="002A3F4A"/>
    <w:rsid w:val="002B41DE"/>
    <w:rsid w:val="002C2589"/>
    <w:rsid w:val="002D3B43"/>
    <w:rsid w:val="002D499D"/>
    <w:rsid w:val="002E39CB"/>
    <w:rsid w:val="002E66A7"/>
    <w:rsid w:val="002F4571"/>
    <w:rsid w:val="003002D2"/>
    <w:rsid w:val="00311CCD"/>
    <w:rsid w:val="00312AE1"/>
    <w:rsid w:val="00327376"/>
    <w:rsid w:val="003357D8"/>
    <w:rsid w:val="00341ED6"/>
    <w:rsid w:val="0034696A"/>
    <w:rsid w:val="003535F8"/>
    <w:rsid w:val="003550AC"/>
    <w:rsid w:val="003563FD"/>
    <w:rsid w:val="00396429"/>
    <w:rsid w:val="00396DEE"/>
    <w:rsid w:val="003A2FD2"/>
    <w:rsid w:val="003A51C4"/>
    <w:rsid w:val="003B022D"/>
    <w:rsid w:val="003D670D"/>
    <w:rsid w:val="003D7E60"/>
    <w:rsid w:val="003E36A4"/>
    <w:rsid w:val="003F2C20"/>
    <w:rsid w:val="0040150C"/>
    <w:rsid w:val="0040274E"/>
    <w:rsid w:val="004110F2"/>
    <w:rsid w:val="00423C6D"/>
    <w:rsid w:val="004266DA"/>
    <w:rsid w:val="00427431"/>
    <w:rsid w:val="004313ED"/>
    <w:rsid w:val="00435474"/>
    <w:rsid w:val="00440672"/>
    <w:rsid w:val="0045397C"/>
    <w:rsid w:val="00460AB1"/>
    <w:rsid w:val="004616BE"/>
    <w:rsid w:val="00465099"/>
    <w:rsid w:val="00473F8D"/>
    <w:rsid w:val="00493900"/>
    <w:rsid w:val="004B60F9"/>
    <w:rsid w:val="004B6EBB"/>
    <w:rsid w:val="004C5A40"/>
    <w:rsid w:val="004C7B41"/>
    <w:rsid w:val="004E616D"/>
    <w:rsid w:val="004F3F79"/>
    <w:rsid w:val="004F69A5"/>
    <w:rsid w:val="00503431"/>
    <w:rsid w:val="0051278D"/>
    <w:rsid w:val="00530752"/>
    <w:rsid w:val="00541A85"/>
    <w:rsid w:val="0054217F"/>
    <w:rsid w:val="00542988"/>
    <w:rsid w:val="005433AB"/>
    <w:rsid w:val="00545461"/>
    <w:rsid w:val="00546EDC"/>
    <w:rsid w:val="00555137"/>
    <w:rsid w:val="00567379"/>
    <w:rsid w:val="00574BA8"/>
    <w:rsid w:val="00586ACD"/>
    <w:rsid w:val="005A77F1"/>
    <w:rsid w:val="005B0EC8"/>
    <w:rsid w:val="005C779F"/>
    <w:rsid w:val="005E7397"/>
    <w:rsid w:val="005F25FC"/>
    <w:rsid w:val="0061633E"/>
    <w:rsid w:val="00616591"/>
    <w:rsid w:val="006208A0"/>
    <w:rsid w:val="006259B3"/>
    <w:rsid w:val="006432CA"/>
    <w:rsid w:val="006475C4"/>
    <w:rsid w:val="00647D65"/>
    <w:rsid w:val="0065388E"/>
    <w:rsid w:val="006540DA"/>
    <w:rsid w:val="00654AFE"/>
    <w:rsid w:val="006718B2"/>
    <w:rsid w:val="00675CC3"/>
    <w:rsid w:val="006768C1"/>
    <w:rsid w:val="00694131"/>
    <w:rsid w:val="006A1B37"/>
    <w:rsid w:val="006A73E4"/>
    <w:rsid w:val="006A7A8F"/>
    <w:rsid w:val="006C72BC"/>
    <w:rsid w:val="006D58EC"/>
    <w:rsid w:val="006D6351"/>
    <w:rsid w:val="006E10CB"/>
    <w:rsid w:val="006E56E0"/>
    <w:rsid w:val="006F0A27"/>
    <w:rsid w:val="00701372"/>
    <w:rsid w:val="00705FF9"/>
    <w:rsid w:val="00712758"/>
    <w:rsid w:val="0072221F"/>
    <w:rsid w:val="00735312"/>
    <w:rsid w:val="00752306"/>
    <w:rsid w:val="00754D1B"/>
    <w:rsid w:val="0076073D"/>
    <w:rsid w:val="007616BC"/>
    <w:rsid w:val="00761733"/>
    <w:rsid w:val="007720C1"/>
    <w:rsid w:val="0077332A"/>
    <w:rsid w:val="00775CD2"/>
    <w:rsid w:val="00776058"/>
    <w:rsid w:val="007770DD"/>
    <w:rsid w:val="00780493"/>
    <w:rsid w:val="00784788"/>
    <w:rsid w:val="00790537"/>
    <w:rsid w:val="007959C2"/>
    <w:rsid w:val="007A07A7"/>
    <w:rsid w:val="007A2FE6"/>
    <w:rsid w:val="007D116B"/>
    <w:rsid w:val="007D3802"/>
    <w:rsid w:val="007D75C3"/>
    <w:rsid w:val="007E4B02"/>
    <w:rsid w:val="007E5501"/>
    <w:rsid w:val="007E790B"/>
    <w:rsid w:val="007F0401"/>
    <w:rsid w:val="007F7916"/>
    <w:rsid w:val="0080783C"/>
    <w:rsid w:val="00807E4E"/>
    <w:rsid w:val="00811B26"/>
    <w:rsid w:val="008156D0"/>
    <w:rsid w:val="00817BC0"/>
    <w:rsid w:val="00831D9A"/>
    <w:rsid w:val="008368D9"/>
    <w:rsid w:val="00845B0D"/>
    <w:rsid w:val="00856FAF"/>
    <w:rsid w:val="00863463"/>
    <w:rsid w:val="00881355"/>
    <w:rsid w:val="00890EE5"/>
    <w:rsid w:val="008911D9"/>
    <w:rsid w:val="00895E46"/>
    <w:rsid w:val="008967CE"/>
    <w:rsid w:val="008A1149"/>
    <w:rsid w:val="008A13B1"/>
    <w:rsid w:val="008D5CB7"/>
    <w:rsid w:val="008E1482"/>
    <w:rsid w:val="008E1D7B"/>
    <w:rsid w:val="008E30FB"/>
    <w:rsid w:val="008F0B95"/>
    <w:rsid w:val="008F7CB4"/>
    <w:rsid w:val="00906222"/>
    <w:rsid w:val="009070D7"/>
    <w:rsid w:val="00914C32"/>
    <w:rsid w:val="00925CA5"/>
    <w:rsid w:val="00934E88"/>
    <w:rsid w:val="00940AA8"/>
    <w:rsid w:val="00940C7D"/>
    <w:rsid w:val="00942D36"/>
    <w:rsid w:val="00952109"/>
    <w:rsid w:val="00957081"/>
    <w:rsid w:val="00970147"/>
    <w:rsid w:val="009777FB"/>
    <w:rsid w:val="0098087D"/>
    <w:rsid w:val="009C7CD4"/>
    <w:rsid w:val="009D16B6"/>
    <w:rsid w:val="009D226B"/>
    <w:rsid w:val="009D7531"/>
    <w:rsid w:val="009E0EBD"/>
    <w:rsid w:val="009E54DF"/>
    <w:rsid w:val="009E60FA"/>
    <w:rsid w:val="00A028AE"/>
    <w:rsid w:val="00A33257"/>
    <w:rsid w:val="00A45F9D"/>
    <w:rsid w:val="00A566D5"/>
    <w:rsid w:val="00A603D0"/>
    <w:rsid w:val="00A645CB"/>
    <w:rsid w:val="00A67F48"/>
    <w:rsid w:val="00A70915"/>
    <w:rsid w:val="00A81A6E"/>
    <w:rsid w:val="00A84C4D"/>
    <w:rsid w:val="00A914AD"/>
    <w:rsid w:val="00AA1A86"/>
    <w:rsid w:val="00AA2EF4"/>
    <w:rsid w:val="00AA7D21"/>
    <w:rsid w:val="00AD309C"/>
    <w:rsid w:val="00AD7CF5"/>
    <w:rsid w:val="00AE4605"/>
    <w:rsid w:val="00AF6A22"/>
    <w:rsid w:val="00B1375E"/>
    <w:rsid w:val="00B21298"/>
    <w:rsid w:val="00B2195F"/>
    <w:rsid w:val="00B36A4F"/>
    <w:rsid w:val="00B655B7"/>
    <w:rsid w:val="00B7130A"/>
    <w:rsid w:val="00B80BC0"/>
    <w:rsid w:val="00B84AA7"/>
    <w:rsid w:val="00BA1C5D"/>
    <w:rsid w:val="00BA2A2B"/>
    <w:rsid w:val="00BB2EE9"/>
    <w:rsid w:val="00BB43FE"/>
    <w:rsid w:val="00BC23E8"/>
    <w:rsid w:val="00BC2B21"/>
    <w:rsid w:val="00BE3458"/>
    <w:rsid w:val="00BF6C3A"/>
    <w:rsid w:val="00BF7932"/>
    <w:rsid w:val="00C027DF"/>
    <w:rsid w:val="00C03A49"/>
    <w:rsid w:val="00C15F71"/>
    <w:rsid w:val="00C22B0E"/>
    <w:rsid w:val="00C536EE"/>
    <w:rsid w:val="00C54602"/>
    <w:rsid w:val="00C55603"/>
    <w:rsid w:val="00C579A4"/>
    <w:rsid w:val="00C613FB"/>
    <w:rsid w:val="00C64C19"/>
    <w:rsid w:val="00C667DC"/>
    <w:rsid w:val="00C71DDA"/>
    <w:rsid w:val="00C763AC"/>
    <w:rsid w:val="00C94652"/>
    <w:rsid w:val="00C9625E"/>
    <w:rsid w:val="00CA1F46"/>
    <w:rsid w:val="00CA5DEE"/>
    <w:rsid w:val="00CC57D5"/>
    <w:rsid w:val="00CD4CF7"/>
    <w:rsid w:val="00CF6C8C"/>
    <w:rsid w:val="00D02170"/>
    <w:rsid w:val="00D02320"/>
    <w:rsid w:val="00D02FD2"/>
    <w:rsid w:val="00D032A1"/>
    <w:rsid w:val="00D15007"/>
    <w:rsid w:val="00D169E3"/>
    <w:rsid w:val="00D22DDA"/>
    <w:rsid w:val="00D31AD7"/>
    <w:rsid w:val="00D415E4"/>
    <w:rsid w:val="00D46AA8"/>
    <w:rsid w:val="00D5688F"/>
    <w:rsid w:val="00D56F13"/>
    <w:rsid w:val="00D62393"/>
    <w:rsid w:val="00D71EB5"/>
    <w:rsid w:val="00D7446B"/>
    <w:rsid w:val="00D75EE6"/>
    <w:rsid w:val="00D81569"/>
    <w:rsid w:val="00DA1A24"/>
    <w:rsid w:val="00DA2629"/>
    <w:rsid w:val="00DA33D5"/>
    <w:rsid w:val="00DA787D"/>
    <w:rsid w:val="00DB74EE"/>
    <w:rsid w:val="00DD1A8A"/>
    <w:rsid w:val="00DD4BCB"/>
    <w:rsid w:val="00DF2CF7"/>
    <w:rsid w:val="00E02E27"/>
    <w:rsid w:val="00E02EFD"/>
    <w:rsid w:val="00E15216"/>
    <w:rsid w:val="00E17E64"/>
    <w:rsid w:val="00E231A7"/>
    <w:rsid w:val="00E308CC"/>
    <w:rsid w:val="00E31848"/>
    <w:rsid w:val="00E322FB"/>
    <w:rsid w:val="00E32886"/>
    <w:rsid w:val="00E36D03"/>
    <w:rsid w:val="00E37F75"/>
    <w:rsid w:val="00E425DE"/>
    <w:rsid w:val="00E55E42"/>
    <w:rsid w:val="00E63694"/>
    <w:rsid w:val="00E67CC9"/>
    <w:rsid w:val="00E67E8E"/>
    <w:rsid w:val="00E72C5D"/>
    <w:rsid w:val="00E81CD8"/>
    <w:rsid w:val="00E82ECF"/>
    <w:rsid w:val="00E83862"/>
    <w:rsid w:val="00E8449F"/>
    <w:rsid w:val="00E93FBB"/>
    <w:rsid w:val="00EA2F2F"/>
    <w:rsid w:val="00EB00E5"/>
    <w:rsid w:val="00EB0679"/>
    <w:rsid w:val="00EB4F05"/>
    <w:rsid w:val="00EB5FF9"/>
    <w:rsid w:val="00EC0008"/>
    <w:rsid w:val="00EC40FB"/>
    <w:rsid w:val="00EC4C50"/>
    <w:rsid w:val="00EE276B"/>
    <w:rsid w:val="00EE47F7"/>
    <w:rsid w:val="00EF3F0B"/>
    <w:rsid w:val="00F014CC"/>
    <w:rsid w:val="00F146D4"/>
    <w:rsid w:val="00F17454"/>
    <w:rsid w:val="00F174AF"/>
    <w:rsid w:val="00F21AAB"/>
    <w:rsid w:val="00F22FF2"/>
    <w:rsid w:val="00F27856"/>
    <w:rsid w:val="00F36BA7"/>
    <w:rsid w:val="00F47C77"/>
    <w:rsid w:val="00F53038"/>
    <w:rsid w:val="00F530CC"/>
    <w:rsid w:val="00F61750"/>
    <w:rsid w:val="00F63BB1"/>
    <w:rsid w:val="00F64770"/>
    <w:rsid w:val="00F71289"/>
    <w:rsid w:val="00F7210C"/>
    <w:rsid w:val="00F738A0"/>
    <w:rsid w:val="00F74729"/>
    <w:rsid w:val="00F771DD"/>
    <w:rsid w:val="00F8158C"/>
    <w:rsid w:val="00F84266"/>
    <w:rsid w:val="00F913D4"/>
    <w:rsid w:val="00F93CB4"/>
    <w:rsid w:val="00F973C7"/>
    <w:rsid w:val="00FA0028"/>
    <w:rsid w:val="00FA3D79"/>
    <w:rsid w:val="00FB2763"/>
    <w:rsid w:val="00FB7B0A"/>
    <w:rsid w:val="00FC0D61"/>
    <w:rsid w:val="00FD2CBB"/>
    <w:rsid w:val="00FE1D87"/>
    <w:rsid w:val="00FF6605"/>
    <w:rsid w:val="01227B80"/>
    <w:rsid w:val="01255120"/>
    <w:rsid w:val="016A347B"/>
    <w:rsid w:val="01A85D51"/>
    <w:rsid w:val="01B110AA"/>
    <w:rsid w:val="01F36FCC"/>
    <w:rsid w:val="01FB40D3"/>
    <w:rsid w:val="021D32BA"/>
    <w:rsid w:val="022278B2"/>
    <w:rsid w:val="025A704C"/>
    <w:rsid w:val="027D0F8C"/>
    <w:rsid w:val="027F4D04"/>
    <w:rsid w:val="02837B03"/>
    <w:rsid w:val="02883D22"/>
    <w:rsid w:val="02B94E08"/>
    <w:rsid w:val="02EE1086"/>
    <w:rsid w:val="02FB6CDA"/>
    <w:rsid w:val="03057289"/>
    <w:rsid w:val="03F079D9"/>
    <w:rsid w:val="03FB660C"/>
    <w:rsid w:val="041B280B"/>
    <w:rsid w:val="04394CEA"/>
    <w:rsid w:val="044262F7"/>
    <w:rsid w:val="044E1D39"/>
    <w:rsid w:val="04610B65"/>
    <w:rsid w:val="049674C3"/>
    <w:rsid w:val="04B8274F"/>
    <w:rsid w:val="04C335CE"/>
    <w:rsid w:val="050C04DA"/>
    <w:rsid w:val="052676B9"/>
    <w:rsid w:val="05300538"/>
    <w:rsid w:val="053E4A03"/>
    <w:rsid w:val="054933A7"/>
    <w:rsid w:val="05583236"/>
    <w:rsid w:val="05753047"/>
    <w:rsid w:val="059C656F"/>
    <w:rsid w:val="059F029C"/>
    <w:rsid w:val="05A76A4C"/>
    <w:rsid w:val="05DF2F6E"/>
    <w:rsid w:val="05EC3CFE"/>
    <w:rsid w:val="066B5CCB"/>
    <w:rsid w:val="068E5516"/>
    <w:rsid w:val="06A66D03"/>
    <w:rsid w:val="06CE0008"/>
    <w:rsid w:val="06D43123"/>
    <w:rsid w:val="06D66EBD"/>
    <w:rsid w:val="06F21F49"/>
    <w:rsid w:val="070C4535"/>
    <w:rsid w:val="073E518E"/>
    <w:rsid w:val="077D2FDF"/>
    <w:rsid w:val="07832BA1"/>
    <w:rsid w:val="079B25E0"/>
    <w:rsid w:val="07BC2556"/>
    <w:rsid w:val="07C40E9D"/>
    <w:rsid w:val="07C82F2A"/>
    <w:rsid w:val="07D77390"/>
    <w:rsid w:val="07E163D5"/>
    <w:rsid w:val="07F46FEF"/>
    <w:rsid w:val="08070A00"/>
    <w:rsid w:val="08386081"/>
    <w:rsid w:val="084B0776"/>
    <w:rsid w:val="086724C2"/>
    <w:rsid w:val="08AD3BAB"/>
    <w:rsid w:val="08B64722"/>
    <w:rsid w:val="08CA0902"/>
    <w:rsid w:val="08CF4683"/>
    <w:rsid w:val="08D262A8"/>
    <w:rsid w:val="093D2F14"/>
    <w:rsid w:val="094D16B8"/>
    <w:rsid w:val="0962481E"/>
    <w:rsid w:val="097D7E05"/>
    <w:rsid w:val="097E3AE5"/>
    <w:rsid w:val="0994055C"/>
    <w:rsid w:val="0995137D"/>
    <w:rsid w:val="09CF2342"/>
    <w:rsid w:val="09D52268"/>
    <w:rsid w:val="09DE4A06"/>
    <w:rsid w:val="09E6794E"/>
    <w:rsid w:val="09FE4D70"/>
    <w:rsid w:val="0A595E3B"/>
    <w:rsid w:val="0A5B632D"/>
    <w:rsid w:val="0A79472F"/>
    <w:rsid w:val="0A825C26"/>
    <w:rsid w:val="0AA03A6A"/>
    <w:rsid w:val="0AC27AB4"/>
    <w:rsid w:val="0B0A43BB"/>
    <w:rsid w:val="0B1E3309"/>
    <w:rsid w:val="0B2428ED"/>
    <w:rsid w:val="0B3F6E6A"/>
    <w:rsid w:val="0B6161A3"/>
    <w:rsid w:val="0B776EC0"/>
    <w:rsid w:val="0BA31874"/>
    <w:rsid w:val="0BA37EB0"/>
    <w:rsid w:val="0C236700"/>
    <w:rsid w:val="0C291044"/>
    <w:rsid w:val="0C2A7A8F"/>
    <w:rsid w:val="0C2C7CAB"/>
    <w:rsid w:val="0C3C259B"/>
    <w:rsid w:val="0C403DDB"/>
    <w:rsid w:val="0C41302A"/>
    <w:rsid w:val="0C4F1BEB"/>
    <w:rsid w:val="0C782EF0"/>
    <w:rsid w:val="0C7D0506"/>
    <w:rsid w:val="0CFA226C"/>
    <w:rsid w:val="0D1129FD"/>
    <w:rsid w:val="0D183D8B"/>
    <w:rsid w:val="0D2070E4"/>
    <w:rsid w:val="0D3F57BC"/>
    <w:rsid w:val="0D4C1C87"/>
    <w:rsid w:val="0D5D44B5"/>
    <w:rsid w:val="0D774F56"/>
    <w:rsid w:val="0D9A669A"/>
    <w:rsid w:val="0D9D0734"/>
    <w:rsid w:val="0DC95E8B"/>
    <w:rsid w:val="0DE66142"/>
    <w:rsid w:val="0DE7680D"/>
    <w:rsid w:val="0DEB5944"/>
    <w:rsid w:val="0E010E09"/>
    <w:rsid w:val="0E39045D"/>
    <w:rsid w:val="0E62296F"/>
    <w:rsid w:val="0E71409B"/>
    <w:rsid w:val="0E843A2A"/>
    <w:rsid w:val="0ED20405"/>
    <w:rsid w:val="0EDA2FEF"/>
    <w:rsid w:val="0F15222C"/>
    <w:rsid w:val="0F18046C"/>
    <w:rsid w:val="0F475A3E"/>
    <w:rsid w:val="0F5B4403"/>
    <w:rsid w:val="0F7D306C"/>
    <w:rsid w:val="0F882BE7"/>
    <w:rsid w:val="0F8B1A2C"/>
    <w:rsid w:val="0FAE09D7"/>
    <w:rsid w:val="0FB57FB7"/>
    <w:rsid w:val="0FC65D20"/>
    <w:rsid w:val="0FD04DF1"/>
    <w:rsid w:val="103233B6"/>
    <w:rsid w:val="104A6951"/>
    <w:rsid w:val="10AF4A06"/>
    <w:rsid w:val="10B326BA"/>
    <w:rsid w:val="10C167E4"/>
    <w:rsid w:val="10C763EA"/>
    <w:rsid w:val="10FD1C16"/>
    <w:rsid w:val="11164A85"/>
    <w:rsid w:val="111D5E14"/>
    <w:rsid w:val="11271AB8"/>
    <w:rsid w:val="1141166B"/>
    <w:rsid w:val="11984976"/>
    <w:rsid w:val="11A46535"/>
    <w:rsid w:val="11AC0F46"/>
    <w:rsid w:val="11CA48D8"/>
    <w:rsid w:val="11D706B9"/>
    <w:rsid w:val="11FB0426"/>
    <w:rsid w:val="12107727"/>
    <w:rsid w:val="12117DB8"/>
    <w:rsid w:val="121C02BE"/>
    <w:rsid w:val="121C431D"/>
    <w:rsid w:val="12282E23"/>
    <w:rsid w:val="12687563"/>
    <w:rsid w:val="12754004"/>
    <w:rsid w:val="128B2877"/>
    <w:rsid w:val="12975631"/>
    <w:rsid w:val="1299771C"/>
    <w:rsid w:val="12C16C73"/>
    <w:rsid w:val="12D06EB6"/>
    <w:rsid w:val="13294F44"/>
    <w:rsid w:val="13456351"/>
    <w:rsid w:val="1347361C"/>
    <w:rsid w:val="13710699"/>
    <w:rsid w:val="137B5074"/>
    <w:rsid w:val="13A445CA"/>
    <w:rsid w:val="13B56864"/>
    <w:rsid w:val="13F3192F"/>
    <w:rsid w:val="140F5871"/>
    <w:rsid w:val="144A5C2E"/>
    <w:rsid w:val="144B713C"/>
    <w:rsid w:val="1466786F"/>
    <w:rsid w:val="14724AB6"/>
    <w:rsid w:val="14810A3E"/>
    <w:rsid w:val="149F41D0"/>
    <w:rsid w:val="14C55CE2"/>
    <w:rsid w:val="14CA0061"/>
    <w:rsid w:val="15211C4B"/>
    <w:rsid w:val="15324B8E"/>
    <w:rsid w:val="157D650A"/>
    <w:rsid w:val="15866F2A"/>
    <w:rsid w:val="15A9411A"/>
    <w:rsid w:val="160A4F1B"/>
    <w:rsid w:val="16341CFD"/>
    <w:rsid w:val="16361726"/>
    <w:rsid w:val="16393D39"/>
    <w:rsid w:val="167744DB"/>
    <w:rsid w:val="1683496B"/>
    <w:rsid w:val="16886814"/>
    <w:rsid w:val="169B185C"/>
    <w:rsid w:val="16C84A74"/>
    <w:rsid w:val="16D27BE2"/>
    <w:rsid w:val="16E01DBD"/>
    <w:rsid w:val="171B0984"/>
    <w:rsid w:val="17261D73"/>
    <w:rsid w:val="174F7450"/>
    <w:rsid w:val="175F3493"/>
    <w:rsid w:val="17AF1790"/>
    <w:rsid w:val="17F35B20"/>
    <w:rsid w:val="1812425C"/>
    <w:rsid w:val="181B72DB"/>
    <w:rsid w:val="184019AC"/>
    <w:rsid w:val="186662F2"/>
    <w:rsid w:val="18C106AC"/>
    <w:rsid w:val="18CE20EA"/>
    <w:rsid w:val="18CE7660"/>
    <w:rsid w:val="18F712F7"/>
    <w:rsid w:val="190E0811"/>
    <w:rsid w:val="1926420A"/>
    <w:rsid w:val="19287A4C"/>
    <w:rsid w:val="19422C35"/>
    <w:rsid w:val="19486114"/>
    <w:rsid w:val="19624DCB"/>
    <w:rsid w:val="19636CD6"/>
    <w:rsid w:val="196A2073"/>
    <w:rsid w:val="197A603E"/>
    <w:rsid w:val="19AC7DD1"/>
    <w:rsid w:val="19B25567"/>
    <w:rsid w:val="19FD67E3"/>
    <w:rsid w:val="1A02204B"/>
    <w:rsid w:val="1A07140F"/>
    <w:rsid w:val="1A154DA1"/>
    <w:rsid w:val="1A2056A9"/>
    <w:rsid w:val="1A367D04"/>
    <w:rsid w:val="1A3A7A37"/>
    <w:rsid w:val="1A4C59BC"/>
    <w:rsid w:val="1A9A04D5"/>
    <w:rsid w:val="1AAB623F"/>
    <w:rsid w:val="1B157B5C"/>
    <w:rsid w:val="1B2349D2"/>
    <w:rsid w:val="1B326960"/>
    <w:rsid w:val="1B373F76"/>
    <w:rsid w:val="1B7C2C5F"/>
    <w:rsid w:val="1B8076CB"/>
    <w:rsid w:val="1BA55384"/>
    <w:rsid w:val="1BF355C7"/>
    <w:rsid w:val="1C0E117B"/>
    <w:rsid w:val="1C2D7127"/>
    <w:rsid w:val="1C784846"/>
    <w:rsid w:val="1C7C14FF"/>
    <w:rsid w:val="1C821221"/>
    <w:rsid w:val="1C881132"/>
    <w:rsid w:val="1CAB4C1C"/>
    <w:rsid w:val="1CB11952"/>
    <w:rsid w:val="1CE019F6"/>
    <w:rsid w:val="1D2F75FB"/>
    <w:rsid w:val="1D506B65"/>
    <w:rsid w:val="1D550375"/>
    <w:rsid w:val="1D570900"/>
    <w:rsid w:val="1D61352C"/>
    <w:rsid w:val="1D6A233A"/>
    <w:rsid w:val="1D780A1E"/>
    <w:rsid w:val="1D8D4321"/>
    <w:rsid w:val="1D976F4E"/>
    <w:rsid w:val="1DA43419"/>
    <w:rsid w:val="1DAD6772"/>
    <w:rsid w:val="1DCA1E79"/>
    <w:rsid w:val="1DCB2DDC"/>
    <w:rsid w:val="1DE33CD0"/>
    <w:rsid w:val="1DFE701D"/>
    <w:rsid w:val="1E14059F"/>
    <w:rsid w:val="1E1B192D"/>
    <w:rsid w:val="1E205195"/>
    <w:rsid w:val="1E313FB3"/>
    <w:rsid w:val="1E5B7F7C"/>
    <w:rsid w:val="1E6F6EC6"/>
    <w:rsid w:val="1E8066E5"/>
    <w:rsid w:val="1E94348E"/>
    <w:rsid w:val="1EDE6ADB"/>
    <w:rsid w:val="1EF64B18"/>
    <w:rsid w:val="1F1162C7"/>
    <w:rsid w:val="1F157FEC"/>
    <w:rsid w:val="1F244811"/>
    <w:rsid w:val="1F3543D1"/>
    <w:rsid w:val="1F386FFD"/>
    <w:rsid w:val="1F3A481C"/>
    <w:rsid w:val="1F552C1D"/>
    <w:rsid w:val="1F58358F"/>
    <w:rsid w:val="1F852AAF"/>
    <w:rsid w:val="1FDF698A"/>
    <w:rsid w:val="1FE33510"/>
    <w:rsid w:val="2000702C"/>
    <w:rsid w:val="20317AB3"/>
    <w:rsid w:val="20362A4E"/>
    <w:rsid w:val="206A094A"/>
    <w:rsid w:val="20BF0710"/>
    <w:rsid w:val="20CE2C87"/>
    <w:rsid w:val="20DD55C0"/>
    <w:rsid w:val="2149055F"/>
    <w:rsid w:val="214C004F"/>
    <w:rsid w:val="215C0EAE"/>
    <w:rsid w:val="21670C2F"/>
    <w:rsid w:val="2178128D"/>
    <w:rsid w:val="21823A71"/>
    <w:rsid w:val="21F36C22"/>
    <w:rsid w:val="222114DC"/>
    <w:rsid w:val="22456F79"/>
    <w:rsid w:val="224C4B12"/>
    <w:rsid w:val="224D3AFB"/>
    <w:rsid w:val="227B299A"/>
    <w:rsid w:val="22921111"/>
    <w:rsid w:val="22934188"/>
    <w:rsid w:val="22A46395"/>
    <w:rsid w:val="22B32A8D"/>
    <w:rsid w:val="22B8599C"/>
    <w:rsid w:val="22C6199A"/>
    <w:rsid w:val="22C92FCC"/>
    <w:rsid w:val="22CC31F6"/>
    <w:rsid w:val="22D30A28"/>
    <w:rsid w:val="22F97D63"/>
    <w:rsid w:val="234C277D"/>
    <w:rsid w:val="238E2BA1"/>
    <w:rsid w:val="2393640A"/>
    <w:rsid w:val="23A71402"/>
    <w:rsid w:val="23AE66CF"/>
    <w:rsid w:val="23C10881"/>
    <w:rsid w:val="23FA0237"/>
    <w:rsid w:val="24084702"/>
    <w:rsid w:val="24305BD0"/>
    <w:rsid w:val="246456B0"/>
    <w:rsid w:val="2466617A"/>
    <w:rsid w:val="247022A7"/>
    <w:rsid w:val="249C309C"/>
    <w:rsid w:val="249F101D"/>
    <w:rsid w:val="24A95308"/>
    <w:rsid w:val="24B569ED"/>
    <w:rsid w:val="24B672B1"/>
    <w:rsid w:val="24C83E91"/>
    <w:rsid w:val="24E862E1"/>
    <w:rsid w:val="252A7D7C"/>
    <w:rsid w:val="253C1F85"/>
    <w:rsid w:val="254479BB"/>
    <w:rsid w:val="2556149D"/>
    <w:rsid w:val="25725092"/>
    <w:rsid w:val="25764776"/>
    <w:rsid w:val="257A620F"/>
    <w:rsid w:val="25D564AB"/>
    <w:rsid w:val="25E20F82"/>
    <w:rsid w:val="25E47AF0"/>
    <w:rsid w:val="25E71733"/>
    <w:rsid w:val="26040EF9"/>
    <w:rsid w:val="262449BF"/>
    <w:rsid w:val="2634595C"/>
    <w:rsid w:val="26346C43"/>
    <w:rsid w:val="2669103C"/>
    <w:rsid w:val="26763BCF"/>
    <w:rsid w:val="26812549"/>
    <w:rsid w:val="269F0C21"/>
    <w:rsid w:val="26CB02AF"/>
    <w:rsid w:val="27007912"/>
    <w:rsid w:val="270A69E3"/>
    <w:rsid w:val="27165388"/>
    <w:rsid w:val="271F3D3B"/>
    <w:rsid w:val="272730F1"/>
    <w:rsid w:val="27C3373D"/>
    <w:rsid w:val="27DD5EA5"/>
    <w:rsid w:val="27E64D5A"/>
    <w:rsid w:val="2828082C"/>
    <w:rsid w:val="28724840"/>
    <w:rsid w:val="28727A72"/>
    <w:rsid w:val="28901037"/>
    <w:rsid w:val="2895359B"/>
    <w:rsid w:val="289651BD"/>
    <w:rsid w:val="28AA5A71"/>
    <w:rsid w:val="28B577B6"/>
    <w:rsid w:val="28D81409"/>
    <w:rsid w:val="28E051EA"/>
    <w:rsid w:val="28F107FE"/>
    <w:rsid w:val="2907142C"/>
    <w:rsid w:val="295959FF"/>
    <w:rsid w:val="297F5EFD"/>
    <w:rsid w:val="29802F8C"/>
    <w:rsid w:val="29916F47"/>
    <w:rsid w:val="29955A56"/>
    <w:rsid w:val="29A50C45"/>
    <w:rsid w:val="29BD1AEA"/>
    <w:rsid w:val="29C55868"/>
    <w:rsid w:val="2A043BBD"/>
    <w:rsid w:val="2A047719"/>
    <w:rsid w:val="2A0E0598"/>
    <w:rsid w:val="2A44045E"/>
    <w:rsid w:val="2A486993"/>
    <w:rsid w:val="2A581A3A"/>
    <w:rsid w:val="2A5F4D16"/>
    <w:rsid w:val="2A720D72"/>
    <w:rsid w:val="2A9071FF"/>
    <w:rsid w:val="2A9133E6"/>
    <w:rsid w:val="2AAB5086"/>
    <w:rsid w:val="2AC80521"/>
    <w:rsid w:val="2AC8468D"/>
    <w:rsid w:val="2ACB70F6"/>
    <w:rsid w:val="2AD215C5"/>
    <w:rsid w:val="2AD43590"/>
    <w:rsid w:val="2AEE7399"/>
    <w:rsid w:val="2AF21C68"/>
    <w:rsid w:val="2B00796F"/>
    <w:rsid w:val="2B031B1F"/>
    <w:rsid w:val="2B03342D"/>
    <w:rsid w:val="2B585F6F"/>
    <w:rsid w:val="2B591CE7"/>
    <w:rsid w:val="2B772B27"/>
    <w:rsid w:val="2B8723B0"/>
    <w:rsid w:val="2B8C5BD2"/>
    <w:rsid w:val="2BB72C49"/>
    <w:rsid w:val="2BC2163A"/>
    <w:rsid w:val="2BC270C8"/>
    <w:rsid w:val="2BE041B6"/>
    <w:rsid w:val="2BED3D2E"/>
    <w:rsid w:val="2BEE68D3"/>
    <w:rsid w:val="2C22032B"/>
    <w:rsid w:val="2C324A12"/>
    <w:rsid w:val="2C5B55EB"/>
    <w:rsid w:val="2C773DF0"/>
    <w:rsid w:val="2C7C3EDF"/>
    <w:rsid w:val="2C86549C"/>
    <w:rsid w:val="2CA647B0"/>
    <w:rsid w:val="2CAD6FBD"/>
    <w:rsid w:val="2CCB6C14"/>
    <w:rsid w:val="2CEA52EC"/>
    <w:rsid w:val="2D12214D"/>
    <w:rsid w:val="2D2D342B"/>
    <w:rsid w:val="2D4C1B03"/>
    <w:rsid w:val="2D517B74"/>
    <w:rsid w:val="2D614E83"/>
    <w:rsid w:val="2D68635B"/>
    <w:rsid w:val="2D7E3C87"/>
    <w:rsid w:val="2E0F48DF"/>
    <w:rsid w:val="2E2465DC"/>
    <w:rsid w:val="2E355A57"/>
    <w:rsid w:val="2E3F3416"/>
    <w:rsid w:val="2E4166E3"/>
    <w:rsid w:val="2E6C3ADF"/>
    <w:rsid w:val="2E7A61FC"/>
    <w:rsid w:val="2E7C01C6"/>
    <w:rsid w:val="2E867E03"/>
    <w:rsid w:val="2E890E4A"/>
    <w:rsid w:val="2E9C43C4"/>
    <w:rsid w:val="2EB84F76"/>
    <w:rsid w:val="2ED246EE"/>
    <w:rsid w:val="2EDA313F"/>
    <w:rsid w:val="2F300FB0"/>
    <w:rsid w:val="2F3C7955"/>
    <w:rsid w:val="2F634EE2"/>
    <w:rsid w:val="2F8B61E7"/>
    <w:rsid w:val="2FDE4077"/>
    <w:rsid w:val="2FED0C50"/>
    <w:rsid w:val="2FF81ACE"/>
    <w:rsid w:val="2FFF0FB6"/>
    <w:rsid w:val="30032221"/>
    <w:rsid w:val="300466C5"/>
    <w:rsid w:val="300E150D"/>
    <w:rsid w:val="300E30A0"/>
    <w:rsid w:val="30110DE2"/>
    <w:rsid w:val="30180806"/>
    <w:rsid w:val="3034062C"/>
    <w:rsid w:val="303E5501"/>
    <w:rsid w:val="305B02AF"/>
    <w:rsid w:val="306F163B"/>
    <w:rsid w:val="30E107B4"/>
    <w:rsid w:val="31175F84"/>
    <w:rsid w:val="31556AAC"/>
    <w:rsid w:val="315A2315"/>
    <w:rsid w:val="31704801"/>
    <w:rsid w:val="31790FDA"/>
    <w:rsid w:val="31807FCD"/>
    <w:rsid w:val="319D3AE7"/>
    <w:rsid w:val="31AF440F"/>
    <w:rsid w:val="31B400AF"/>
    <w:rsid w:val="31B8508B"/>
    <w:rsid w:val="31BA4166"/>
    <w:rsid w:val="31CD0D39"/>
    <w:rsid w:val="31D67BED"/>
    <w:rsid w:val="31E130B4"/>
    <w:rsid w:val="31FE0EF2"/>
    <w:rsid w:val="32425283"/>
    <w:rsid w:val="32666042"/>
    <w:rsid w:val="326E42CA"/>
    <w:rsid w:val="32773D06"/>
    <w:rsid w:val="327D275F"/>
    <w:rsid w:val="328A1DE5"/>
    <w:rsid w:val="32B10AC5"/>
    <w:rsid w:val="32E14A9C"/>
    <w:rsid w:val="32E225C2"/>
    <w:rsid w:val="330C5891"/>
    <w:rsid w:val="33311883"/>
    <w:rsid w:val="334119DE"/>
    <w:rsid w:val="33477DBB"/>
    <w:rsid w:val="33712D71"/>
    <w:rsid w:val="33801D40"/>
    <w:rsid w:val="338F3C47"/>
    <w:rsid w:val="33A71511"/>
    <w:rsid w:val="33AF4B9A"/>
    <w:rsid w:val="33F829BD"/>
    <w:rsid w:val="34480949"/>
    <w:rsid w:val="344A041F"/>
    <w:rsid w:val="3456735A"/>
    <w:rsid w:val="34884182"/>
    <w:rsid w:val="34930017"/>
    <w:rsid w:val="34E24A8D"/>
    <w:rsid w:val="35026026"/>
    <w:rsid w:val="350667E1"/>
    <w:rsid w:val="35241A74"/>
    <w:rsid w:val="35335357"/>
    <w:rsid w:val="353C06AF"/>
    <w:rsid w:val="355F7EFA"/>
    <w:rsid w:val="35753BC1"/>
    <w:rsid w:val="35971C6B"/>
    <w:rsid w:val="35B20971"/>
    <w:rsid w:val="35E1035F"/>
    <w:rsid w:val="35F7332A"/>
    <w:rsid w:val="35F965A0"/>
    <w:rsid w:val="35FC7E3E"/>
    <w:rsid w:val="361E7DB5"/>
    <w:rsid w:val="362A1B67"/>
    <w:rsid w:val="364C4922"/>
    <w:rsid w:val="36B6623F"/>
    <w:rsid w:val="36C175C6"/>
    <w:rsid w:val="371600E9"/>
    <w:rsid w:val="372B50A7"/>
    <w:rsid w:val="3736112E"/>
    <w:rsid w:val="373C4996"/>
    <w:rsid w:val="37A10C9D"/>
    <w:rsid w:val="37F039D3"/>
    <w:rsid w:val="380B55F3"/>
    <w:rsid w:val="38251764"/>
    <w:rsid w:val="382A45EF"/>
    <w:rsid w:val="388F4F9A"/>
    <w:rsid w:val="38991974"/>
    <w:rsid w:val="38A65E3F"/>
    <w:rsid w:val="38BE22E2"/>
    <w:rsid w:val="38D15CEB"/>
    <w:rsid w:val="39065067"/>
    <w:rsid w:val="39104A4D"/>
    <w:rsid w:val="3914724D"/>
    <w:rsid w:val="39251DC5"/>
    <w:rsid w:val="39424D13"/>
    <w:rsid w:val="395B4E7C"/>
    <w:rsid w:val="397F6DBC"/>
    <w:rsid w:val="39992A13"/>
    <w:rsid w:val="39D4668B"/>
    <w:rsid w:val="39D52E79"/>
    <w:rsid w:val="3A485400"/>
    <w:rsid w:val="3A4A561C"/>
    <w:rsid w:val="3A5913BB"/>
    <w:rsid w:val="3A601248"/>
    <w:rsid w:val="3A762824"/>
    <w:rsid w:val="3A95616C"/>
    <w:rsid w:val="3AAB01D6"/>
    <w:rsid w:val="3AF31810"/>
    <w:rsid w:val="3AF923D7"/>
    <w:rsid w:val="3AFD55BB"/>
    <w:rsid w:val="3B023801"/>
    <w:rsid w:val="3B084C2D"/>
    <w:rsid w:val="3B163750"/>
    <w:rsid w:val="3B20012B"/>
    <w:rsid w:val="3B467602"/>
    <w:rsid w:val="3B4F1D9F"/>
    <w:rsid w:val="3B6348DA"/>
    <w:rsid w:val="3BBA7C64"/>
    <w:rsid w:val="3BC13445"/>
    <w:rsid w:val="3BD72EE0"/>
    <w:rsid w:val="3BDC6748"/>
    <w:rsid w:val="3C26407C"/>
    <w:rsid w:val="3C395948"/>
    <w:rsid w:val="3C3F2833"/>
    <w:rsid w:val="3C7076A7"/>
    <w:rsid w:val="3C942B7F"/>
    <w:rsid w:val="3CD76F0F"/>
    <w:rsid w:val="3D000214"/>
    <w:rsid w:val="3D2A3D1E"/>
    <w:rsid w:val="3D485717"/>
    <w:rsid w:val="3D624A2B"/>
    <w:rsid w:val="3D7117EB"/>
    <w:rsid w:val="3DF00DF6"/>
    <w:rsid w:val="3DF243FA"/>
    <w:rsid w:val="3E032ABD"/>
    <w:rsid w:val="3E1A6821"/>
    <w:rsid w:val="3E2B7513"/>
    <w:rsid w:val="3E3D2DA2"/>
    <w:rsid w:val="3E5F0F6A"/>
    <w:rsid w:val="3E642A25"/>
    <w:rsid w:val="3E6A0E6E"/>
    <w:rsid w:val="3EB007A8"/>
    <w:rsid w:val="3EEB275F"/>
    <w:rsid w:val="3EFC2A5E"/>
    <w:rsid w:val="3F125FDD"/>
    <w:rsid w:val="3F3C78B5"/>
    <w:rsid w:val="3F582DB4"/>
    <w:rsid w:val="3F591E5E"/>
    <w:rsid w:val="3F5C79A7"/>
    <w:rsid w:val="3F7D5B4C"/>
    <w:rsid w:val="3FA255B3"/>
    <w:rsid w:val="3FC574F3"/>
    <w:rsid w:val="3FCE63A8"/>
    <w:rsid w:val="3FFE510E"/>
    <w:rsid w:val="4010515C"/>
    <w:rsid w:val="401907F3"/>
    <w:rsid w:val="401E25EE"/>
    <w:rsid w:val="40416B7A"/>
    <w:rsid w:val="40503261"/>
    <w:rsid w:val="408D1DBF"/>
    <w:rsid w:val="4093153B"/>
    <w:rsid w:val="40970E8F"/>
    <w:rsid w:val="40B90E06"/>
    <w:rsid w:val="410B7187"/>
    <w:rsid w:val="414A5F02"/>
    <w:rsid w:val="41514029"/>
    <w:rsid w:val="41931657"/>
    <w:rsid w:val="41953E7B"/>
    <w:rsid w:val="4197500C"/>
    <w:rsid w:val="41DD3D70"/>
    <w:rsid w:val="41EF4A6B"/>
    <w:rsid w:val="420460B1"/>
    <w:rsid w:val="421B4715"/>
    <w:rsid w:val="42201E72"/>
    <w:rsid w:val="42332E3A"/>
    <w:rsid w:val="423E777F"/>
    <w:rsid w:val="42925DB2"/>
    <w:rsid w:val="42985594"/>
    <w:rsid w:val="42D82A41"/>
    <w:rsid w:val="42F02AD9"/>
    <w:rsid w:val="42FA5706"/>
    <w:rsid w:val="43317379"/>
    <w:rsid w:val="436C6603"/>
    <w:rsid w:val="43B4601F"/>
    <w:rsid w:val="43C755E8"/>
    <w:rsid w:val="43E97E7C"/>
    <w:rsid w:val="44242A3A"/>
    <w:rsid w:val="443133A9"/>
    <w:rsid w:val="44406DAA"/>
    <w:rsid w:val="44DB21F3"/>
    <w:rsid w:val="450F36EA"/>
    <w:rsid w:val="45123BD8"/>
    <w:rsid w:val="45207905"/>
    <w:rsid w:val="453E5BDD"/>
    <w:rsid w:val="453F2418"/>
    <w:rsid w:val="4581664C"/>
    <w:rsid w:val="45837C34"/>
    <w:rsid w:val="458C7E36"/>
    <w:rsid w:val="459D4C65"/>
    <w:rsid w:val="45C344D5"/>
    <w:rsid w:val="460D0F18"/>
    <w:rsid w:val="462F0DEF"/>
    <w:rsid w:val="467852BF"/>
    <w:rsid w:val="469F0A9E"/>
    <w:rsid w:val="46A56BA1"/>
    <w:rsid w:val="47002980"/>
    <w:rsid w:val="471274C2"/>
    <w:rsid w:val="47143CE0"/>
    <w:rsid w:val="47262F6D"/>
    <w:rsid w:val="47552BAB"/>
    <w:rsid w:val="47642841"/>
    <w:rsid w:val="476D1B91"/>
    <w:rsid w:val="478F28C0"/>
    <w:rsid w:val="47941C85"/>
    <w:rsid w:val="47B40579"/>
    <w:rsid w:val="47CD2511"/>
    <w:rsid w:val="47DB3D58"/>
    <w:rsid w:val="48020765"/>
    <w:rsid w:val="48914416"/>
    <w:rsid w:val="48E36096"/>
    <w:rsid w:val="48E9432B"/>
    <w:rsid w:val="490177EE"/>
    <w:rsid w:val="49170DBF"/>
    <w:rsid w:val="493642ED"/>
    <w:rsid w:val="49463453"/>
    <w:rsid w:val="494E2307"/>
    <w:rsid w:val="49564E45"/>
    <w:rsid w:val="49746212"/>
    <w:rsid w:val="49940662"/>
    <w:rsid w:val="49BE123B"/>
    <w:rsid w:val="49F654D9"/>
    <w:rsid w:val="4A1B1292"/>
    <w:rsid w:val="4A5A33C8"/>
    <w:rsid w:val="4AAA5C63"/>
    <w:rsid w:val="4AB03279"/>
    <w:rsid w:val="4AB417BD"/>
    <w:rsid w:val="4AB70C02"/>
    <w:rsid w:val="4ABA7631"/>
    <w:rsid w:val="4ADD4937"/>
    <w:rsid w:val="4AEC627C"/>
    <w:rsid w:val="4B045373"/>
    <w:rsid w:val="4B1E616B"/>
    <w:rsid w:val="4B241572"/>
    <w:rsid w:val="4B38501D"/>
    <w:rsid w:val="4B3E2818"/>
    <w:rsid w:val="4B5D7EA8"/>
    <w:rsid w:val="4B7A193D"/>
    <w:rsid w:val="4B7C23F1"/>
    <w:rsid w:val="4B976928"/>
    <w:rsid w:val="4BAF2DEC"/>
    <w:rsid w:val="4BB050FB"/>
    <w:rsid w:val="4BB70638"/>
    <w:rsid w:val="4BF278C5"/>
    <w:rsid w:val="4C1D4C9C"/>
    <w:rsid w:val="4C2E4820"/>
    <w:rsid w:val="4C371778"/>
    <w:rsid w:val="4C72455F"/>
    <w:rsid w:val="4C7F267A"/>
    <w:rsid w:val="4C894D6F"/>
    <w:rsid w:val="4C96179F"/>
    <w:rsid w:val="4C9B3AB5"/>
    <w:rsid w:val="4C9E7102"/>
    <w:rsid w:val="4CB15FE4"/>
    <w:rsid w:val="4CD11285"/>
    <w:rsid w:val="4CD34FFD"/>
    <w:rsid w:val="4D0F5E59"/>
    <w:rsid w:val="4D297313"/>
    <w:rsid w:val="4D3C6078"/>
    <w:rsid w:val="4D60180E"/>
    <w:rsid w:val="4D6F79FF"/>
    <w:rsid w:val="4DA129EE"/>
    <w:rsid w:val="4DA21EBF"/>
    <w:rsid w:val="4DD0587C"/>
    <w:rsid w:val="4DE1374A"/>
    <w:rsid w:val="4DE65204"/>
    <w:rsid w:val="4DEB281B"/>
    <w:rsid w:val="4DF80E20"/>
    <w:rsid w:val="4E0256F8"/>
    <w:rsid w:val="4E044182"/>
    <w:rsid w:val="4E2441D8"/>
    <w:rsid w:val="4E2E1765"/>
    <w:rsid w:val="4E6846F8"/>
    <w:rsid w:val="4EA215B1"/>
    <w:rsid w:val="4EAA6232"/>
    <w:rsid w:val="4EE11CA2"/>
    <w:rsid w:val="4EEB73D6"/>
    <w:rsid w:val="4EFD637E"/>
    <w:rsid w:val="4F126A45"/>
    <w:rsid w:val="4F165675"/>
    <w:rsid w:val="4F22402A"/>
    <w:rsid w:val="4F3F0410"/>
    <w:rsid w:val="4F5902F9"/>
    <w:rsid w:val="4F8D7F69"/>
    <w:rsid w:val="4F9C2DEA"/>
    <w:rsid w:val="4FB31116"/>
    <w:rsid w:val="4FC450D1"/>
    <w:rsid w:val="4FEE03A0"/>
    <w:rsid w:val="4FF20B5F"/>
    <w:rsid w:val="50081462"/>
    <w:rsid w:val="500C2C9E"/>
    <w:rsid w:val="501F49FD"/>
    <w:rsid w:val="50396D0A"/>
    <w:rsid w:val="507A08A8"/>
    <w:rsid w:val="50A15412"/>
    <w:rsid w:val="50B8782D"/>
    <w:rsid w:val="50C07DA5"/>
    <w:rsid w:val="50C730CB"/>
    <w:rsid w:val="51022355"/>
    <w:rsid w:val="51361FFF"/>
    <w:rsid w:val="5151508A"/>
    <w:rsid w:val="51630116"/>
    <w:rsid w:val="517B5C63"/>
    <w:rsid w:val="51DC2BA6"/>
    <w:rsid w:val="520378E4"/>
    <w:rsid w:val="521C0134"/>
    <w:rsid w:val="52483D98"/>
    <w:rsid w:val="5253273C"/>
    <w:rsid w:val="5269324B"/>
    <w:rsid w:val="52844092"/>
    <w:rsid w:val="52C10884"/>
    <w:rsid w:val="52D15A59"/>
    <w:rsid w:val="52E31D12"/>
    <w:rsid w:val="531A3230"/>
    <w:rsid w:val="5334431C"/>
    <w:rsid w:val="53373E0C"/>
    <w:rsid w:val="534D3630"/>
    <w:rsid w:val="536C1D08"/>
    <w:rsid w:val="5399227B"/>
    <w:rsid w:val="539F032F"/>
    <w:rsid w:val="53A742F8"/>
    <w:rsid w:val="53CB7B14"/>
    <w:rsid w:val="53CE29C2"/>
    <w:rsid w:val="53D8114B"/>
    <w:rsid w:val="53E4465E"/>
    <w:rsid w:val="53F9144F"/>
    <w:rsid w:val="53FF492A"/>
    <w:rsid w:val="540957A8"/>
    <w:rsid w:val="54113C3E"/>
    <w:rsid w:val="54183C3E"/>
    <w:rsid w:val="541B5F0D"/>
    <w:rsid w:val="543F741C"/>
    <w:rsid w:val="54452097"/>
    <w:rsid w:val="54762769"/>
    <w:rsid w:val="5486504B"/>
    <w:rsid w:val="54A56C35"/>
    <w:rsid w:val="54BB2F47"/>
    <w:rsid w:val="54C8174B"/>
    <w:rsid w:val="54F14BBA"/>
    <w:rsid w:val="55050666"/>
    <w:rsid w:val="550D3076"/>
    <w:rsid w:val="552D346E"/>
    <w:rsid w:val="554051FA"/>
    <w:rsid w:val="5553717F"/>
    <w:rsid w:val="5567079D"/>
    <w:rsid w:val="5568597E"/>
    <w:rsid w:val="556B6251"/>
    <w:rsid w:val="55741FDF"/>
    <w:rsid w:val="5583536A"/>
    <w:rsid w:val="55915A56"/>
    <w:rsid w:val="55A01340"/>
    <w:rsid w:val="56083D5B"/>
    <w:rsid w:val="562E599A"/>
    <w:rsid w:val="56356D29"/>
    <w:rsid w:val="565A5A49"/>
    <w:rsid w:val="56A812A9"/>
    <w:rsid w:val="56B27079"/>
    <w:rsid w:val="56CB571F"/>
    <w:rsid w:val="56E60023"/>
    <w:rsid w:val="57465CC1"/>
    <w:rsid w:val="57560D05"/>
    <w:rsid w:val="57640FA0"/>
    <w:rsid w:val="57664CC0"/>
    <w:rsid w:val="57921934"/>
    <w:rsid w:val="57A66520"/>
    <w:rsid w:val="57BD6FD6"/>
    <w:rsid w:val="57BE68AA"/>
    <w:rsid w:val="587A4EC7"/>
    <w:rsid w:val="58A65CBC"/>
    <w:rsid w:val="58C24114"/>
    <w:rsid w:val="58C24893"/>
    <w:rsid w:val="59376914"/>
    <w:rsid w:val="593C100D"/>
    <w:rsid w:val="593F3A1A"/>
    <w:rsid w:val="594B0611"/>
    <w:rsid w:val="5952374E"/>
    <w:rsid w:val="595E20F3"/>
    <w:rsid w:val="59B9557B"/>
    <w:rsid w:val="5A074538"/>
    <w:rsid w:val="5A0A56FD"/>
    <w:rsid w:val="5A1B5605"/>
    <w:rsid w:val="5AA719E3"/>
    <w:rsid w:val="5AA955EF"/>
    <w:rsid w:val="5AC3658A"/>
    <w:rsid w:val="5ADA7E9F"/>
    <w:rsid w:val="5AEB5C08"/>
    <w:rsid w:val="5B0B44FC"/>
    <w:rsid w:val="5B2347E5"/>
    <w:rsid w:val="5B3E042E"/>
    <w:rsid w:val="5B5F72E5"/>
    <w:rsid w:val="5B871DD5"/>
    <w:rsid w:val="5B922527"/>
    <w:rsid w:val="5BD70E12"/>
    <w:rsid w:val="5C204225"/>
    <w:rsid w:val="5C3655A9"/>
    <w:rsid w:val="5C3929A3"/>
    <w:rsid w:val="5C6304E0"/>
    <w:rsid w:val="5C7165E1"/>
    <w:rsid w:val="5C910A31"/>
    <w:rsid w:val="5CA73351"/>
    <w:rsid w:val="5CBF48D8"/>
    <w:rsid w:val="5CC26737"/>
    <w:rsid w:val="5D1A7C60"/>
    <w:rsid w:val="5D37598E"/>
    <w:rsid w:val="5D600B2F"/>
    <w:rsid w:val="5D6F0D72"/>
    <w:rsid w:val="5D6F38AA"/>
    <w:rsid w:val="5D787D8E"/>
    <w:rsid w:val="5D8D5264"/>
    <w:rsid w:val="5DB276BD"/>
    <w:rsid w:val="5DC32E6C"/>
    <w:rsid w:val="5DC56BE4"/>
    <w:rsid w:val="5E03770C"/>
    <w:rsid w:val="5E7303EE"/>
    <w:rsid w:val="5E9228D4"/>
    <w:rsid w:val="5EB839EA"/>
    <w:rsid w:val="5ED115B9"/>
    <w:rsid w:val="5F0279C4"/>
    <w:rsid w:val="5F1A4D0E"/>
    <w:rsid w:val="5F313E05"/>
    <w:rsid w:val="5F367B26"/>
    <w:rsid w:val="5F4D6E91"/>
    <w:rsid w:val="5F6661A5"/>
    <w:rsid w:val="5FA64E91"/>
    <w:rsid w:val="5FB62BC7"/>
    <w:rsid w:val="5FBF1411"/>
    <w:rsid w:val="5FC66C44"/>
    <w:rsid w:val="5FD17AC2"/>
    <w:rsid w:val="5FF217E7"/>
    <w:rsid w:val="5FF53085"/>
    <w:rsid w:val="602C46E8"/>
    <w:rsid w:val="60367925"/>
    <w:rsid w:val="603E2C7E"/>
    <w:rsid w:val="604324C2"/>
    <w:rsid w:val="60681B1C"/>
    <w:rsid w:val="60934D78"/>
    <w:rsid w:val="60AC10A4"/>
    <w:rsid w:val="60D45F50"/>
    <w:rsid w:val="60FB3360"/>
    <w:rsid w:val="612861BC"/>
    <w:rsid w:val="61371BA7"/>
    <w:rsid w:val="614A3380"/>
    <w:rsid w:val="616C52DB"/>
    <w:rsid w:val="618943CD"/>
    <w:rsid w:val="619E1C26"/>
    <w:rsid w:val="61B82265"/>
    <w:rsid w:val="61CB6793"/>
    <w:rsid w:val="61CE1ED9"/>
    <w:rsid w:val="61E23389"/>
    <w:rsid w:val="61EF2482"/>
    <w:rsid w:val="61EF54AA"/>
    <w:rsid w:val="61FE4473"/>
    <w:rsid w:val="620677CB"/>
    <w:rsid w:val="621D6D4D"/>
    <w:rsid w:val="622639C9"/>
    <w:rsid w:val="62353789"/>
    <w:rsid w:val="62562501"/>
    <w:rsid w:val="62602AAB"/>
    <w:rsid w:val="628E2720"/>
    <w:rsid w:val="62CE02E9"/>
    <w:rsid w:val="62D058DC"/>
    <w:rsid w:val="62DB2A06"/>
    <w:rsid w:val="63133F4E"/>
    <w:rsid w:val="631D301E"/>
    <w:rsid w:val="633B5253"/>
    <w:rsid w:val="63650337"/>
    <w:rsid w:val="636D46E3"/>
    <w:rsid w:val="63732C3E"/>
    <w:rsid w:val="638C4074"/>
    <w:rsid w:val="63A728E8"/>
    <w:rsid w:val="640502D6"/>
    <w:rsid w:val="640B731B"/>
    <w:rsid w:val="642F3009"/>
    <w:rsid w:val="644840CB"/>
    <w:rsid w:val="64801AB7"/>
    <w:rsid w:val="64813139"/>
    <w:rsid w:val="649015CE"/>
    <w:rsid w:val="64BD63E6"/>
    <w:rsid w:val="64C06DC8"/>
    <w:rsid w:val="64C5571C"/>
    <w:rsid w:val="64E63462"/>
    <w:rsid w:val="650325A3"/>
    <w:rsid w:val="65066F2E"/>
    <w:rsid w:val="656B2FE5"/>
    <w:rsid w:val="659C2113"/>
    <w:rsid w:val="65A215B9"/>
    <w:rsid w:val="65C81A4F"/>
    <w:rsid w:val="65D45F67"/>
    <w:rsid w:val="65DF45BB"/>
    <w:rsid w:val="66110FFA"/>
    <w:rsid w:val="661A3845"/>
    <w:rsid w:val="662621EA"/>
    <w:rsid w:val="66575D7D"/>
    <w:rsid w:val="665A00E6"/>
    <w:rsid w:val="66854BCD"/>
    <w:rsid w:val="669F0930"/>
    <w:rsid w:val="66AB50FE"/>
    <w:rsid w:val="66F76CAA"/>
    <w:rsid w:val="6732696D"/>
    <w:rsid w:val="67633AB0"/>
    <w:rsid w:val="678C2521"/>
    <w:rsid w:val="679933E7"/>
    <w:rsid w:val="67AB0BF9"/>
    <w:rsid w:val="67F7371C"/>
    <w:rsid w:val="680D3662"/>
    <w:rsid w:val="685E5CDD"/>
    <w:rsid w:val="6870599E"/>
    <w:rsid w:val="68706417"/>
    <w:rsid w:val="689005C2"/>
    <w:rsid w:val="68A11FFC"/>
    <w:rsid w:val="68AC6398"/>
    <w:rsid w:val="68B61D88"/>
    <w:rsid w:val="68B65AF9"/>
    <w:rsid w:val="68EF55BF"/>
    <w:rsid w:val="68F23CD8"/>
    <w:rsid w:val="68FC0779"/>
    <w:rsid w:val="68FD6917"/>
    <w:rsid w:val="690D143F"/>
    <w:rsid w:val="69246AA9"/>
    <w:rsid w:val="69261E17"/>
    <w:rsid w:val="6954706E"/>
    <w:rsid w:val="69643755"/>
    <w:rsid w:val="698E560F"/>
    <w:rsid w:val="69922853"/>
    <w:rsid w:val="699639AD"/>
    <w:rsid w:val="69DC05B3"/>
    <w:rsid w:val="69E17C5F"/>
    <w:rsid w:val="6A0E546F"/>
    <w:rsid w:val="6A244992"/>
    <w:rsid w:val="6A3D1BFD"/>
    <w:rsid w:val="6A5070DE"/>
    <w:rsid w:val="6A6B0B13"/>
    <w:rsid w:val="6AB97AD1"/>
    <w:rsid w:val="6ADC77CB"/>
    <w:rsid w:val="6AF162E4"/>
    <w:rsid w:val="6B1271E1"/>
    <w:rsid w:val="6B700A62"/>
    <w:rsid w:val="6B87197D"/>
    <w:rsid w:val="6BB40298"/>
    <w:rsid w:val="6BCB1861"/>
    <w:rsid w:val="6BD46244"/>
    <w:rsid w:val="6C0905E4"/>
    <w:rsid w:val="6C0C3C30"/>
    <w:rsid w:val="6C1A00FB"/>
    <w:rsid w:val="6C1E0459"/>
    <w:rsid w:val="6C4A6222"/>
    <w:rsid w:val="6C5B1825"/>
    <w:rsid w:val="6C621DCA"/>
    <w:rsid w:val="6C9C4FB4"/>
    <w:rsid w:val="6CC25503"/>
    <w:rsid w:val="6CCD33BF"/>
    <w:rsid w:val="6CFA617E"/>
    <w:rsid w:val="6D1A60D0"/>
    <w:rsid w:val="6D3A657B"/>
    <w:rsid w:val="6D3A78E6"/>
    <w:rsid w:val="6D3E250F"/>
    <w:rsid w:val="6D505D9E"/>
    <w:rsid w:val="6D98209D"/>
    <w:rsid w:val="6D9D5488"/>
    <w:rsid w:val="6DC36570"/>
    <w:rsid w:val="6DC62EE5"/>
    <w:rsid w:val="6DD35F97"/>
    <w:rsid w:val="6DE54739"/>
    <w:rsid w:val="6DE85BCB"/>
    <w:rsid w:val="6DF90CBB"/>
    <w:rsid w:val="6DFA6436"/>
    <w:rsid w:val="6DFB21AE"/>
    <w:rsid w:val="6E2E74DD"/>
    <w:rsid w:val="6E4A0A40"/>
    <w:rsid w:val="6E6876E0"/>
    <w:rsid w:val="6E6B2E90"/>
    <w:rsid w:val="6E71421E"/>
    <w:rsid w:val="6E937F29"/>
    <w:rsid w:val="6EC407F2"/>
    <w:rsid w:val="6F003164"/>
    <w:rsid w:val="6F046E40"/>
    <w:rsid w:val="6F165703"/>
    <w:rsid w:val="6F173018"/>
    <w:rsid w:val="6F255735"/>
    <w:rsid w:val="6F525B32"/>
    <w:rsid w:val="6F63625D"/>
    <w:rsid w:val="6F683873"/>
    <w:rsid w:val="6F9A5386"/>
    <w:rsid w:val="6FCA12D5"/>
    <w:rsid w:val="6FFA10C7"/>
    <w:rsid w:val="6FFB6495"/>
    <w:rsid w:val="70117A67"/>
    <w:rsid w:val="704C075F"/>
    <w:rsid w:val="706933FF"/>
    <w:rsid w:val="70765B1C"/>
    <w:rsid w:val="707D1E81"/>
    <w:rsid w:val="708E1B55"/>
    <w:rsid w:val="70C73094"/>
    <w:rsid w:val="70D016D0"/>
    <w:rsid w:val="71031AA6"/>
    <w:rsid w:val="711B176D"/>
    <w:rsid w:val="71566079"/>
    <w:rsid w:val="717D3CD5"/>
    <w:rsid w:val="71926986"/>
    <w:rsid w:val="71931673"/>
    <w:rsid w:val="71931C0B"/>
    <w:rsid w:val="719E532A"/>
    <w:rsid w:val="71A6519E"/>
    <w:rsid w:val="71C17073"/>
    <w:rsid w:val="71C70D7B"/>
    <w:rsid w:val="71EA67C2"/>
    <w:rsid w:val="72013BF9"/>
    <w:rsid w:val="720A0BFF"/>
    <w:rsid w:val="722A12B4"/>
    <w:rsid w:val="723B701D"/>
    <w:rsid w:val="724265FE"/>
    <w:rsid w:val="724F0D1A"/>
    <w:rsid w:val="72A52CC7"/>
    <w:rsid w:val="72AB7BB5"/>
    <w:rsid w:val="72E06587"/>
    <w:rsid w:val="73281C56"/>
    <w:rsid w:val="732C354E"/>
    <w:rsid w:val="7350457E"/>
    <w:rsid w:val="73695125"/>
    <w:rsid w:val="736D1458"/>
    <w:rsid w:val="73791D2E"/>
    <w:rsid w:val="7384715C"/>
    <w:rsid w:val="73867F6D"/>
    <w:rsid w:val="73B01345"/>
    <w:rsid w:val="73FB6A64"/>
    <w:rsid w:val="74171171"/>
    <w:rsid w:val="74192A57"/>
    <w:rsid w:val="74515D0F"/>
    <w:rsid w:val="745E6FF3"/>
    <w:rsid w:val="74983962"/>
    <w:rsid w:val="74A50BEC"/>
    <w:rsid w:val="74AA1CA9"/>
    <w:rsid w:val="74B65081"/>
    <w:rsid w:val="74D774D1"/>
    <w:rsid w:val="74E8308A"/>
    <w:rsid w:val="74ED4817"/>
    <w:rsid w:val="7544443B"/>
    <w:rsid w:val="75472470"/>
    <w:rsid w:val="755723C0"/>
    <w:rsid w:val="757A422E"/>
    <w:rsid w:val="759622C6"/>
    <w:rsid w:val="75A44ED9"/>
    <w:rsid w:val="75E66D42"/>
    <w:rsid w:val="75E672A0"/>
    <w:rsid w:val="7614708F"/>
    <w:rsid w:val="762A045C"/>
    <w:rsid w:val="766A7ED1"/>
    <w:rsid w:val="766C59F7"/>
    <w:rsid w:val="7675235D"/>
    <w:rsid w:val="76760624"/>
    <w:rsid w:val="767A40FC"/>
    <w:rsid w:val="769B54C8"/>
    <w:rsid w:val="76C07AF1"/>
    <w:rsid w:val="76D313AC"/>
    <w:rsid w:val="76DA66C0"/>
    <w:rsid w:val="76F105F2"/>
    <w:rsid w:val="775C3CBE"/>
    <w:rsid w:val="776F54FE"/>
    <w:rsid w:val="777F5BFE"/>
    <w:rsid w:val="779571D0"/>
    <w:rsid w:val="77B37656"/>
    <w:rsid w:val="77B51620"/>
    <w:rsid w:val="77C23F98"/>
    <w:rsid w:val="77CE623E"/>
    <w:rsid w:val="78585CB2"/>
    <w:rsid w:val="7859093D"/>
    <w:rsid w:val="786170B2"/>
    <w:rsid w:val="787B769A"/>
    <w:rsid w:val="78886D34"/>
    <w:rsid w:val="789711D5"/>
    <w:rsid w:val="78B22DD4"/>
    <w:rsid w:val="78D45AD6"/>
    <w:rsid w:val="78F9378E"/>
    <w:rsid w:val="79053EE1"/>
    <w:rsid w:val="790A7749"/>
    <w:rsid w:val="79152036"/>
    <w:rsid w:val="796F0971"/>
    <w:rsid w:val="79975481"/>
    <w:rsid w:val="799A528E"/>
    <w:rsid w:val="79AC7312"/>
    <w:rsid w:val="79CA35C3"/>
    <w:rsid w:val="79CC239E"/>
    <w:rsid w:val="79F67C69"/>
    <w:rsid w:val="7A0B5527"/>
    <w:rsid w:val="7A291E51"/>
    <w:rsid w:val="7A3B22B0"/>
    <w:rsid w:val="7A3C1B84"/>
    <w:rsid w:val="7A405098"/>
    <w:rsid w:val="7A5769C5"/>
    <w:rsid w:val="7A7F1A71"/>
    <w:rsid w:val="7A9279F6"/>
    <w:rsid w:val="7AA5597C"/>
    <w:rsid w:val="7AC83418"/>
    <w:rsid w:val="7ACB4CB6"/>
    <w:rsid w:val="7B187EFC"/>
    <w:rsid w:val="7B191EC6"/>
    <w:rsid w:val="7B2E771F"/>
    <w:rsid w:val="7B474C85"/>
    <w:rsid w:val="7B5B0730"/>
    <w:rsid w:val="7B7B66DC"/>
    <w:rsid w:val="7B876E2F"/>
    <w:rsid w:val="7BD06A28"/>
    <w:rsid w:val="7BDC34AC"/>
    <w:rsid w:val="7BF5023D"/>
    <w:rsid w:val="7BFA03E0"/>
    <w:rsid w:val="7C350F81"/>
    <w:rsid w:val="7C43229D"/>
    <w:rsid w:val="7C58336E"/>
    <w:rsid w:val="7CAB1B33"/>
    <w:rsid w:val="7CB11429"/>
    <w:rsid w:val="7CC025F5"/>
    <w:rsid w:val="7CF67CAA"/>
    <w:rsid w:val="7D01709E"/>
    <w:rsid w:val="7D11248E"/>
    <w:rsid w:val="7D1B1F25"/>
    <w:rsid w:val="7D4944D0"/>
    <w:rsid w:val="7D6027A4"/>
    <w:rsid w:val="7D781125"/>
    <w:rsid w:val="7D7F0706"/>
    <w:rsid w:val="7D8C5DEA"/>
    <w:rsid w:val="7D8E7AB2"/>
    <w:rsid w:val="7DB163E5"/>
    <w:rsid w:val="7DE642E1"/>
    <w:rsid w:val="7DF86D46"/>
    <w:rsid w:val="7DFB1059"/>
    <w:rsid w:val="7DFC3B04"/>
    <w:rsid w:val="7E142CC7"/>
    <w:rsid w:val="7E7960DA"/>
    <w:rsid w:val="7E933D3D"/>
    <w:rsid w:val="7EA83C8C"/>
    <w:rsid w:val="7EC565EC"/>
    <w:rsid w:val="7EE36A72"/>
    <w:rsid w:val="7EEA1BAF"/>
    <w:rsid w:val="7EF742CC"/>
    <w:rsid w:val="7F4D213E"/>
    <w:rsid w:val="7F62204B"/>
    <w:rsid w:val="7F647934"/>
    <w:rsid w:val="7F6C1FFF"/>
    <w:rsid w:val="7F767AB1"/>
    <w:rsid w:val="7FA75CF2"/>
    <w:rsid w:val="7FB1091F"/>
    <w:rsid w:val="7FB27487"/>
    <w:rsid w:val="7FC566AD"/>
    <w:rsid w:val="7FD60E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9" w:semiHidden="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qFormat="1" w:uiPriority="99" w:semiHidden="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0" w:semiHidden="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90" w:line="578" w:lineRule="auto"/>
      <w:outlineLvl w:val="0"/>
    </w:pPr>
    <w:rPr>
      <w:rFonts w:eastAsia="华文细黑"/>
      <w:b/>
      <w:bCs/>
      <w:kern w:val="44"/>
      <w:sz w:val="30"/>
      <w:szCs w:val="44"/>
    </w:rPr>
  </w:style>
  <w:style w:type="paragraph" w:styleId="4">
    <w:name w:val="heading 2"/>
    <w:basedOn w:val="1"/>
    <w:next w:val="5"/>
    <w:qFormat/>
    <w:uiPriority w:val="9"/>
    <w:pPr>
      <w:keepNext/>
      <w:keepLines/>
      <w:spacing w:before="260" w:after="260" w:line="416" w:lineRule="auto"/>
      <w:jc w:val="center"/>
      <w:outlineLvl w:val="1"/>
    </w:pPr>
    <w:rPr>
      <w:rFonts w:ascii="Arial" w:hAnsi="Arial" w:eastAsia="幼圆"/>
      <w:b/>
      <w:kern w:val="0"/>
      <w:sz w:val="44"/>
      <w:szCs w:val="20"/>
    </w:rPr>
  </w:style>
  <w:style w:type="paragraph" w:styleId="6">
    <w:name w:val="heading 3"/>
    <w:basedOn w:val="1"/>
    <w:next w:val="1"/>
    <w:link w:val="47"/>
    <w:qFormat/>
    <w:uiPriority w:val="0"/>
    <w:pPr>
      <w:keepNext/>
      <w:keepLines/>
      <w:spacing w:line="416" w:lineRule="auto"/>
      <w:outlineLvl w:val="2"/>
    </w:pPr>
    <w:rPr>
      <w:b/>
      <w:kern w:val="0"/>
      <w:sz w:val="32"/>
      <w:szCs w:val="20"/>
    </w:rPr>
  </w:style>
  <w:style w:type="paragraph" w:styleId="7">
    <w:name w:val="heading 7"/>
    <w:basedOn w:val="1"/>
    <w:next w:val="1"/>
    <w:qFormat/>
    <w:uiPriority w:val="9"/>
    <w:pPr>
      <w:keepNext/>
      <w:keepLines/>
      <w:spacing w:before="240" w:after="64" w:line="320" w:lineRule="auto"/>
      <w:outlineLvl w:val="6"/>
    </w:pPr>
    <w:rPr>
      <w:b/>
      <w:bCs/>
      <w:sz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unhideWhenUsed/>
    <w:qFormat/>
    <w:uiPriority w:val="99"/>
    <w:pPr>
      <w:ind w:left="1600" w:leftChars="1600"/>
    </w:pPr>
  </w:style>
  <w:style w:type="paragraph" w:styleId="5">
    <w:name w:val="Normal Indent"/>
    <w:basedOn w:val="1"/>
    <w:qFormat/>
    <w:uiPriority w:val="99"/>
    <w:pPr>
      <w:ind w:firstLine="420"/>
    </w:pPr>
    <w:rPr>
      <w:kern w:val="0"/>
      <w:sz w:val="20"/>
      <w:szCs w:val="20"/>
    </w:rPr>
  </w:style>
  <w:style w:type="paragraph" w:styleId="8">
    <w:name w:val="annotation text"/>
    <w:basedOn w:val="1"/>
    <w:link w:val="50"/>
    <w:qFormat/>
    <w:uiPriority w:val="99"/>
    <w:pPr>
      <w:jc w:val="left"/>
    </w:pPr>
    <w:rPr>
      <w:kern w:val="0"/>
      <w:sz w:val="20"/>
    </w:rPr>
  </w:style>
  <w:style w:type="paragraph" w:styleId="9">
    <w:name w:val="Body Text"/>
    <w:basedOn w:val="1"/>
    <w:next w:val="10"/>
    <w:qFormat/>
    <w:uiPriority w:val="99"/>
    <w:rPr>
      <w:rFonts w:ascii="楷体_GB2312" w:hAnsi="Arial" w:eastAsia="楷体_GB2312"/>
      <w:kern w:val="0"/>
      <w:sz w:val="28"/>
      <w:szCs w:val="20"/>
    </w:rPr>
  </w:style>
  <w:style w:type="paragraph" w:customStyle="1" w:styleId="10">
    <w:name w:val="一级条标题"/>
    <w:basedOn w:val="11"/>
    <w:next w:val="12"/>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11">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12">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styleId="13">
    <w:name w:val="Body Text Indent"/>
    <w:basedOn w:val="1"/>
    <w:next w:val="14"/>
    <w:qFormat/>
    <w:uiPriority w:val="0"/>
    <w:pPr>
      <w:ind w:firstLine="645"/>
    </w:pPr>
    <w:rPr>
      <w:rFonts w:ascii="楷体_GB2312" w:eastAsia="楷体_GB2312"/>
      <w:kern w:val="0"/>
      <w:sz w:val="32"/>
      <w:szCs w:val="20"/>
    </w:rPr>
  </w:style>
  <w:style w:type="paragraph" w:styleId="14">
    <w:name w:val="envelope return"/>
    <w:basedOn w:val="1"/>
    <w:unhideWhenUsed/>
    <w:qFormat/>
    <w:uiPriority w:val="0"/>
    <w:pPr>
      <w:snapToGrid w:val="0"/>
    </w:pPr>
    <w:rPr>
      <w:rFonts w:ascii="Arial" w:hAnsi="Arial"/>
    </w:rPr>
  </w:style>
  <w:style w:type="paragraph" w:styleId="15">
    <w:name w:val="index 4"/>
    <w:basedOn w:val="1"/>
    <w:next w:val="1"/>
    <w:unhideWhenUsed/>
    <w:qFormat/>
    <w:uiPriority w:val="99"/>
    <w:pPr>
      <w:ind w:firstLine="420" w:firstLineChars="200"/>
      <w:jc w:val="left"/>
    </w:pPr>
    <w:rPr>
      <w:rFonts w:ascii="宋体" w:hAnsi="宋体"/>
      <w:color w:val="FF0000"/>
      <w:szCs w:val="21"/>
    </w:rPr>
  </w:style>
  <w:style w:type="paragraph" w:styleId="16">
    <w:name w:val="toc 3"/>
    <w:basedOn w:val="1"/>
    <w:next w:val="1"/>
    <w:unhideWhenUsed/>
    <w:qFormat/>
    <w:uiPriority w:val="39"/>
    <w:pPr>
      <w:ind w:left="840" w:leftChars="400"/>
    </w:pPr>
  </w:style>
  <w:style w:type="paragraph" w:styleId="17">
    <w:name w:val="Plain Text"/>
    <w:basedOn w:val="1"/>
    <w:link w:val="48"/>
    <w:qFormat/>
    <w:uiPriority w:val="0"/>
    <w:rPr>
      <w:rFonts w:ascii="宋体" w:hAnsi="Courier New"/>
      <w:kern w:val="0"/>
      <w:sz w:val="20"/>
      <w:szCs w:val="20"/>
    </w:rPr>
  </w:style>
  <w:style w:type="paragraph" w:styleId="18">
    <w:name w:val="Body Text Indent 2"/>
    <w:basedOn w:val="1"/>
    <w:qFormat/>
    <w:uiPriority w:val="0"/>
    <w:pPr>
      <w:widowControl/>
      <w:spacing w:before="100" w:beforeAutospacing="1" w:after="100" w:afterAutospacing="1"/>
      <w:jc w:val="left"/>
    </w:pPr>
    <w:rPr>
      <w:rFonts w:ascii="宋体" w:hAnsi="宋体"/>
      <w:kern w:val="0"/>
      <w:sz w:val="24"/>
    </w:rPr>
  </w:style>
  <w:style w:type="paragraph" w:styleId="19">
    <w:name w:val="Balloon Text"/>
    <w:basedOn w:val="1"/>
    <w:link w:val="38"/>
    <w:qFormat/>
    <w:uiPriority w:val="0"/>
    <w:rPr>
      <w:sz w:val="18"/>
      <w:szCs w:val="18"/>
    </w:rPr>
  </w:style>
  <w:style w:type="paragraph" w:styleId="20">
    <w:name w:val="footer"/>
    <w:basedOn w:val="1"/>
    <w:link w:val="39"/>
    <w:qFormat/>
    <w:uiPriority w:val="0"/>
    <w:pPr>
      <w:tabs>
        <w:tab w:val="center" w:pos="4153"/>
        <w:tab w:val="right" w:pos="8306"/>
      </w:tabs>
      <w:snapToGrid w:val="0"/>
      <w:jc w:val="left"/>
    </w:pPr>
    <w:rPr>
      <w:sz w:val="18"/>
      <w:szCs w:val="18"/>
    </w:rPr>
  </w:style>
  <w:style w:type="paragraph" w:styleId="21">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line="360" w:lineRule="auto"/>
    </w:pPr>
    <w:rPr>
      <w:rFonts w:asciiTheme="minorHAnsi" w:hAnsiTheme="minorHAnsi" w:cstheme="minorBidi"/>
      <w:sz w:val="24"/>
    </w:rPr>
  </w:style>
  <w:style w:type="paragraph" w:styleId="23">
    <w:name w:val="toc 2"/>
    <w:basedOn w:val="1"/>
    <w:next w:val="1"/>
    <w:qFormat/>
    <w:uiPriority w:val="39"/>
    <w:pPr>
      <w:spacing w:line="360" w:lineRule="auto"/>
      <w:ind w:left="420" w:leftChars="200"/>
    </w:pPr>
    <w:rPr>
      <w:rFonts w:asciiTheme="minorHAnsi" w:hAnsiTheme="minorHAnsi" w:cstheme="minorBidi"/>
      <w:sz w:val="24"/>
    </w:rPr>
  </w:style>
  <w:style w:type="paragraph" w:styleId="24">
    <w:name w:val="Normal (Web)"/>
    <w:basedOn w:val="1"/>
    <w:qFormat/>
    <w:uiPriority w:val="0"/>
    <w:pPr>
      <w:widowControl/>
      <w:spacing w:before="100" w:beforeAutospacing="1" w:after="100" w:afterAutospacing="1"/>
    </w:pPr>
    <w:rPr>
      <w:rFonts w:ascii="宋体" w:hAnsi="宋体"/>
      <w:kern w:val="0"/>
      <w:sz w:val="24"/>
      <w:szCs w:val="20"/>
    </w:rPr>
  </w:style>
  <w:style w:type="paragraph" w:styleId="25">
    <w:name w:val="Title"/>
    <w:basedOn w:val="1"/>
    <w:next w:val="1"/>
    <w:link w:val="49"/>
    <w:qFormat/>
    <w:uiPriority w:val="0"/>
    <w:pPr>
      <w:spacing w:before="240" w:after="60"/>
      <w:jc w:val="center"/>
      <w:outlineLvl w:val="0"/>
    </w:pPr>
    <w:rPr>
      <w:rFonts w:asciiTheme="majorHAnsi" w:hAnsiTheme="majorHAnsi" w:eastAsiaTheme="majorEastAsia" w:cstheme="majorBidi"/>
      <w:b/>
      <w:bCs/>
      <w:sz w:val="32"/>
      <w:szCs w:val="32"/>
    </w:rPr>
  </w:style>
  <w:style w:type="paragraph" w:styleId="26">
    <w:name w:val="annotation subject"/>
    <w:basedOn w:val="8"/>
    <w:next w:val="8"/>
    <w:link w:val="51"/>
    <w:semiHidden/>
    <w:unhideWhenUsed/>
    <w:qFormat/>
    <w:uiPriority w:val="0"/>
    <w:rPr>
      <w:b/>
      <w:bCs/>
      <w:kern w:val="2"/>
      <w:sz w:val="21"/>
    </w:rPr>
  </w:style>
  <w:style w:type="paragraph" w:styleId="27">
    <w:name w:val="Body Text First Indent"/>
    <w:basedOn w:val="9"/>
    <w:unhideWhenUsed/>
    <w:qFormat/>
    <w:uiPriority w:val="99"/>
    <w:pPr>
      <w:spacing w:after="120"/>
      <w:ind w:firstLine="420" w:firstLineChars="100"/>
    </w:pPr>
    <w:rPr>
      <w:rFonts w:ascii="Times New Roman"/>
      <w:sz w:val="21"/>
    </w:rPr>
  </w:style>
  <w:style w:type="paragraph" w:styleId="28">
    <w:name w:val="Body Text First Indent 2"/>
    <w:basedOn w:val="13"/>
    <w:next w:val="1"/>
    <w:qFormat/>
    <w:uiPriority w:val="0"/>
    <w:pPr>
      <w:spacing w:line="360" w:lineRule="auto"/>
      <w:ind w:firstLine="420" w:firstLineChars="200"/>
    </w:pPr>
    <w:rPr>
      <w:rFonts w:ascii="宋体" w:hAnsi="宋体"/>
    </w:rPr>
  </w:style>
  <w:style w:type="table" w:styleId="30">
    <w:name w:val="Table Grid"/>
    <w:basedOn w:val="2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Hyperlink"/>
    <w:qFormat/>
    <w:uiPriority w:val="99"/>
    <w:rPr>
      <w:color w:val="0000FF"/>
      <w:u w:val="single"/>
    </w:rPr>
  </w:style>
  <w:style w:type="character" w:styleId="34">
    <w:name w:val="annotation reference"/>
    <w:qFormat/>
    <w:uiPriority w:val="99"/>
    <w:rPr>
      <w:sz w:val="21"/>
      <w:szCs w:val="21"/>
    </w:rPr>
  </w:style>
  <w:style w:type="paragraph" w:customStyle="1" w:styleId="35">
    <w:name w:val="Heading1"/>
    <w:basedOn w:val="1"/>
    <w:next w:val="1"/>
    <w:qFormat/>
    <w:uiPriority w:val="0"/>
    <w:pPr>
      <w:keepNext/>
      <w:textAlignment w:val="baseline"/>
    </w:pPr>
    <w:rPr>
      <w:rFonts w:ascii="等线 Light" w:eastAsia="等线 Light"/>
      <w:sz w:val="28"/>
      <w:szCs w:val="20"/>
    </w:rPr>
  </w:style>
  <w:style w:type="paragraph" w:customStyle="1" w:styleId="36">
    <w:name w:val="首行缩进"/>
    <w:basedOn w:val="1"/>
    <w:qFormat/>
    <w:uiPriority w:val="0"/>
    <w:pPr>
      <w:ind w:firstLine="480" w:firstLineChars="200"/>
    </w:pPr>
    <w:rPr>
      <w:szCs w:val="20"/>
      <w:lang w:val="zh-CN"/>
    </w:rPr>
  </w:style>
  <w:style w:type="character" w:customStyle="1" w:styleId="37">
    <w:name w:val="页眉 Char"/>
    <w:link w:val="21"/>
    <w:qFormat/>
    <w:uiPriority w:val="0"/>
    <w:rPr>
      <w:rFonts w:ascii="Times New Roman" w:hAnsi="Times New Roman" w:eastAsia="宋体" w:cs="Times New Roman"/>
      <w:kern w:val="2"/>
      <w:sz w:val="18"/>
      <w:szCs w:val="18"/>
    </w:rPr>
  </w:style>
  <w:style w:type="character" w:customStyle="1" w:styleId="38">
    <w:name w:val="批注框文本 Char"/>
    <w:link w:val="19"/>
    <w:qFormat/>
    <w:uiPriority w:val="0"/>
    <w:rPr>
      <w:rFonts w:ascii="Times New Roman" w:hAnsi="Times New Roman" w:eastAsia="宋体" w:cs="Times New Roman"/>
      <w:kern w:val="2"/>
      <w:sz w:val="18"/>
      <w:szCs w:val="18"/>
    </w:rPr>
  </w:style>
  <w:style w:type="character" w:customStyle="1" w:styleId="39">
    <w:name w:val="页脚 Char"/>
    <w:link w:val="20"/>
    <w:qFormat/>
    <w:uiPriority w:val="0"/>
    <w:rPr>
      <w:rFonts w:ascii="Times New Roman" w:hAnsi="Times New Roman" w:eastAsia="宋体" w:cs="Times New Roman"/>
      <w:kern w:val="2"/>
      <w:sz w:val="18"/>
      <w:szCs w:val="18"/>
    </w:rPr>
  </w:style>
  <w:style w:type="paragraph" w:styleId="40">
    <w:name w:val="List Paragraph"/>
    <w:basedOn w:val="1"/>
    <w:qFormat/>
    <w:uiPriority w:val="34"/>
    <w:pPr>
      <w:ind w:firstLine="420" w:firstLineChars="200"/>
    </w:pPr>
    <w:rPr>
      <w:rFonts w:ascii="Calibri" w:hAnsi="Calibri"/>
      <w:kern w:val="0"/>
      <w:sz w:val="20"/>
      <w:szCs w:val="20"/>
    </w:rPr>
  </w:style>
  <w:style w:type="paragraph" w:customStyle="1" w:styleId="41">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2">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43">
    <w:name w:val="纯文本1"/>
    <w:basedOn w:val="1"/>
    <w:qFormat/>
    <w:uiPriority w:val="0"/>
    <w:pPr>
      <w:adjustRightInd w:val="0"/>
    </w:pPr>
    <w:rPr>
      <w:rFonts w:ascii="宋体" w:hAnsi="Courier New" w:eastAsia="楷体_GB2312"/>
      <w:sz w:val="28"/>
      <w:szCs w:val="20"/>
    </w:rPr>
  </w:style>
  <w:style w:type="table" w:customStyle="1" w:styleId="44">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4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6">
    <w:name w:val="正文1"/>
    <w:next w:val="1"/>
    <w:qFormat/>
    <w:uiPriority w:val="0"/>
    <w:pPr>
      <w:widowControl w:val="0"/>
      <w:jc w:val="both"/>
    </w:pPr>
    <w:rPr>
      <w:rFonts w:ascii="Calibri" w:hAnsi="Calibri" w:eastAsia="宋体" w:cs="Times New Roman"/>
      <w:kern w:val="2"/>
      <w:sz w:val="21"/>
      <w:szCs w:val="21"/>
      <w:lang w:val="en-US" w:eastAsia="zh-CN" w:bidi="ar-SA"/>
    </w:rPr>
  </w:style>
  <w:style w:type="character" w:customStyle="1" w:styleId="47">
    <w:name w:val="标题 3 Char"/>
    <w:link w:val="6"/>
    <w:qFormat/>
    <w:uiPriority w:val="0"/>
    <w:rPr>
      <w:b/>
      <w:sz w:val="32"/>
    </w:rPr>
  </w:style>
  <w:style w:type="character" w:customStyle="1" w:styleId="48">
    <w:name w:val="纯文本 Char"/>
    <w:link w:val="17"/>
    <w:qFormat/>
    <w:locked/>
    <w:uiPriority w:val="0"/>
    <w:rPr>
      <w:rFonts w:ascii="宋体" w:hAnsi="Courier New"/>
    </w:rPr>
  </w:style>
  <w:style w:type="character" w:customStyle="1" w:styleId="49">
    <w:name w:val="标题 Char"/>
    <w:basedOn w:val="31"/>
    <w:link w:val="25"/>
    <w:qFormat/>
    <w:uiPriority w:val="0"/>
    <w:rPr>
      <w:rFonts w:asciiTheme="majorHAnsi" w:hAnsiTheme="majorHAnsi" w:eastAsiaTheme="majorEastAsia" w:cstheme="majorBidi"/>
      <w:b/>
      <w:bCs/>
      <w:kern w:val="2"/>
      <w:sz w:val="32"/>
      <w:szCs w:val="32"/>
    </w:rPr>
  </w:style>
  <w:style w:type="character" w:customStyle="1" w:styleId="50">
    <w:name w:val="批注文字 Char"/>
    <w:basedOn w:val="31"/>
    <w:link w:val="8"/>
    <w:qFormat/>
    <w:uiPriority w:val="99"/>
    <w:rPr>
      <w:szCs w:val="24"/>
    </w:rPr>
  </w:style>
  <w:style w:type="character" w:customStyle="1" w:styleId="51">
    <w:name w:val="批注主题 Char"/>
    <w:basedOn w:val="50"/>
    <w:link w:val="26"/>
    <w:semiHidden/>
    <w:qFormat/>
    <w:uiPriority w:val="0"/>
    <w:rPr>
      <w:b/>
      <w:bCs/>
      <w:kern w:val="2"/>
      <w:sz w:val="21"/>
      <w:szCs w:val="24"/>
    </w:rPr>
  </w:style>
  <w:style w:type="paragraph" w:customStyle="1" w:styleId="52">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3">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54">
    <w:name w:val="（一）正文标题"/>
    <w:basedOn w:val="6"/>
    <w:qFormat/>
    <w:uiPriority w:val="0"/>
    <w:pPr>
      <w:keepNext w:val="0"/>
      <w:keepLines w:val="0"/>
      <w:tabs>
        <w:tab w:val="left" w:pos="993"/>
        <w:tab w:val="left" w:pos="1134"/>
        <w:tab w:val="left" w:pos="1276"/>
        <w:tab w:val="left" w:pos="1418"/>
      </w:tabs>
      <w:wordWrap w:val="0"/>
      <w:ind w:firstLine="200" w:firstLineChars="200"/>
    </w:pPr>
    <w:rPr>
      <w:rFonts w:ascii="仿宋_GB2312" w:hAnsi="仿宋_GB2312" w:eastAsia="楷体"/>
      <w:szCs w:val="28"/>
    </w:rPr>
  </w:style>
  <w:style w:type="paragraph" w:customStyle="1" w:styleId="55">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56">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D3FD59-EF25-44CE-A116-DBB7F16AA5B0}">
  <ds:schemaRefs/>
</ds:datastoreItem>
</file>

<file path=docProps/app.xml><?xml version="1.0" encoding="utf-8"?>
<Properties xmlns="http://schemas.openxmlformats.org/officeDocument/2006/extended-properties" xmlns:vt="http://schemas.openxmlformats.org/officeDocument/2006/docPropsVTypes">
  <Template>Normal.dotm</Template>
  <Pages>42</Pages>
  <Words>31377</Words>
  <Characters>33359</Characters>
  <Lines>264</Lines>
  <Paragraphs>74</Paragraphs>
  <TotalTime>32</TotalTime>
  <ScaleCrop>false</ScaleCrop>
  <LinksUpToDate>false</LinksUpToDate>
  <CharactersWithSpaces>34589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2022-06-18T07:01:00Z</dcterms:created>
  <dc:creator>ASUS</dc:creator>
  <cp:lastModifiedBy>WPS_1665191703</cp:lastModifiedBy>
  <cp:lastPrinted>2023-03-01T00:52:00Z</cp:lastPrinted>
  <dcterms:modified xsi:type="dcterms:W3CDTF">2023-07-14T07:32:45Z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8212AFEE3FF949F8AE1F3FC9C5B4F2B1_13</vt:lpwstr>
  </property>
</Properties>
</file>