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24" w:afterLines="100" w:line="500" w:lineRule="exact"/>
        <w:jc w:val="center"/>
        <w:outlineLvl w:val="0"/>
        <w:rPr>
          <w:rFonts w:ascii="宋体" w:hAnsi="宋体"/>
          <w:bCs/>
          <w:sz w:val="24"/>
          <w:lang w:val="zh-CN"/>
        </w:rPr>
      </w:pPr>
      <w:bookmarkStart w:id="0" w:name="项目需求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  <w:bookmarkEnd w:id="0"/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/>
          <w:sz w:val="24"/>
        </w:rPr>
        <w:t>根据省教育厅关于今年年底前实现高校“一站式”学生社区建设工作应建尽建，并纳入党建考核的要求，我校作为省试点建设单位，学工处计划2023年下半年对对东园学生公寓4号楼架空层进行“一站式”学生社区物理空间改造，具体包括建设4号学生公寓架空层改造为</w:t>
      </w:r>
      <w:r>
        <w:rPr>
          <w:rFonts w:hint="eastAsia" w:ascii="宋体" w:hAnsi="宋体"/>
          <w:sz w:val="24"/>
          <w:szCs w:val="28"/>
        </w:rPr>
        <w:t>学生自管会办公室</w:t>
      </w:r>
      <w:r>
        <w:rPr>
          <w:rFonts w:hint="eastAsia" w:asciiTheme="minorEastAsia" w:hAnsiTheme="minorEastAsia"/>
          <w:sz w:val="24"/>
        </w:rPr>
        <w:t>（26㎡），多功能区（54㎡），服务大厅（82㎡），辅导员办公室（26㎡），外拓区域（112㎡），改造完成后，将成为学生党建前沿阵地、“三全育人”实践园地、平安校园样板高地，打通育人“最后一公里”，推动学校高质量发展。</w:t>
      </w:r>
    </w:p>
    <w:p>
      <w:pPr>
        <w:spacing w:line="5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一、改造范围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262626" w:themeColor="text1" w:themeTint="D9"/>
          <w:sz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宋体" w:hAnsi="宋体" w:cs="宋体"/>
          <w:sz w:val="24"/>
        </w:rPr>
        <w:t>4号学生公寓架空</w:t>
      </w:r>
      <w:r>
        <w:rPr>
          <w:rFonts w:hint="eastAsia"/>
          <w:sz w:val="24"/>
        </w:rPr>
        <w:t>层。</w:t>
      </w:r>
    </w:p>
    <w:p>
      <w:pPr>
        <w:spacing w:line="500" w:lineRule="exact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Theme="minorEastAsia" w:hAnsiTheme="minorEastAsia"/>
          <w:color w:val="262626" w:themeColor="text1" w:themeTint="D9"/>
          <w:sz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二</w:t>
      </w:r>
      <w:r>
        <w:rPr>
          <w:rFonts w:hint="eastAsia" w:ascii="宋体" w:hAnsi="宋体"/>
          <w:b/>
          <w:sz w:val="24"/>
        </w:rPr>
        <w:t>、改造实施方案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改造说明：4号学生公寓架空层改造为学生自管会办公室（26㎡），多功能区（54㎡），服务大厅（82㎡），辅导员办公室（26㎡），外拓区域（112㎡）：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拆除墙体，拆除墙面瓷砖踢脚线装饰品等，包含墙面附属的门窗。开门洞窗洞等，拆除地面地砖、水磨石、PVC等至基层等，拆除石膏板吊顶、集成吊顶、矿棉板吊顶等，及其附属灯具管线和其他设备等，拆除木质门、钢制防火门、木质防火门、玻璃隔断等，拆除时对成品物资进行保留，留待甲方处理（如空调、家具等），垃圾清运，施工完成后保洁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2.地面整体抬高，铺贴瓷砖和广场砖；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3.新建各类墙体，开门洞窗洞，安装各类门窗；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4.安装断桥铝玻璃隔断及门长度为25米，高度2.4米。上方采用20*40*1.2mm镀锌方管骨架制作大梁及墙体。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5.进行电气工程改造。开槽布管布线，安装各类电气设备，包括开关插座等，安装强弱电箱等；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6.学生自管会办公室墙面白色防霉乳胶漆，不锈钢踢脚线；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7.学生自管会办公室制作600*600mm集成铝板吊顶，根据图纸安装各类灯具；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8.学生自管会办公室制作窗帘盒安装布艺窗帘；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9.多功能区墙面白色乳胶漆，不锈钢踢脚线；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10.多功能区制作石膏板造型吊顶和铝格栅吊顶，根据图纸安装各类灯具；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11.多功能区制作窗帘盒安装布艺窗帘；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12.服务大厅墙面白色防霉乳胶漆，不锈钢踢脚线；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13.服务大厅制作石膏板造型吊顶，吧台上方制作多层回光灯槽式造型吊顶，根据图纸安装各类灯具；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14.辅导员办公室墙面白色乳胶漆，不锈钢踢脚线；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15.辅导员办公室制作600*600mm集成铝板吊顶，根据图纸安装各类灯具；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16.辅导员办公室制作窗帘盒安装布艺窗帘；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17.外拓区域制作铝格栅吊顶，根据图纸安装各类灯具；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18.拆除原现场门头字及钢架，根据图纸清单重新制作安装门头字牌，重新包装室外立招；</w:t>
      </w:r>
    </w:p>
    <w:p>
      <w:pPr>
        <w:pStyle w:val="2"/>
        <w:spacing w:line="500" w:lineRule="exact"/>
        <w:ind w:left="0" w:leftChars="0"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19.配电箱为公寓楼内设置，对照图纸，图中阴影部分房间为原大楼配电间接入，根据配电图增加电缆及桥架，另每栋楼社区内增加机柜、交换机、硬盘录像机，光纤从主机房内接至机柜内。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color w:val="262626" w:themeColor="text1" w:themeTint="D9"/>
          <w:sz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三、工期：</w:t>
      </w:r>
      <w:r>
        <w:rPr>
          <w:rFonts w:hint="eastAsia" w:ascii="宋体" w:hAnsi="宋体" w:cs="宋体"/>
          <w:b/>
          <w:bCs/>
          <w:sz w:val="24"/>
        </w:rPr>
        <w:t>25日历天。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如因施工单位自身施工组织问题造成工期延误的，延误时间如超过3天，每延误一天，处罚1000元，如因工期延误，造成学校重大影响的，学校有权追究责任。（工程延误处罚款项在审计时直接扣除）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四、质保期：2年（质保期自验收合格之日起算）。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/>
          <w:sz w:val="24"/>
        </w:rPr>
        <w:t>质保要求：工程因自然力等主客观因素出现松动、脱落等现象</w:t>
      </w:r>
      <w:r>
        <w:rPr>
          <w:rFonts w:hint="eastAsia" w:ascii="宋体" w:hAnsi="宋体" w:cs="宋体"/>
          <w:sz w:val="24"/>
        </w:rPr>
        <w:t>，乙方需在3日内到场免费维修。</w:t>
      </w:r>
    </w:p>
    <w:p>
      <w:pPr>
        <w:spacing w:line="500" w:lineRule="exact"/>
        <w:ind w:firstLine="482" w:firstLineChars="200"/>
        <w:rPr>
          <w:b/>
          <w:color w:val="FF0000"/>
          <w:sz w:val="24"/>
        </w:rPr>
      </w:pPr>
      <w:r>
        <w:rPr>
          <w:rFonts w:hint="eastAsia"/>
          <w:b/>
          <w:sz w:val="24"/>
        </w:rPr>
        <w:t>五、付款方式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项目验收合格后无质量问题支付合同价的60%款项；审计合格后付至审计价的80%，一年后无质量问题付至审计价的90%，余款待验收合格满二年后无质量问题一次性无息付清。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注：以上付款均无银行利息，付款时需开具增值税专用发票。</w:t>
      </w:r>
    </w:p>
    <w:p>
      <w:pPr>
        <w:spacing w:line="50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六、验收标准：</w:t>
      </w:r>
      <w:r>
        <w:rPr>
          <w:rFonts w:hint="eastAsia"/>
          <w:sz w:val="24"/>
        </w:rPr>
        <w:t>国家“合格”标准并满足招标人要求</w:t>
      </w:r>
      <w:r>
        <w:rPr>
          <w:rFonts w:hint="eastAsia"/>
          <w:b/>
          <w:sz w:val="24"/>
        </w:rPr>
        <w:t>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sz w:val="24"/>
        </w:rPr>
      </w:pPr>
    </w:p>
    <w:p>
      <w:pPr>
        <w:spacing w:line="500" w:lineRule="exact"/>
        <w:ind w:firstLine="482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注：采购标的的所属行业为</w:t>
      </w:r>
      <w:r>
        <w:rPr>
          <w:rFonts w:hint="eastAsia" w:ascii="宋体" w:hAnsi="宋体" w:cs="宋体"/>
          <w:b/>
          <w:sz w:val="24"/>
          <w:u w:val="single"/>
        </w:rPr>
        <w:t xml:space="preserve">  建筑业  </w:t>
      </w:r>
      <w:r>
        <w:rPr>
          <w:rFonts w:hint="eastAsia" w:ascii="宋体" w:hAnsi="宋体" w:cs="宋体"/>
          <w:b/>
          <w:sz w:val="24"/>
        </w:rPr>
        <w:t>，根据《工业和信息化部、国家统计局、国家发展和改革委员会、财政部关于印发中小企业划型标准规定的通知》（工信部联企业[2011]300号）规定的划分标准填写。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30163B5-62E8-4B68-9570-4CD61249EA0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D362651-11A2-4F8E-AB7A-DF7D51DF19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YWQ1ZTFkNDMwOGNmYjMwNDE0ZjlhNTNiZTRlMjYifQ=="/>
  </w:docVars>
  <w:rsids>
    <w:rsidRoot w:val="00000000"/>
    <w:rsid w:val="21DC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2023-08-20T09:45:01Z</dcterms:created>
  <dc:creator>JSGX01</dc:creator>
  <cp:lastModifiedBy>黑骑士</cp:lastModifiedBy>
  <dcterms:modified xsi:type="dcterms:W3CDTF">2023-08-20T09:45:09Z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CD72C39A608943B59357A3B6CA408FB1_12</vt:lpwstr>
  </property>
</Properties>
</file>