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numPr>
          <w:ilvl w:val="0"/>
          <w:numId w:val="0"/>
        </w:numPr>
        <w:jc w:val="center"/>
        <w:outlineLvl w:val="1"/>
        <w:rPr>
          <w:rFonts w:ascii="宋体" w:hAnsi="宋体" w:eastAsia="宋体" w:cs="宋体"/>
          <w:b/>
        </w:rPr>
      </w:pPr>
      <w:r>
        <w:rPr>
          <w:rFonts w:hint="eastAsia" w:ascii="宋体" w:hAnsi="宋体" w:eastAsia="宋体" w:cs="宋体"/>
          <w:b/>
          <w:lang w:val="en-US" w:eastAsia="zh-CN"/>
        </w:rPr>
        <w:t>第一项</w:t>
      </w:r>
      <w:r>
        <w:rPr>
          <w:rFonts w:hint="eastAsia" w:ascii="宋体" w:hAnsi="宋体" w:eastAsia="宋体" w:cs="宋体"/>
          <w:b/>
        </w:rPr>
        <w:t xml:space="preserve"> 采购需求</w:t>
      </w:r>
    </w:p>
    <w:p>
      <w:pPr>
        <w:spacing w:line="336" w:lineRule="auto"/>
        <w:rPr>
          <w:rFonts w:ascii="宋体" w:hAnsi="宋体" w:cs="宋体"/>
          <w:b/>
          <w:kern w:val="0"/>
          <w:szCs w:val="21"/>
        </w:rPr>
      </w:pPr>
      <w:r>
        <w:rPr>
          <w:rFonts w:hint="eastAsia" w:ascii="宋体" w:hAnsi="宋体" w:cs="宋体"/>
          <w:b/>
          <w:kern w:val="0"/>
          <w:szCs w:val="21"/>
        </w:rPr>
        <w:t>采购包一：</w:t>
      </w:r>
      <w:r>
        <w:rPr>
          <w:rFonts w:hint="eastAsia" w:ascii="宋体" w:hAnsi="宋体" w:cs="宋体"/>
          <w:b/>
          <w:kern w:val="0"/>
          <w:szCs w:val="21"/>
          <w:lang w:eastAsia="zh-Hans"/>
        </w:rPr>
        <w:t>终端防护中心</w:t>
      </w:r>
      <w:r>
        <w:rPr>
          <w:rFonts w:hint="eastAsia" w:ascii="宋体" w:hAnsi="宋体" w:cs="宋体"/>
          <w:b/>
          <w:kern w:val="0"/>
          <w:szCs w:val="21"/>
        </w:rPr>
        <w:t>项目</w:t>
      </w:r>
    </w:p>
    <w:p>
      <w:pPr>
        <w:pStyle w:val="3"/>
        <w:ind w:firstLine="211" w:firstLineChars="100"/>
        <w:rPr>
          <w:rFonts w:ascii="宋体" w:hAnsi="宋体" w:cs="宋体"/>
          <w:sz w:val="21"/>
          <w:szCs w:val="21"/>
          <w:lang w:eastAsia="zh-Hans"/>
        </w:rPr>
      </w:pPr>
      <w:r>
        <w:rPr>
          <w:rFonts w:hint="eastAsia" w:ascii="宋体" w:hAnsi="宋体" w:cs="宋体"/>
          <w:sz w:val="21"/>
          <w:szCs w:val="21"/>
        </w:rPr>
        <w:t>一、</w:t>
      </w:r>
      <w:r>
        <w:rPr>
          <w:rFonts w:hint="eastAsia" w:ascii="宋体" w:hAnsi="宋体" w:cs="宋体"/>
          <w:sz w:val="21"/>
          <w:szCs w:val="21"/>
          <w:lang w:eastAsia="zh-Hans"/>
        </w:rPr>
        <w:t>设备清单</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2187"/>
        <w:gridCol w:w="3919"/>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95" w:type="dxa"/>
            <w:vAlign w:val="center"/>
          </w:tcPr>
          <w:p>
            <w:pPr>
              <w:jc w:val="center"/>
              <w:rPr>
                <w:rFonts w:ascii="宋体" w:hAnsi="宋体" w:cs="宋体"/>
                <w:szCs w:val="21"/>
              </w:rPr>
            </w:pPr>
            <w:r>
              <w:rPr>
                <w:rFonts w:hint="eastAsia" w:ascii="宋体" w:hAnsi="宋体" w:cs="宋体"/>
                <w:szCs w:val="21"/>
              </w:rPr>
              <w:t>序号</w:t>
            </w:r>
          </w:p>
        </w:tc>
        <w:tc>
          <w:tcPr>
            <w:tcW w:w="2187" w:type="dxa"/>
            <w:vAlign w:val="center"/>
          </w:tcPr>
          <w:p>
            <w:pPr>
              <w:jc w:val="center"/>
              <w:rPr>
                <w:rFonts w:ascii="宋体" w:hAnsi="宋体" w:cs="宋体"/>
                <w:szCs w:val="21"/>
              </w:rPr>
            </w:pPr>
            <w:r>
              <w:rPr>
                <w:rFonts w:hint="eastAsia" w:ascii="宋体" w:hAnsi="宋体" w:cs="宋体"/>
                <w:szCs w:val="21"/>
              </w:rPr>
              <w:t>名称</w:t>
            </w:r>
          </w:p>
        </w:tc>
        <w:tc>
          <w:tcPr>
            <w:tcW w:w="3919" w:type="dxa"/>
            <w:vAlign w:val="center"/>
          </w:tcPr>
          <w:p>
            <w:pPr>
              <w:jc w:val="center"/>
              <w:rPr>
                <w:rFonts w:ascii="宋体" w:hAnsi="宋体" w:cs="宋体"/>
                <w:szCs w:val="21"/>
              </w:rPr>
            </w:pPr>
            <w:r>
              <w:rPr>
                <w:rFonts w:hint="eastAsia" w:ascii="宋体" w:hAnsi="宋体" w:cs="宋体"/>
                <w:szCs w:val="21"/>
              </w:rPr>
              <w:t>规格</w:t>
            </w:r>
          </w:p>
        </w:tc>
        <w:tc>
          <w:tcPr>
            <w:tcW w:w="1017" w:type="dxa"/>
            <w:vAlign w:val="center"/>
          </w:tcPr>
          <w:p>
            <w:pPr>
              <w:jc w:val="center"/>
              <w:rPr>
                <w:rFonts w:ascii="宋体" w:hAnsi="宋体" w:cs="宋体"/>
                <w:szCs w:val="21"/>
              </w:rPr>
            </w:pPr>
            <w:r>
              <w:rPr>
                <w:rFonts w:hint="eastAsia" w:ascii="宋体" w:hAnsi="宋体" w:cs="宋体"/>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695" w:type="dxa"/>
            <w:vAlign w:val="center"/>
          </w:tcPr>
          <w:p>
            <w:pPr>
              <w:jc w:val="center"/>
              <w:rPr>
                <w:rFonts w:ascii="宋体" w:hAnsi="宋体" w:cs="宋体"/>
                <w:szCs w:val="21"/>
              </w:rPr>
            </w:pPr>
            <w:r>
              <w:rPr>
                <w:rFonts w:hint="eastAsia" w:ascii="宋体" w:hAnsi="宋体" w:cs="宋体"/>
                <w:szCs w:val="21"/>
              </w:rPr>
              <w:t>1</w:t>
            </w:r>
          </w:p>
        </w:tc>
        <w:tc>
          <w:tcPr>
            <w:tcW w:w="2187" w:type="dxa"/>
            <w:vAlign w:val="center"/>
          </w:tcPr>
          <w:p>
            <w:pPr>
              <w:spacing w:line="360" w:lineRule="auto"/>
              <w:rPr>
                <w:rFonts w:ascii="宋体" w:hAnsi="宋体" w:cs="宋体"/>
                <w:color w:val="000000"/>
                <w:szCs w:val="21"/>
              </w:rPr>
            </w:pPr>
            <w:r>
              <w:rPr>
                <w:rFonts w:hint="eastAsia" w:ascii="宋体" w:hAnsi="宋体" w:cs="宋体"/>
                <w:color w:val="000000"/>
                <w:szCs w:val="21"/>
              </w:rPr>
              <w:t>服务器安全防护软件</w:t>
            </w:r>
          </w:p>
        </w:tc>
        <w:tc>
          <w:tcPr>
            <w:tcW w:w="3919" w:type="dxa"/>
            <w:vAlign w:val="center"/>
          </w:tcPr>
          <w:p>
            <w:pPr>
              <w:ind w:firstLine="210" w:firstLineChars="100"/>
              <w:jc w:val="left"/>
              <w:rPr>
                <w:rFonts w:ascii="宋体" w:hAnsi="宋体" w:cs="宋体"/>
                <w:szCs w:val="21"/>
                <w:lang w:eastAsia="zh-Hans"/>
              </w:rPr>
            </w:pPr>
            <w:r>
              <w:rPr>
                <w:rFonts w:hint="eastAsia" w:ascii="宋体" w:hAnsi="宋体" w:cs="宋体"/>
                <w:color w:val="000000"/>
                <w:kern w:val="0"/>
                <w:szCs w:val="21"/>
                <w:lang w:bidi="ar"/>
              </w:rPr>
              <w:t>配置200点服务器端使用授权(</w:t>
            </w:r>
            <w:r>
              <w:rPr>
                <w:rFonts w:hint="eastAsia" w:ascii="宋体" w:hAnsi="宋体" w:cs="宋体"/>
                <w:color w:val="000000"/>
                <w:kern w:val="0"/>
                <w:szCs w:val="21"/>
                <w:lang w:eastAsia="zh-Hans" w:bidi="ar"/>
              </w:rPr>
              <w:t>支持windows和linux</w:t>
            </w:r>
            <w:r>
              <w:rPr>
                <w:rFonts w:hint="eastAsia" w:ascii="宋体" w:hAnsi="宋体" w:cs="宋体"/>
                <w:color w:val="000000"/>
                <w:kern w:val="0"/>
                <w:szCs w:val="21"/>
                <w:lang w:bidi="ar"/>
              </w:rPr>
              <w:t>)、</w:t>
            </w:r>
            <w:r>
              <w:rPr>
                <w:rFonts w:hint="eastAsia" w:ascii="宋体" w:hAnsi="宋体" w:cs="宋体"/>
                <w:szCs w:val="21"/>
                <w:lang w:eastAsia="zh-Hans"/>
              </w:rPr>
              <w:t>质保期内免费升级</w:t>
            </w:r>
          </w:p>
        </w:tc>
        <w:tc>
          <w:tcPr>
            <w:tcW w:w="1017" w:type="dxa"/>
            <w:vAlign w:val="center"/>
          </w:tcPr>
          <w:p>
            <w:pPr>
              <w:jc w:val="center"/>
              <w:rPr>
                <w:rFonts w:ascii="宋体" w:hAnsi="宋体" w:cs="宋体"/>
                <w:szCs w:val="21"/>
              </w:rPr>
            </w:pPr>
            <w:r>
              <w:rPr>
                <w:rFonts w:hint="eastAsia" w:ascii="宋体" w:hAnsi="宋体" w:cs="宋体"/>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jc w:val="center"/>
        </w:trPr>
        <w:tc>
          <w:tcPr>
            <w:tcW w:w="695" w:type="dxa"/>
            <w:vAlign w:val="center"/>
          </w:tcPr>
          <w:p>
            <w:pPr>
              <w:jc w:val="center"/>
              <w:rPr>
                <w:rFonts w:ascii="宋体" w:hAnsi="宋体" w:cs="宋体"/>
                <w:szCs w:val="21"/>
              </w:rPr>
            </w:pPr>
            <w:r>
              <w:rPr>
                <w:rFonts w:hint="eastAsia" w:ascii="宋体" w:hAnsi="宋体" w:cs="宋体"/>
                <w:szCs w:val="21"/>
              </w:rPr>
              <w:t>2</w:t>
            </w:r>
          </w:p>
        </w:tc>
        <w:tc>
          <w:tcPr>
            <w:tcW w:w="2187" w:type="dxa"/>
            <w:vAlign w:val="center"/>
          </w:tcPr>
          <w:p>
            <w:pPr>
              <w:spacing w:line="360" w:lineRule="auto"/>
              <w:rPr>
                <w:rFonts w:ascii="宋体" w:hAnsi="宋体" w:cs="宋体"/>
                <w:color w:val="000000"/>
                <w:szCs w:val="21"/>
              </w:rPr>
            </w:pPr>
            <w:r>
              <w:rPr>
                <w:rFonts w:hint="eastAsia" w:ascii="宋体" w:hAnsi="宋体" w:cs="宋体"/>
                <w:color w:val="000000"/>
                <w:szCs w:val="21"/>
              </w:rPr>
              <w:t>终端安全防护软件</w:t>
            </w:r>
          </w:p>
        </w:tc>
        <w:tc>
          <w:tcPr>
            <w:tcW w:w="3919" w:type="dxa"/>
            <w:vAlign w:val="center"/>
          </w:tcPr>
          <w:p>
            <w:pPr>
              <w:ind w:firstLine="210" w:firstLineChars="100"/>
              <w:jc w:val="left"/>
              <w:rPr>
                <w:rFonts w:ascii="宋体" w:hAnsi="宋体" w:cs="宋体"/>
                <w:szCs w:val="21"/>
              </w:rPr>
            </w:pPr>
            <w:r>
              <w:rPr>
                <w:rFonts w:hint="eastAsia" w:ascii="宋体" w:hAnsi="宋体" w:cs="宋体"/>
                <w:color w:val="000000"/>
                <w:kern w:val="0"/>
                <w:szCs w:val="21"/>
                <w:lang w:bidi="ar"/>
              </w:rPr>
              <w:t>配置1000点终端PC使用授权(</w:t>
            </w:r>
            <w:r>
              <w:rPr>
                <w:rFonts w:hint="eastAsia" w:ascii="宋体" w:hAnsi="宋体" w:cs="宋体"/>
                <w:color w:val="000000"/>
                <w:kern w:val="0"/>
                <w:szCs w:val="21"/>
                <w:lang w:eastAsia="zh-Hans" w:bidi="ar"/>
              </w:rPr>
              <w:t>支持windows和linux</w:t>
            </w:r>
            <w:r>
              <w:rPr>
                <w:rFonts w:hint="eastAsia" w:ascii="宋体" w:hAnsi="宋体" w:cs="宋体"/>
                <w:color w:val="000000"/>
                <w:kern w:val="0"/>
                <w:szCs w:val="21"/>
                <w:lang w:bidi="ar"/>
              </w:rPr>
              <w:t>)、</w:t>
            </w:r>
            <w:r>
              <w:rPr>
                <w:rFonts w:hint="eastAsia" w:ascii="宋体" w:hAnsi="宋体" w:cs="宋体"/>
                <w:szCs w:val="21"/>
                <w:lang w:eastAsia="zh-Hans"/>
              </w:rPr>
              <w:t>质保期内免费升级</w:t>
            </w:r>
          </w:p>
        </w:tc>
        <w:tc>
          <w:tcPr>
            <w:tcW w:w="1017" w:type="dxa"/>
            <w:vAlign w:val="center"/>
          </w:tcPr>
          <w:p>
            <w:pPr>
              <w:jc w:val="center"/>
              <w:rPr>
                <w:rFonts w:ascii="宋体" w:hAnsi="宋体" w:cs="宋体"/>
                <w:szCs w:val="21"/>
              </w:rPr>
            </w:pPr>
            <w:r>
              <w:rPr>
                <w:rFonts w:hint="eastAsia" w:ascii="宋体" w:hAnsi="宋体" w:cs="宋体"/>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695" w:type="dxa"/>
            <w:vAlign w:val="center"/>
          </w:tcPr>
          <w:p>
            <w:pPr>
              <w:jc w:val="center"/>
              <w:rPr>
                <w:rFonts w:ascii="宋体" w:hAnsi="宋体" w:cs="宋体"/>
                <w:szCs w:val="21"/>
              </w:rPr>
            </w:pPr>
            <w:r>
              <w:rPr>
                <w:rFonts w:hint="eastAsia" w:ascii="宋体" w:hAnsi="宋体" w:cs="宋体"/>
                <w:szCs w:val="21"/>
              </w:rPr>
              <w:t>3</w:t>
            </w:r>
          </w:p>
        </w:tc>
        <w:tc>
          <w:tcPr>
            <w:tcW w:w="2187" w:type="dxa"/>
            <w:vAlign w:val="center"/>
          </w:tcPr>
          <w:p>
            <w:pPr>
              <w:spacing w:line="360" w:lineRule="auto"/>
              <w:jc w:val="center"/>
              <w:rPr>
                <w:rFonts w:ascii="宋体" w:hAnsi="宋体" w:cs="宋体"/>
                <w:color w:val="000000"/>
                <w:szCs w:val="21"/>
                <w:lang w:eastAsia="zh-Hans"/>
              </w:rPr>
            </w:pPr>
            <w:r>
              <w:rPr>
                <w:rFonts w:hint="eastAsia" w:ascii="宋体" w:hAnsi="宋体" w:cs="宋体"/>
                <w:color w:val="000000"/>
                <w:szCs w:val="21"/>
                <w:lang w:eastAsia="zh-Hans"/>
              </w:rPr>
              <w:t>终端安全管理平台</w:t>
            </w:r>
          </w:p>
        </w:tc>
        <w:tc>
          <w:tcPr>
            <w:tcW w:w="3919" w:type="dxa"/>
            <w:vAlign w:val="center"/>
          </w:tcPr>
          <w:p>
            <w:pPr>
              <w:ind w:firstLine="210" w:firstLineChars="100"/>
              <w:jc w:val="left"/>
              <w:rPr>
                <w:rFonts w:ascii="宋体" w:hAnsi="宋体" w:cs="宋体"/>
                <w:color w:val="000000"/>
                <w:kern w:val="0"/>
                <w:szCs w:val="21"/>
                <w:lang w:eastAsia="zh-Hans" w:bidi="ar"/>
              </w:rPr>
            </w:pPr>
            <w:r>
              <w:rPr>
                <w:rFonts w:hint="eastAsia" w:ascii="宋体" w:hAnsi="宋体" w:cs="宋体"/>
                <w:color w:val="000000"/>
                <w:kern w:val="0"/>
                <w:szCs w:val="21"/>
                <w:lang w:eastAsia="zh-Hans" w:bidi="ar"/>
              </w:rPr>
              <w:t>B/S架构管理平台，</w:t>
            </w:r>
            <w:r>
              <w:rPr>
                <w:rFonts w:hint="eastAsia" w:ascii="宋体" w:hAnsi="宋体" w:cs="宋体"/>
                <w:szCs w:val="21"/>
                <w:lang w:eastAsia="zh-Hans"/>
              </w:rPr>
              <w:t>质保期内免费升级</w:t>
            </w:r>
          </w:p>
        </w:tc>
        <w:tc>
          <w:tcPr>
            <w:tcW w:w="1017" w:type="dxa"/>
            <w:vAlign w:val="center"/>
          </w:tcPr>
          <w:p>
            <w:pPr>
              <w:jc w:val="center"/>
              <w:rPr>
                <w:rFonts w:ascii="宋体" w:hAnsi="宋体" w:cs="宋体"/>
                <w:szCs w:val="21"/>
              </w:rPr>
            </w:pPr>
            <w:r>
              <w:rPr>
                <w:rFonts w:hint="eastAsia" w:ascii="宋体" w:hAnsi="宋体" w:cs="宋体"/>
                <w:szCs w:val="21"/>
              </w:rPr>
              <w:t>1套</w:t>
            </w:r>
          </w:p>
        </w:tc>
      </w:tr>
    </w:tbl>
    <w:p>
      <w:pPr>
        <w:pStyle w:val="9"/>
        <w:ind w:left="3360"/>
        <w:rPr>
          <w:rFonts w:ascii="宋体" w:hAnsi="宋体" w:cs="宋体"/>
          <w:szCs w:val="21"/>
        </w:rPr>
      </w:pPr>
    </w:p>
    <w:p>
      <w:pPr>
        <w:pStyle w:val="3"/>
        <w:ind w:firstLine="422" w:firstLineChars="200"/>
        <w:rPr>
          <w:rFonts w:ascii="宋体" w:hAnsi="宋体" w:cs="宋体"/>
          <w:sz w:val="21"/>
          <w:szCs w:val="21"/>
          <w:lang w:eastAsia="zh-Hans"/>
        </w:rPr>
      </w:pPr>
      <w:r>
        <w:rPr>
          <w:rFonts w:hint="eastAsia" w:ascii="宋体" w:hAnsi="宋体" w:cs="宋体"/>
          <w:sz w:val="21"/>
          <w:szCs w:val="21"/>
        </w:rPr>
        <w:t>二、项目</w:t>
      </w:r>
      <w:r>
        <w:rPr>
          <w:rFonts w:hint="eastAsia" w:ascii="宋体" w:hAnsi="宋体" w:cs="宋体"/>
          <w:sz w:val="21"/>
          <w:szCs w:val="21"/>
          <w:lang w:eastAsia="zh-Hans"/>
        </w:rPr>
        <w:t>要求</w:t>
      </w:r>
    </w:p>
    <w:p>
      <w:pPr>
        <w:spacing w:line="360" w:lineRule="auto"/>
        <w:ind w:firstLine="420" w:firstLineChars="200"/>
        <w:rPr>
          <w:rFonts w:ascii="宋体" w:hAnsi="宋体" w:cs="宋体"/>
          <w:szCs w:val="21"/>
        </w:rPr>
      </w:pPr>
      <w:r>
        <w:rPr>
          <w:rFonts w:hint="eastAsia" w:ascii="宋体" w:hAnsi="宋体" w:cs="宋体"/>
          <w:szCs w:val="21"/>
        </w:rPr>
        <w:t>终端检测响应平台 EDR，围绕终端资产安全生命周期，通过预防、防御、检测、响应赋予终端更为细致的隔离策略、更为精准的查杀能力、更为持续的检测能力、更为快速的处置能力。在应对高级威胁的同时，通过网“端” 云协同联动、威胁情报共享、多层级响应机制，帮助用户快速处置终端安全问题，构建轻量级、智能化、响应快的下一代终端安全系统。</w:t>
      </w:r>
    </w:p>
    <w:p>
      <w:pPr>
        <w:spacing w:line="360" w:lineRule="auto"/>
        <w:ind w:firstLine="420" w:firstLineChars="200"/>
        <w:rPr>
          <w:rFonts w:ascii="宋体" w:hAnsi="宋体" w:cs="宋体"/>
          <w:szCs w:val="21"/>
        </w:rPr>
      </w:pPr>
      <w:r>
        <w:rPr>
          <w:rFonts w:hint="eastAsia" w:ascii="宋体" w:hAnsi="宋体" w:cs="宋体"/>
          <w:szCs w:val="21"/>
        </w:rPr>
        <w:t>1、预防能力：为用户提供对终端资产盘点、安全基线核查、智能微隔离、东西向流量可视等预防能力。</w:t>
      </w:r>
    </w:p>
    <w:p>
      <w:pPr>
        <w:spacing w:line="360" w:lineRule="auto"/>
        <w:ind w:firstLine="420" w:firstLineChars="200"/>
        <w:rPr>
          <w:rFonts w:ascii="宋体" w:hAnsi="宋体" w:cs="宋体"/>
          <w:szCs w:val="21"/>
        </w:rPr>
      </w:pPr>
      <w:r>
        <w:rPr>
          <w:rFonts w:hint="eastAsia" w:ascii="宋体" w:hAnsi="宋体" w:cs="宋体"/>
          <w:szCs w:val="21"/>
        </w:rPr>
        <w:t>2、防御能力：为用户提供对勒索软件、爆破入侵、后门上传、活跃僵尸程序等的实时防御能力。</w:t>
      </w:r>
    </w:p>
    <w:p>
      <w:pPr>
        <w:spacing w:line="360" w:lineRule="auto"/>
        <w:ind w:firstLine="420" w:firstLineChars="200"/>
        <w:rPr>
          <w:rFonts w:ascii="宋体" w:hAnsi="宋体" w:cs="宋体"/>
          <w:szCs w:val="21"/>
        </w:rPr>
      </w:pPr>
      <w:r>
        <w:rPr>
          <w:rFonts w:hint="eastAsia" w:ascii="宋体" w:hAnsi="宋体" w:cs="宋体"/>
          <w:szCs w:val="21"/>
        </w:rPr>
        <w:t>3、检测能力：为用户提供对恶意文件、入侵攻击、web后门、热点事件的检测能力。响应能力 ：支持全网威胁定。</w:t>
      </w:r>
    </w:p>
    <w:p>
      <w:pPr>
        <w:spacing w:line="360" w:lineRule="auto"/>
        <w:ind w:firstLine="422" w:firstLineChars="200"/>
        <w:rPr>
          <w:rFonts w:ascii="宋体" w:hAnsi="宋体" w:cs="宋体"/>
          <w:b/>
          <w:szCs w:val="21"/>
        </w:rPr>
      </w:pPr>
      <w:r>
        <w:rPr>
          <w:rFonts w:hint="eastAsia" w:ascii="宋体" w:hAnsi="宋体" w:cs="宋体"/>
          <w:b/>
          <w:szCs w:val="21"/>
        </w:rPr>
        <w:t>三、主要技术参数</w:t>
      </w:r>
    </w:p>
    <w:p>
      <w:pPr>
        <w:pStyle w:val="3"/>
        <w:ind w:firstLine="422" w:firstLineChars="200"/>
        <w:rPr>
          <w:rFonts w:ascii="宋体" w:hAnsi="宋体" w:cs="宋体"/>
          <w:sz w:val="21"/>
          <w:szCs w:val="21"/>
        </w:rPr>
      </w:pPr>
      <w:r>
        <w:rPr>
          <w:rFonts w:hint="eastAsia" w:ascii="宋体" w:hAnsi="宋体" w:cs="宋体"/>
          <w:kern w:val="2"/>
          <w:sz w:val="21"/>
          <w:szCs w:val="21"/>
        </w:rPr>
        <w:t>1、服务器安全防护软件</w:t>
      </w:r>
    </w:p>
    <w:tbl>
      <w:tblPr>
        <w:tblStyle w:val="10"/>
        <w:tblW w:w="4983" w:type="pct"/>
        <w:jc w:val="center"/>
        <w:tblLayout w:type="autofit"/>
        <w:tblCellMar>
          <w:top w:w="0" w:type="dxa"/>
          <w:left w:w="108" w:type="dxa"/>
          <w:bottom w:w="0" w:type="dxa"/>
          <w:right w:w="108" w:type="dxa"/>
        </w:tblCellMar>
      </w:tblPr>
      <w:tblGrid>
        <w:gridCol w:w="552"/>
        <w:gridCol w:w="1594"/>
        <w:gridCol w:w="6347"/>
      </w:tblGrid>
      <w:tr>
        <w:tblPrEx>
          <w:tblCellMar>
            <w:top w:w="0" w:type="dxa"/>
            <w:left w:w="108" w:type="dxa"/>
            <w:bottom w:w="0" w:type="dxa"/>
            <w:right w:w="108" w:type="dxa"/>
          </w:tblCellMar>
        </w:tblPrEx>
        <w:trPr>
          <w:trHeight w:val="615" w:hRule="atLeast"/>
          <w:jc w:val="center"/>
        </w:trPr>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序号</w:t>
            </w:r>
          </w:p>
        </w:tc>
        <w:tc>
          <w:tcPr>
            <w:tcW w:w="9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功能项</w:t>
            </w: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功能要求说明</w:t>
            </w:r>
          </w:p>
        </w:tc>
      </w:tr>
      <w:tr>
        <w:tblPrEx>
          <w:tblCellMar>
            <w:top w:w="0" w:type="dxa"/>
            <w:left w:w="108" w:type="dxa"/>
            <w:bottom w:w="0" w:type="dxa"/>
            <w:right w:w="108" w:type="dxa"/>
          </w:tblCellMar>
        </w:tblPrEx>
        <w:trPr>
          <w:trHeight w:val="527" w:hRule="atLeast"/>
          <w:jc w:val="center"/>
        </w:trPr>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1</w:t>
            </w:r>
          </w:p>
        </w:tc>
        <w:tc>
          <w:tcPr>
            <w:tcW w:w="9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产品规格</w:t>
            </w: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★需提供</w:t>
            </w:r>
            <w:r>
              <w:rPr>
                <w:rFonts w:hint="eastAsia" w:ascii="宋体" w:hAnsi="宋体" w:cs="宋体"/>
                <w:szCs w:val="21"/>
              </w:rPr>
              <w:t>：≥</w:t>
            </w:r>
            <w:r>
              <w:rPr>
                <w:rFonts w:hint="eastAsia" w:ascii="宋体" w:hAnsi="宋体" w:cs="宋体"/>
                <w:color w:val="000000"/>
                <w:kern w:val="0"/>
                <w:szCs w:val="21"/>
                <w:lang w:bidi="ar"/>
              </w:rPr>
              <w:t>200</w:t>
            </w:r>
            <w:r>
              <w:rPr>
                <w:rFonts w:hint="eastAsia" w:ascii="宋体" w:hAnsi="宋体" w:cs="宋体"/>
                <w:color w:val="000000"/>
                <w:kern w:val="0"/>
                <w:szCs w:val="21"/>
                <w:lang w:eastAsia="zh-Hans" w:bidi="ar"/>
              </w:rPr>
              <w:t>个</w:t>
            </w:r>
            <w:r>
              <w:rPr>
                <w:rFonts w:hint="eastAsia" w:ascii="宋体" w:hAnsi="宋体" w:cs="宋体"/>
                <w:color w:val="000000"/>
                <w:kern w:val="0"/>
                <w:szCs w:val="21"/>
                <w:lang w:bidi="ar"/>
              </w:rPr>
              <w:t>点服务器使用授权(</w:t>
            </w:r>
            <w:r>
              <w:rPr>
                <w:rFonts w:hint="eastAsia" w:ascii="宋体" w:hAnsi="宋体" w:cs="宋体"/>
                <w:color w:val="000000"/>
                <w:kern w:val="0"/>
                <w:szCs w:val="21"/>
                <w:lang w:eastAsia="zh-Hans" w:bidi="ar"/>
              </w:rPr>
              <w:t>支持windows和linux</w:t>
            </w:r>
            <w:r>
              <w:rPr>
                <w:rFonts w:hint="eastAsia" w:ascii="宋体" w:hAnsi="宋体" w:cs="宋体"/>
                <w:color w:val="000000"/>
                <w:kern w:val="0"/>
                <w:szCs w:val="21"/>
                <w:lang w:bidi="ar"/>
              </w:rPr>
              <w:t>)</w:t>
            </w:r>
          </w:p>
        </w:tc>
      </w:tr>
      <w:tr>
        <w:tblPrEx>
          <w:tblCellMar>
            <w:top w:w="0" w:type="dxa"/>
            <w:left w:w="108" w:type="dxa"/>
            <w:bottom w:w="0" w:type="dxa"/>
            <w:right w:w="108" w:type="dxa"/>
          </w:tblCellMar>
        </w:tblPrEx>
        <w:trPr>
          <w:trHeight w:val="527" w:hRule="atLeast"/>
          <w:jc w:val="center"/>
        </w:trPr>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2</w:t>
            </w:r>
          </w:p>
        </w:tc>
        <w:tc>
          <w:tcPr>
            <w:tcW w:w="9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管理可视化</w:t>
            </w: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▲采用B/S架构的管理控制中心，具备终端安全可视，终端统一管理，统一威胁处置，统一漏洞修复，威胁响应处置，日志记录与查询等功能。</w:t>
            </w:r>
            <w:r>
              <w:rPr>
                <w:rFonts w:hint="eastAsia" w:ascii="宋体" w:hAnsi="宋体" w:cs="宋体"/>
                <w:kern w:val="0"/>
                <w:szCs w:val="21"/>
              </w:rPr>
              <w:t>控制中心根据客户端点数的增加支持横向扩展；</w:t>
            </w:r>
          </w:p>
        </w:tc>
      </w:tr>
      <w:tr>
        <w:tblPrEx>
          <w:tblCellMar>
            <w:top w:w="0" w:type="dxa"/>
            <w:left w:w="108" w:type="dxa"/>
            <w:bottom w:w="0" w:type="dxa"/>
            <w:right w:w="108" w:type="dxa"/>
          </w:tblCellMar>
        </w:tblPrEx>
        <w:trPr>
          <w:trHeight w:val="520" w:hRule="atLeast"/>
          <w:jc w:val="center"/>
        </w:trPr>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3</w:t>
            </w:r>
          </w:p>
        </w:tc>
        <w:tc>
          <w:tcPr>
            <w:tcW w:w="9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多维度</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威胁展示</w:t>
            </w: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支持全网风险展示，包括但不限于未处理的勒索病毒数量、高级威胁、暴力破解、僵尸网络、WebShell后门、高危漏洞及其各自影响的终端数量</w:t>
            </w:r>
          </w:p>
        </w:tc>
      </w:tr>
      <w:tr>
        <w:tblPrEx>
          <w:tblCellMar>
            <w:top w:w="0" w:type="dxa"/>
            <w:left w:w="108" w:type="dxa"/>
            <w:bottom w:w="0" w:type="dxa"/>
            <w:right w:w="108" w:type="dxa"/>
          </w:tblCellMar>
        </w:tblPrEx>
        <w:trPr>
          <w:trHeight w:val="530" w:hRule="atLeast"/>
          <w:jc w:val="center"/>
        </w:trPr>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提供勒索病毒整体防护体系入口，直观展示最近七天勒索病毒防护效果，包括已处置的勒索病毒数量、已阻止的勒索病毒行为次数、已阻止的未知进程操作次数、已阻止的暴力破解攻击次数</w:t>
            </w:r>
          </w:p>
        </w:tc>
      </w:tr>
      <w:tr>
        <w:tblPrEx>
          <w:tblCellMar>
            <w:top w:w="0" w:type="dxa"/>
            <w:left w:w="108" w:type="dxa"/>
            <w:bottom w:w="0" w:type="dxa"/>
            <w:right w:w="108" w:type="dxa"/>
          </w:tblCellMar>
        </w:tblPrEx>
        <w:trPr>
          <w:trHeight w:val="530" w:hRule="atLeast"/>
          <w:jc w:val="center"/>
        </w:trPr>
        <w:tc>
          <w:tcPr>
            <w:tcW w:w="325" w:type="pc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4</w:t>
            </w:r>
          </w:p>
        </w:tc>
        <w:tc>
          <w:tcPr>
            <w:tcW w:w="938" w:type="pc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Webshell</w:t>
            </w:r>
          </w:p>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事件处理</w:t>
            </w: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展示终端检测到的WebShell事件及事件详情，包括：恶意文件名称，威胁等级，受感染的文件，发现时间，检测引擎，文件类型，文件名，文件Hash值，文件大小，文件创建时间；可配置WebShell实时扫描，一旦发现WebShell文件，可自动隔离或仅上报不隔离</w:t>
            </w:r>
          </w:p>
        </w:tc>
      </w:tr>
      <w:tr>
        <w:tblPrEx>
          <w:tblCellMar>
            <w:top w:w="0" w:type="dxa"/>
            <w:left w:w="108" w:type="dxa"/>
            <w:bottom w:w="0" w:type="dxa"/>
            <w:right w:w="108" w:type="dxa"/>
          </w:tblCellMar>
        </w:tblPrEx>
        <w:trPr>
          <w:trHeight w:val="530" w:hRule="atLeast"/>
          <w:jc w:val="center"/>
        </w:trPr>
        <w:tc>
          <w:tcPr>
            <w:tcW w:w="325"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5</w:t>
            </w:r>
          </w:p>
        </w:tc>
        <w:tc>
          <w:tcPr>
            <w:tcW w:w="938"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Windows</w:t>
            </w:r>
          </w:p>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服务器加固</w:t>
            </w: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提供基于可信鉴定方式的进程防护方式，通过人工智能自学习机制，自动建立信任进程名单，阻断非可信进程的运行并提供配置指引，同时支持通过模板和手动的方式添加信任进程</w:t>
            </w:r>
          </w:p>
        </w:tc>
      </w:tr>
      <w:tr>
        <w:tblPrEx>
          <w:tblCellMar>
            <w:top w:w="0" w:type="dxa"/>
            <w:left w:w="108" w:type="dxa"/>
            <w:bottom w:w="0" w:type="dxa"/>
            <w:right w:w="108" w:type="dxa"/>
          </w:tblCellMar>
        </w:tblPrEx>
        <w:trPr>
          <w:trHeight w:val="530" w:hRule="atLeast"/>
          <w:jc w:val="center"/>
        </w:trPr>
        <w:tc>
          <w:tcPr>
            <w:tcW w:w="325" w:type="pct"/>
            <w:vMerge w:val="continue"/>
            <w:tcBorders>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938" w:type="pct"/>
            <w:vMerge w:val="continue"/>
            <w:tcBorders>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支持windows服务器RDP远程登录保护，可开启RDP远程登录二次认证，以防止黑客对服务器的入侵</w:t>
            </w:r>
          </w:p>
        </w:tc>
      </w:tr>
      <w:tr>
        <w:tblPrEx>
          <w:tblCellMar>
            <w:top w:w="0" w:type="dxa"/>
            <w:left w:w="108" w:type="dxa"/>
            <w:bottom w:w="0" w:type="dxa"/>
            <w:right w:w="108" w:type="dxa"/>
          </w:tblCellMar>
        </w:tblPrEx>
        <w:trPr>
          <w:trHeight w:val="530" w:hRule="atLeast"/>
          <w:jc w:val="center"/>
        </w:trPr>
        <w:tc>
          <w:tcPr>
            <w:tcW w:w="325"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6</w:t>
            </w:r>
          </w:p>
        </w:tc>
        <w:tc>
          <w:tcPr>
            <w:tcW w:w="938"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勒索病毒</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专防</w:t>
            </w: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基于勒索病毒攻击过程，建立多维度立体防护机制，提供事前入侵防御-事中反加密-事后检测响应的完整防护体系，展示勒索病毒处置情况，对勒索病毒及变种实现专门有效防御</w:t>
            </w:r>
          </w:p>
        </w:tc>
      </w:tr>
      <w:tr>
        <w:tblPrEx>
          <w:tblCellMar>
            <w:top w:w="0" w:type="dxa"/>
            <w:left w:w="108" w:type="dxa"/>
            <w:bottom w:w="0" w:type="dxa"/>
            <w:right w:w="108" w:type="dxa"/>
          </w:tblCellMar>
        </w:tblPrEx>
        <w:trPr>
          <w:trHeight w:val="260" w:hRule="atLeast"/>
          <w:jc w:val="center"/>
        </w:trPr>
        <w:tc>
          <w:tcPr>
            <w:tcW w:w="325" w:type="pct"/>
            <w:vMerge w:val="continue"/>
            <w:tcBorders>
              <w:left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938" w:type="pct"/>
            <w:vMerge w:val="continue"/>
            <w:tcBorders>
              <w:left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支持监控诱饵文件，诱饵文件可被实时监控，当勒索病毒对该文件进行修改或加密操作时进行拦截</w:t>
            </w:r>
          </w:p>
        </w:tc>
      </w:tr>
      <w:tr>
        <w:tblPrEx>
          <w:tblCellMar>
            <w:top w:w="0" w:type="dxa"/>
            <w:left w:w="108" w:type="dxa"/>
            <w:bottom w:w="0" w:type="dxa"/>
            <w:right w:w="108" w:type="dxa"/>
          </w:tblCellMar>
        </w:tblPrEx>
        <w:trPr>
          <w:trHeight w:val="520" w:hRule="atLeast"/>
          <w:jc w:val="center"/>
        </w:trPr>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7</w:t>
            </w:r>
          </w:p>
        </w:tc>
        <w:tc>
          <w:tcPr>
            <w:tcW w:w="9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暴力破解</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检测</w:t>
            </w: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统计单个攻击源及分布式攻击源的暴力破解检测，支持按照RDP、SMB和SSH类型进行封堵并自定义爆破阈值，可对封停时间进行自设置</w:t>
            </w:r>
          </w:p>
        </w:tc>
      </w:tr>
      <w:tr>
        <w:tblPrEx>
          <w:tblCellMar>
            <w:top w:w="0" w:type="dxa"/>
            <w:left w:w="108" w:type="dxa"/>
            <w:bottom w:w="0" w:type="dxa"/>
            <w:right w:w="108" w:type="dxa"/>
          </w:tblCellMar>
        </w:tblPrEx>
        <w:trPr>
          <w:trHeight w:val="520" w:hRule="atLeast"/>
          <w:jc w:val="center"/>
        </w:trPr>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8</w:t>
            </w:r>
          </w:p>
        </w:tc>
        <w:tc>
          <w:tcPr>
            <w:tcW w:w="9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主动防御</w:t>
            </w: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支持对进程防护、注册表防护、驱动防护、U盘安全防护、邮件防护、下载防护、IM防护、局域网文件防护、网页安全防护、勒索软件防护</w:t>
            </w:r>
          </w:p>
        </w:tc>
      </w:tr>
      <w:tr>
        <w:tblPrEx>
          <w:tblCellMar>
            <w:top w:w="0" w:type="dxa"/>
            <w:left w:w="108" w:type="dxa"/>
            <w:bottom w:w="0" w:type="dxa"/>
            <w:right w:w="108" w:type="dxa"/>
          </w:tblCellMar>
        </w:tblPrEx>
        <w:trPr>
          <w:trHeight w:val="520" w:hRule="atLeast"/>
          <w:jc w:val="center"/>
        </w:trPr>
        <w:tc>
          <w:tcPr>
            <w:tcW w:w="325"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9</w:t>
            </w:r>
          </w:p>
        </w:tc>
        <w:tc>
          <w:tcPr>
            <w:tcW w:w="9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威胁处置</w:t>
            </w: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构建全网文件信誉库，当一台终端发现某一病毒文件，全网可进行感知并进行针对性查杀，支持处置病毒时选择是否在其它终端上同步处置</w:t>
            </w:r>
          </w:p>
        </w:tc>
      </w:tr>
      <w:tr>
        <w:tblPrEx>
          <w:tblCellMar>
            <w:top w:w="0" w:type="dxa"/>
            <w:left w:w="108" w:type="dxa"/>
            <w:bottom w:w="0" w:type="dxa"/>
            <w:right w:w="108" w:type="dxa"/>
          </w:tblCellMar>
        </w:tblPrEx>
        <w:trPr>
          <w:trHeight w:val="270" w:hRule="atLeast"/>
          <w:jc w:val="center"/>
        </w:trPr>
        <w:tc>
          <w:tcPr>
            <w:tcW w:w="325"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9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具备强力专杀云端下发通道，支持在管理端批量下发强力专杀工具到内网各终端快速响应终端威胁。</w:t>
            </w:r>
          </w:p>
        </w:tc>
      </w:tr>
      <w:tr>
        <w:tblPrEx>
          <w:tblCellMar>
            <w:top w:w="0" w:type="dxa"/>
            <w:left w:w="108" w:type="dxa"/>
            <w:bottom w:w="0" w:type="dxa"/>
            <w:right w:w="108" w:type="dxa"/>
          </w:tblCellMar>
        </w:tblPrEx>
        <w:trPr>
          <w:trHeight w:val="270" w:hRule="atLeast"/>
          <w:jc w:val="center"/>
        </w:trPr>
        <w:tc>
          <w:tcPr>
            <w:tcW w:w="325" w:type="pct"/>
            <w:vMerge w:val="restart"/>
            <w:tcBorders>
              <w:top w:val="single" w:color="000000" w:sz="4" w:space="0"/>
              <w:left w:val="single" w:color="auto" w:sz="4" w:space="0"/>
              <w:bottom w:val="single" w:color="auto" w:sz="4" w:space="0"/>
              <w:right w:val="single" w:color="000000" w:sz="4" w:space="0"/>
            </w:tcBorders>
            <w:shd w:val="clear" w:color="auto" w:fill="auto"/>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10</w:t>
            </w:r>
          </w:p>
        </w:tc>
        <w:tc>
          <w:tcPr>
            <w:tcW w:w="938" w:type="pct"/>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ascii="宋体" w:hAnsi="宋体" w:cs="宋体"/>
                <w:color w:val="000000"/>
                <w:szCs w:val="21"/>
              </w:rPr>
            </w:pPr>
            <w:r>
              <w:rPr>
                <w:rFonts w:hint="eastAsia" w:ascii="宋体" w:hAnsi="宋体" w:cs="宋体"/>
                <w:color w:val="000000"/>
                <w:kern w:val="0"/>
                <w:szCs w:val="21"/>
                <w:lang w:bidi="ar"/>
              </w:rPr>
              <w:t>病毒扫描</w:t>
            </w:r>
          </w:p>
        </w:tc>
        <w:tc>
          <w:tcPr>
            <w:tcW w:w="3736"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支持基于IP（组）、服务和角色维度进行流量访问控制，实现对应用服务之间的访问隔离，并且支持对配置项的备份以及恢复操作</w:t>
            </w:r>
          </w:p>
        </w:tc>
      </w:tr>
      <w:tr>
        <w:tblPrEx>
          <w:tblCellMar>
            <w:top w:w="0" w:type="dxa"/>
            <w:left w:w="108" w:type="dxa"/>
            <w:bottom w:w="0" w:type="dxa"/>
            <w:right w:w="108" w:type="dxa"/>
          </w:tblCellMar>
        </w:tblPrEx>
        <w:trPr>
          <w:trHeight w:val="270" w:hRule="atLeast"/>
          <w:jc w:val="center"/>
        </w:trPr>
        <w:tc>
          <w:tcPr>
            <w:tcW w:w="325" w:type="pct"/>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938" w:type="pct"/>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3736" w:type="pct"/>
            <w:tcBorders>
              <w:top w:val="single" w:color="auto" w:sz="4" w:space="0"/>
              <w:left w:val="single" w:color="000000" w:sz="4" w:space="0"/>
              <w:bottom w:val="single" w:color="000000" w:sz="4" w:space="0"/>
              <w:right w:val="single" w:color="auto" w:sz="4" w:space="0"/>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支持对压缩包内的病毒扫描，支持多层压缩包的扫描，可自定义配置压缩包的扫描层数，至少大约10层模式下的扫描</w:t>
            </w:r>
          </w:p>
        </w:tc>
      </w:tr>
      <w:tr>
        <w:tblPrEx>
          <w:tblCellMar>
            <w:top w:w="0" w:type="dxa"/>
            <w:left w:w="108" w:type="dxa"/>
            <w:bottom w:w="0" w:type="dxa"/>
            <w:right w:w="108" w:type="dxa"/>
          </w:tblCellMar>
        </w:tblPrEx>
        <w:trPr>
          <w:trHeight w:val="260" w:hRule="atLeast"/>
          <w:jc w:val="center"/>
        </w:trPr>
        <w:tc>
          <w:tcPr>
            <w:tcW w:w="325" w:type="pct"/>
            <w:vMerge w:val="restart"/>
            <w:tcBorders>
              <w:top w:val="single" w:color="000000" w:sz="4" w:space="0"/>
              <w:left w:val="single" w:color="auto"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11</w:t>
            </w:r>
          </w:p>
        </w:tc>
        <w:tc>
          <w:tcPr>
            <w:tcW w:w="938" w:type="pct"/>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漏洞防护</w:t>
            </w:r>
          </w:p>
        </w:tc>
        <w:tc>
          <w:tcPr>
            <w:tcW w:w="3736" w:type="pct"/>
            <w:tcBorders>
              <w:top w:val="single" w:color="000000" w:sz="4" w:space="0"/>
              <w:left w:val="single" w:color="000000" w:sz="4" w:space="0"/>
              <w:bottom w:val="single" w:color="auto" w:sz="4" w:space="0"/>
              <w:right w:val="single" w:color="auto" w:sz="4" w:space="0"/>
            </w:tcBorders>
            <w:shd w:val="clear" w:color="auto" w:fill="auto"/>
          </w:tcPr>
          <w:p>
            <w:pPr>
              <w:widowControl/>
              <w:spacing w:line="360" w:lineRule="exact"/>
              <w:ind w:firstLine="420" w:firstLineChars="200"/>
              <w:textAlignment w:val="top"/>
              <w:rPr>
                <w:rFonts w:ascii="宋体" w:hAnsi="宋体" w:cs="宋体"/>
                <w:color w:val="000000"/>
                <w:szCs w:val="21"/>
              </w:rPr>
            </w:pPr>
            <w:r>
              <w:rPr>
                <w:rFonts w:hint="eastAsia" w:ascii="宋体" w:hAnsi="宋体" w:cs="宋体"/>
                <w:color w:val="000000"/>
                <w:kern w:val="0"/>
                <w:szCs w:val="21"/>
                <w:lang w:bidi="ar"/>
              </w:rPr>
              <w:t>支持对Windows终端的漏洞情况进行扫描，并查看漏洞具体情况及KB号，并显示具体修复情况</w:t>
            </w:r>
          </w:p>
        </w:tc>
      </w:tr>
      <w:tr>
        <w:tblPrEx>
          <w:tblCellMar>
            <w:top w:w="0" w:type="dxa"/>
            <w:left w:w="108" w:type="dxa"/>
            <w:bottom w:w="0" w:type="dxa"/>
            <w:right w:w="108" w:type="dxa"/>
          </w:tblCellMar>
        </w:tblPrEx>
        <w:trPr>
          <w:trHeight w:val="260" w:hRule="atLeast"/>
          <w:jc w:val="center"/>
        </w:trPr>
        <w:tc>
          <w:tcPr>
            <w:tcW w:w="325" w:type="pct"/>
            <w:vMerge w:val="continue"/>
            <w:tcBorders>
              <w:top w:val="single" w:color="auto" w:sz="4" w:space="0"/>
              <w:left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938" w:type="pct"/>
            <w:vMerge w:val="continue"/>
            <w:tcBorders>
              <w:top w:val="single" w:color="auto"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3736"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4"/>
              <w:ind w:firstLine="420" w:firstLineChars="200"/>
              <w:rPr>
                <w:rFonts w:ascii="宋体" w:hAnsi="宋体" w:cs="宋体"/>
                <w:color w:val="000000"/>
                <w:sz w:val="21"/>
                <w:szCs w:val="21"/>
              </w:rPr>
            </w:pPr>
            <w:r>
              <w:rPr>
                <w:rFonts w:hint="eastAsia" w:ascii="宋体" w:hAnsi="宋体" w:cs="宋体"/>
                <w:color w:val="000000"/>
                <w:sz w:val="21"/>
                <w:szCs w:val="21"/>
                <w:lang w:bidi="ar"/>
              </w:rPr>
              <w:t>▲支持流</w:t>
            </w:r>
            <w:bookmarkStart w:id="0" w:name="_GoBack"/>
            <w:bookmarkEnd w:id="0"/>
            <w:r>
              <w:rPr>
                <w:rFonts w:hint="eastAsia" w:ascii="宋体" w:hAnsi="宋体" w:cs="宋体"/>
                <w:color w:val="000000"/>
                <w:sz w:val="21"/>
                <w:szCs w:val="21"/>
                <w:lang w:bidi="ar"/>
              </w:rPr>
              <w:t>行Windows高危漏洞的轻补丁免疫防御，支持Windows补丁批量一键修复（提供产品截图证明并加盖投标供应商公章）</w:t>
            </w:r>
          </w:p>
        </w:tc>
      </w:tr>
      <w:tr>
        <w:tblPrEx>
          <w:tblCellMar>
            <w:top w:w="0" w:type="dxa"/>
            <w:left w:w="108" w:type="dxa"/>
            <w:bottom w:w="0" w:type="dxa"/>
            <w:right w:w="108" w:type="dxa"/>
          </w:tblCellMar>
        </w:tblPrEx>
        <w:trPr>
          <w:trHeight w:val="520" w:hRule="atLeast"/>
          <w:jc w:val="center"/>
        </w:trPr>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12</w:t>
            </w:r>
          </w:p>
        </w:tc>
        <w:tc>
          <w:tcPr>
            <w:tcW w:w="93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厂商资质</w:t>
            </w:r>
          </w:p>
        </w:tc>
        <w:tc>
          <w:tcPr>
            <w:tcW w:w="37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为保障产品自身安全性，所投产品厂商应是国家信息安全漏洞共享平台CNVD用户组成员，提供官网查询截图证明。</w:t>
            </w:r>
          </w:p>
        </w:tc>
      </w:tr>
    </w:tbl>
    <w:p>
      <w:pPr>
        <w:pStyle w:val="3"/>
        <w:ind w:firstLine="422" w:firstLineChars="200"/>
        <w:rPr>
          <w:rFonts w:ascii="宋体" w:hAnsi="宋体" w:cs="宋体"/>
          <w:sz w:val="21"/>
          <w:szCs w:val="21"/>
        </w:rPr>
      </w:pPr>
      <w:r>
        <w:rPr>
          <w:rFonts w:hint="eastAsia" w:ascii="宋体" w:hAnsi="宋体" w:cs="宋体"/>
          <w:sz w:val="21"/>
          <w:szCs w:val="21"/>
        </w:rPr>
        <w:t>2、终端安全防护软件</w:t>
      </w:r>
    </w:p>
    <w:tbl>
      <w:tblPr>
        <w:tblStyle w:val="10"/>
        <w:tblW w:w="4992"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45"/>
        <w:gridCol w:w="1681"/>
        <w:gridCol w:w="58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序号</w:t>
            </w:r>
          </w:p>
        </w:tc>
        <w:tc>
          <w:tcPr>
            <w:tcW w:w="1844" w:type="dxa"/>
            <w:tcBorders>
              <w:tl2br w:val="nil"/>
              <w:tr2bl w:val="nil"/>
            </w:tcBorders>
            <w:shd w:val="clear" w:color="auto" w:fill="auto"/>
            <w:vAlign w:val="center"/>
          </w:tcPr>
          <w:p>
            <w:pPr>
              <w:widowControl/>
              <w:jc w:val="center"/>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功能项</w:t>
            </w:r>
          </w:p>
        </w:tc>
        <w:tc>
          <w:tcPr>
            <w:tcW w:w="6936" w:type="dxa"/>
            <w:tcBorders>
              <w:tl2br w:val="nil"/>
              <w:tr2bl w:val="nil"/>
            </w:tcBorders>
            <w:shd w:val="clear" w:color="auto" w:fill="auto"/>
            <w:vAlign w:val="center"/>
          </w:tcPr>
          <w:p>
            <w:pPr>
              <w:widowControl/>
              <w:jc w:val="center"/>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功能要求说明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2"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w:t>
            </w:r>
          </w:p>
        </w:tc>
        <w:tc>
          <w:tcPr>
            <w:tcW w:w="1844" w:type="dxa"/>
            <w:tcBorders>
              <w:tl2br w:val="nil"/>
              <w:tr2bl w:val="nil"/>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产品规格</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★需提供</w:t>
            </w:r>
            <w:r>
              <w:rPr>
                <w:rFonts w:hint="eastAsia" w:ascii="宋体" w:hAnsi="宋体" w:cs="宋体"/>
                <w:szCs w:val="21"/>
              </w:rPr>
              <w:t>：≥</w:t>
            </w:r>
            <w:r>
              <w:rPr>
                <w:rFonts w:hint="eastAsia" w:ascii="宋体" w:hAnsi="宋体" w:cs="宋体"/>
                <w:color w:val="000000"/>
                <w:kern w:val="0"/>
                <w:szCs w:val="21"/>
                <w:lang w:bidi="ar"/>
              </w:rPr>
              <w:t>1000点终端PC使用授权(PC支持</w:t>
            </w:r>
            <w:r>
              <w:rPr>
                <w:rFonts w:hint="eastAsia" w:ascii="宋体" w:hAnsi="宋体" w:cs="宋体"/>
                <w:color w:val="000000"/>
                <w:kern w:val="0"/>
                <w:szCs w:val="21"/>
                <w:lang w:eastAsia="zh-Hans" w:bidi="ar"/>
              </w:rPr>
              <w:t>linux，windows，macos</w:t>
            </w:r>
            <w:r>
              <w:rPr>
                <w:rFonts w:hint="eastAsia" w:ascii="宋体" w:hAnsi="宋体" w:cs="宋体"/>
                <w:color w:val="000000"/>
                <w:kern w:val="0"/>
                <w:szCs w:val="21"/>
                <w:lang w:bidi="ar"/>
              </w:rPr>
              <w:t>等系统)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9"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2</w:t>
            </w:r>
          </w:p>
        </w:tc>
        <w:tc>
          <w:tcPr>
            <w:tcW w:w="1844" w:type="dxa"/>
            <w:tcBorders>
              <w:tl2br w:val="nil"/>
              <w:tr2bl w:val="nil"/>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一体化管控</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单一管理控制中心可统一管理分别部署在Windows PC、Windows服务器、Linux服务器以及国产化服务器的客户端软件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4"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3</w:t>
            </w:r>
          </w:p>
        </w:tc>
        <w:tc>
          <w:tcPr>
            <w:tcW w:w="1844" w:type="dxa"/>
            <w:tcBorders>
              <w:tl2br w:val="nil"/>
              <w:tr2bl w:val="nil"/>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管理可视化</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▲采用B/S架构的管理控制中心，具备终端安全可视，终端统一管理，统一威胁处置，统一漏洞修复，威胁响应处置，日志记录与查询等功能。</w:t>
            </w:r>
            <w:r>
              <w:rPr>
                <w:rFonts w:hint="eastAsia" w:ascii="宋体" w:hAnsi="宋体" w:cs="宋体"/>
                <w:kern w:val="0"/>
                <w:szCs w:val="21"/>
              </w:rPr>
              <w:t>控制中心根据客户端点数的增加支持横向扩展；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4</w:t>
            </w:r>
          </w:p>
        </w:tc>
        <w:tc>
          <w:tcPr>
            <w:tcW w:w="1844" w:type="dxa"/>
            <w:tcBorders>
              <w:tl2br w:val="nil"/>
              <w:tr2bl w:val="nil"/>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威胁检测</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通过智能识别终端环境情况（低配硬件、老旧设备、虚拟化等）和当前终端资源占用，在闲时实时监控和病毒扫描场景，都可智能调整EDR的资源占用（CPU、IO等），为业务让出资源，不卡业务，对业务零摩擦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5</w:t>
            </w:r>
          </w:p>
        </w:tc>
        <w:tc>
          <w:tcPr>
            <w:tcW w:w="1844" w:type="dxa"/>
            <w:tcBorders>
              <w:tl2br w:val="nil"/>
              <w:tr2bl w:val="nil"/>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自动分组</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支持终端自动分组管理，新接入的终端可以根据网段自动分配到对应的分组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6</w:t>
            </w:r>
          </w:p>
        </w:tc>
        <w:tc>
          <w:tcPr>
            <w:tcW w:w="1844" w:type="dxa"/>
            <w:tcBorders>
              <w:tl2br w:val="nil"/>
              <w:tr2bl w:val="nil"/>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文件实时监控</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可实时监控文件的状态，在文件读、写、执行或者进入主机时主动进行扫描，支持根据用户性能偏好设置高、中、低3种防护级别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jc w:val="center"/>
        </w:trPr>
        <w:tc>
          <w:tcPr>
            <w:tcW w:w="1060" w:type="dxa"/>
            <w:vMerge w:val="restart"/>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7</w:t>
            </w:r>
          </w:p>
        </w:tc>
        <w:tc>
          <w:tcPr>
            <w:tcW w:w="1844" w:type="dxa"/>
            <w:vMerge w:val="restart"/>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勒索病毒</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专防</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基于勒索病毒攻击过程，建立多维度立体防护机制，提供事前入侵防御-事中反加密-事后检测响应的完整防护体系，展示勒索病毒处置情况，对勒索病毒及变种实现专门有效防御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 w:hRule="atLeast"/>
          <w:jc w:val="center"/>
        </w:trPr>
        <w:tc>
          <w:tcPr>
            <w:tcW w:w="1060" w:type="dxa"/>
            <w:vMerge w:val="continue"/>
            <w:tcBorders>
              <w:tl2br w:val="nil"/>
              <w:tr2bl w:val="nil"/>
            </w:tcBorders>
            <w:shd w:val="clear" w:color="auto" w:fill="auto"/>
            <w:vAlign w:val="center"/>
          </w:tcPr>
          <w:p>
            <w:pPr>
              <w:jc w:val="center"/>
              <w:rPr>
                <w:rFonts w:ascii="宋体" w:hAnsi="宋体" w:cs="宋体"/>
                <w:color w:val="000000"/>
                <w:szCs w:val="21"/>
              </w:rPr>
            </w:pPr>
          </w:p>
        </w:tc>
        <w:tc>
          <w:tcPr>
            <w:tcW w:w="1844" w:type="dxa"/>
            <w:vMerge w:val="continue"/>
            <w:tcBorders>
              <w:tl2br w:val="nil"/>
              <w:tr2bl w:val="nil"/>
            </w:tcBorders>
            <w:shd w:val="clear" w:color="auto" w:fill="auto"/>
            <w:vAlign w:val="center"/>
          </w:tcPr>
          <w:p>
            <w:pPr>
              <w:jc w:val="center"/>
              <w:rPr>
                <w:rFonts w:ascii="宋体" w:hAnsi="宋体" w:cs="宋体"/>
                <w:color w:val="000000"/>
                <w:szCs w:val="21"/>
              </w:rPr>
            </w:pP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支持监控诱饵文件，诱饵文件可被实时监控，当勒索病毒对该文件进行修改或加密操作时进行拦截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vMerge w:val="continue"/>
            <w:tcBorders>
              <w:tl2br w:val="nil"/>
              <w:tr2bl w:val="nil"/>
            </w:tcBorders>
            <w:shd w:val="clear" w:color="auto" w:fill="auto"/>
            <w:vAlign w:val="center"/>
          </w:tcPr>
          <w:p>
            <w:pPr>
              <w:jc w:val="center"/>
              <w:rPr>
                <w:rFonts w:ascii="宋体" w:hAnsi="宋体" w:cs="宋体"/>
                <w:color w:val="000000"/>
                <w:szCs w:val="21"/>
              </w:rPr>
            </w:pPr>
          </w:p>
        </w:tc>
        <w:tc>
          <w:tcPr>
            <w:tcW w:w="1844" w:type="dxa"/>
            <w:vMerge w:val="continue"/>
            <w:tcBorders>
              <w:tl2br w:val="nil"/>
              <w:tr2bl w:val="nil"/>
            </w:tcBorders>
            <w:shd w:val="clear" w:color="auto" w:fill="auto"/>
            <w:vAlign w:val="center"/>
          </w:tcPr>
          <w:p>
            <w:pPr>
              <w:jc w:val="center"/>
              <w:rPr>
                <w:rFonts w:ascii="宋体" w:hAnsi="宋体" w:cs="宋体"/>
                <w:color w:val="000000"/>
                <w:szCs w:val="21"/>
              </w:rPr>
            </w:pP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支持用户直接对勒索病毒的家族名、病毒名、加密文件后缀名执行链接查询，可通过直接上传加密文件的方式确定勒索病毒类型，如果能解密可以提供必要的解密工具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8</w:t>
            </w:r>
          </w:p>
        </w:tc>
        <w:tc>
          <w:tcPr>
            <w:tcW w:w="1844"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暴力破解</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检测</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统计单个攻击源及分布式攻击源的暴力破解检测，支持按照RDP、SMB和SSH类型进行封堵并自定义爆破阈值，可对封停时间进行自设置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tcBorders>
              <w:tl2br w:val="nil"/>
              <w:tr2bl w:val="nil"/>
            </w:tcBorders>
            <w:shd w:val="clear" w:color="auto" w:fill="auto"/>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9</w:t>
            </w:r>
          </w:p>
        </w:tc>
        <w:tc>
          <w:tcPr>
            <w:tcW w:w="1844" w:type="dxa"/>
            <w:tcBorders>
              <w:tl2br w:val="nil"/>
              <w:tr2bl w:val="nil"/>
            </w:tcBorders>
            <w:shd w:val="clear" w:color="auto" w:fill="auto"/>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病毒扫描</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支持对压缩包内的病毒扫描，支持多层压缩包的扫描，可自定义配置压缩包的扫描层数，至少大约10层模式下的扫描。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10</w:t>
            </w:r>
          </w:p>
        </w:tc>
        <w:tc>
          <w:tcPr>
            <w:tcW w:w="1844" w:type="dxa"/>
            <w:tcBorders>
              <w:tl2br w:val="nil"/>
              <w:tr2bl w:val="nil"/>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威胁处置</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szCs w:val="21"/>
              </w:rPr>
            </w:pPr>
            <w:r>
              <w:rPr>
                <w:rFonts w:hint="eastAsia" w:ascii="宋体" w:hAnsi="宋体" w:cs="宋体"/>
                <w:color w:val="000000"/>
                <w:kern w:val="0"/>
                <w:szCs w:val="21"/>
                <w:lang w:bidi="ar"/>
              </w:rPr>
              <w:t>构建全网文件信誉库，当一台终端发现某一病毒文件，全网可进行感知并进行针对性查杀，支持处置病毒时选择是否在其它终端上同步处置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11</w:t>
            </w:r>
          </w:p>
        </w:tc>
        <w:tc>
          <w:tcPr>
            <w:tcW w:w="1844"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主动防御</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支持对进程防护、注册表防护、驱动防护、U盘安全防护、邮件防护、下载防护、IM防护、局域网文件防护、网页安全防护、勒索软件防护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vMerge w:val="restart"/>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12</w:t>
            </w:r>
          </w:p>
        </w:tc>
        <w:tc>
          <w:tcPr>
            <w:tcW w:w="1844" w:type="dxa"/>
            <w:vMerge w:val="restart"/>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桌管</w:t>
            </w: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支持远程控制管控终端桌面的功能，便于管理员能够及时对存在故障的终端进行维护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vMerge w:val="continue"/>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p>
        </w:tc>
        <w:tc>
          <w:tcPr>
            <w:tcW w:w="1844" w:type="dxa"/>
            <w:vMerge w:val="continue"/>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支持一键拦截已安装软件的恶意广告弹窗，可在客户端查看拦截记录，包括拦截内容、拦截次数等。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vMerge w:val="continue"/>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p>
        </w:tc>
        <w:tc>
          <w:tcPr>
            <w:tcW w:w="1844" w:type="dxa"/>
            <w:vMerge w:val="continue"/>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p>
        </w:tc>
        <w:tc>
          <w:tcPr>
            <w:tcW w:w="6936" w:type="dxa"/>
            <w:tcBorders>
              <w:tl2br w:val="nil"/>
              <w:tr2bl w:val="nil"/>
            </w:tcBorders>
            <w:shd w:val="clear" w:color="auto" w:fill="auto"/>
            <w:vAlign w:val="center"/>
          </w:tcPr>
          <w:p>
            <w:pPr>
              <w:pStyle w:val="4"/>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▲支持自定义拦截终端软件弹窗，可在终端设置自动拦截骚扰弹窗开关。</w:t>
            </w:r>
            <w:r>
              <w:rPr>
                <w:rFonts w:hint="eastAsia" w:ascii="宋体" w:hAnsi="宋体" w:cs="宋体"/>
                <w:sz w:val="21"/>
                <w:szCs w:val="21"/>
                <w:lang w:bidi="ar"/>
              </w:rPr>
              <w:t>（需提</w:t>
            </w:r>
            <w:r>
              <w:rPr>
                <w:rFonts w:hint="eastAsia" w:ascii="宋体" w:hAnsi="宋体" w:cs="宋体"/>
                <w:color w:val="000000"/>
                <w:sz w:val="21"/>
                <w:szCs w:val="21"/>
                <w:lang w:bidi="ar"/>
              </w:rPr>
              <w:t>供产品截图证明并加盖投标供应商公章）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vMerge w:val="restart"/>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p>
        </w:tc>
        <w:tc>
          <w:tcPr>
            <w:tcW w:w="1844" w:type="dxa"/>
            <w:vMerge w:val="continue"/>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支持扫描和拦截捆绑、静默、强行安装等不良传播行为，一键清理问题软件，可在客户端查看拦截安装日志。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1060" w:type="dxa"/>
            <w:vMerge w:val="continue"/>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p>
        </w:tc>
        <w:tc>
          <w:tcPr>
            <w:tcW w:w="1844" w:type="dxa"/>
            <w:vMerge w:val="continue"/>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支持终端自定义选择拦截问题软件安装或者常规软件安装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13</w:t>
            </w:r>
          </w:p>
        </w:tc>
        <w:tc>
          <w:tcPr>
            <w:tcW w:w="1844"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Windows</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智御</w:t>
            </w:r>
          </w:p>
        </w:tc>
        <w:tc>
          <w:tcPr>
            <w:tcW w:w="6936" w:type="dxa"/>
            <w:tcBorders>
              <w:tl2br w:val="nil"/>
              <w:tr2bl w:val="nil"/>
            </w:tcBorders>
            <w:shd w:val="clear" w:color="auto" w:fill="auto"/>
          </w:tcPr>
          <w:p>
            <w:pPr>
              <w:widowControl/>
              <w:spacing w:line="360" w:lineRule="exact"/>
              <w:ind w:firstLine="420" w:firstLineChars="200"/>
              <w:textAlignment w:val="top"/>
              <w:rPr>
                <w:rFonts w:ascii="宋体" w:hAnsi="宋体" w:cs="宋体"/>
                <w:color w:val="000000"/>
                <w:szCs w:val="21"/>
              </w:rPr>
            </w:pPr>
            <w:r>
              <w:rPr>
                <w:rFonts w:hint="eastAsia" w:ascii="宋体" w:hAnsi="宋体" w:cs="宋体"/>
                <w:color w:val="000000"/>
                <w:kern w:val="0"/>
                <w:szCs w:val="21"/>
                <w:lang w:bidi="ar"/>
              </w:rPr>
              <w:t>支持基于应用、端口和账号的清点，可辅助客户进行已停更Windows系统的风险识别。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060" w:type="dxa"/>
            <w:vMerge w:val="restart"/>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14</w:t>
            </w:r>
          </w:p>
        </w:tc>
        <w:tc>
          <w:tcPr>
            <w:tcW w:w="1844" w:type="dxa"/>
            <w:vMerge w:val="restart"/>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漏洞防护</w:t>
            </w:r>
          </w:p>
          <w:p>
            <w:pPr>
              <w:widowControl/>
              <w:jc w:val="center"/>
              <w:textAlignment w:val="center"/>
              <w:rPr>
                <w:rFonts w:ascii="宋体" w:hAnsi="宋体" w:cs="宋体"/>
                <w:color w:val="000000"/>
                <w:kern w:val="0"/>
                <w:szCs w:val="21"/>
                <w:lang w:bidi="ar"/>
              </w:rPr>
            </w:pPr>
          </w:p>
        </w:tc>
        <w:tc>
          <w:tcPr>
            <w:tcW w:w="6936" w:type="dxa"/>
            <w:tcBorders>
              <w:tl2br w:val="nil"/>
              <w:tr2bl w:val="nil"/>
            </w:tcBorders>
            <w:shd w:val="clear" w:color="auto" w:fill="auto"/>
          </w:tcPr>
          <w:p>
            <w:pPr>
              <w:widowControl/>
              <w:spacing w:line="360" w:lineRule="exact"/>
              <w:ind w:firstLine="420" w:firstLineChars="200"/>
              <w:textAlignment w:val="top"/>
              <w:rPr>
                <w:rFonts w:ascii="宋体" w:hAnsi="宋体" w:cs="宋体"/>
                <w:color w:val="000000"/>
                <w:kern w:val="0"/>
                <w:szCs w:val="21"/>
                <w:lang w:bidi="ar"/>
              </w:rPr>
            </w:pPr>
            <w:r>
              <w:rPr>
                <w:rFonts w:hint="eastAsia" w:ascii="宋体" w:hAnsi="宋体" w:cs="宋体"/>
                <w:color w:val="000000"/>
                <w:kern w:val="0"/>
                <w:szCs w:val="21"/>
                <w:lang w:bidi="ar"/>
              </w:rPr>
              <w:t>支持对Windows终端的漏洞情况进行扫描，并查看漏洞具体情况及KB号，并显示具体修复情况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060" w:type="dxa"/>
            <w:vMerge w:val="continue"/>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p>
        </w:tc>
        <w:tc>
          <w:tcPr>
            <w:tcW w:w="1844" w:type="dxa"/>
            <w:vMerge w:val="continue"/>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p>
        </w:tc>
        <w:tc>
          <w:tcPr>
            <w:tcW w:w="6936" w:type="dxa"/>
            <w:tcBorders>
              <w:tl2br w:val="nil"/>
              <w:tr2bl w:val="nil"/>
            </w:tcBorders>
            <w:shd w:val="clear" w:color="auto" w:fill="auto"/>
            <w:vAlign w:val="center"/>
          </w:tcPr>
          <w:p>
            <w:pPr>
              <w:widowControl/>
              <w:spacing w:line="360" w:lineRule="exact"/>
              <w:ind w:firstLine="420" w:firstLineChars="200"/>
              <w:textAlignment w:val="center"/>
              <w:rPr>
                <w:rFonts w:ascii="宋体" w:hAnsi="宋体" w:cs="宋体"/>
                <w:color w:val="000000"/>
                <w:kern w:val="0"/>
                <w:szCs w:val="21"/>
                <w:lang w:bidi="ar"/>
              </w:rPr>
            </w:pPr>
            <w:r>
              <w:rPr>
                <w:rFonts w:hint="eastAsia" w:ascii="宋体" w:hAnsi="宋体" w:cs="宋体"/>
                <w:color w:val="000000"/>
                <w:kern w:val="0"/>
                <w:szCs w:val="21"/>
                <w:lang w:bidi="ar"/>
              </w:rPr>
              <w:t>支持流行Windows高危漏洞的轻补丁免疫防御，支持Windows补丁批量一键修复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060"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15</w:t>
            </w:r>
          </w:p>
        </w:tc>
        <w:tc>
          <w:tcPr>
            <w:tcW w:w="1844" w:type="dxa"/>
            <w:tcBorders>
              <w:tl2br w:val="nil"/>
              <w:tr2bl w:val="nil"/>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产品资质</w:t>
            </w:r>
          </w:p>
        </w:tc>
        <w:tc>
          <w:tcPr>
            <w:tcW w:w="6936" w:type="dxa"/>
            <w:tcBorders>
              <w:tl2br w:val="nil"/>
              <w:tr2bl w:val="nil"/>
            </w:tcBorders>
            <w:shd w:val="clear" w:color="auto" w:fill="auto"/>
            <w:vAlign w:val="center"/>
          </w:tcPr>
          <w:p>
            <w:pPr>
              <w:pStyle w:val="4"/>
              <w:ind w:firstLine="420" w:firstLineChars="200"/>
              <w:rPr>
                <w:rFonts w:ascii="宋体" w:hAnsi="宋体" w:cs="宋体"/>
                <w:color w:val="000000"/>
                <w:sz w:val="21"/>
                <w:szCs w:val="21"/>
              </w:rPr>
            </w:pPr>
            <w:r>
              <w:rPr>
                <w:rFonts w:hint="eastAsia" w:ascii="宋体" w:hAnsi="宋体" w:cs="宋体"/>
                <w:color w:val="000000"/>
                <w:sz w:val="21"/>
                <w:szCs w:val="21"/>
                <w:lang w:bidi="ar"/>
              </w:rPr>
              <w:t>厂商是中国反网络病毒联盟ANVA成员单位、国家互联网应急响应中心网络安全应急服务国家级支撑单位，需提供相关证书和官方截图证明（投标时提供相关证明材料复印件并加盖投标供应商公章）。</w:t>
            </w:r>
          </w:p>
        </w:tc>
      </w:tr>
    </w:tbl>
    <w:p>
      <w:pPr>
        <w:spacing w:line="360" w:lineRule="auto"/>
        <w:ind w:firstLine="422" w:firstLineChars="200"/>
        <w:rPr>
          <w:rFonts w:ascii="宋体" w:hAnsi="宋体" w:cs="宋体"/>
          <w:b/>
          <w:szCs w:val="21"/>
        </w:rPr>
      </w:pPr>
      <w:r>
        <w:rPr>
          <w:rFonts w:hint="eastAsia" w:ascii="宋体" w:hAnsi="宋体" w:cs="宋体"/>
          <w:b/>
          <w:szCs w:val="21"/>
        </w:rPr>
        <w:t>四、相关要求：</w:t>
      </w:r>
    </w:p>
    <w:p>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1、所供产品必须符合国家标准，设备和配件为全新原装，功能符合使用要求，保证为正规渠道供货的正宗原厂产品。须提供良好的售后服务，终身提供技术支持。</w:t>
      </w:r>
    </w:p>
    <w:p>
      <w:pPr>
        <w:spacing w:line="360" w:lineRule="auto"/>
        <w:ind w:firstLine="420" w:firstLineChars="200"/>
        <w:jc w:val="left"/>
        <w:rPr>
          <w:rFonts w:ascii="宋体" w:hAnsi="宋体" w:cs="宋体"/>
          <w:szCs w:val="21"/>
        </w:rPr>
      </w:pPr>
      <w:r>
        <w:rPr>
          <w:rFonts w:hint="eastAsia" w:ascii="宋体" w:hAnsi="宋体" w:cs="宋体"/>
          <w:szCs w:val="21"/>
        </w:rPr>
        <w:t>2、供货方式、时间及地点要求：</w:t>
      </w:r>
    </w:p>
    <w:p>
      <w:pPr>
        <w:spacing w:line="360" w:lineRule="auto"/>
        <w:ind w:firstLine="420" w:firstLineChars="200"/>
        <w:jc w:val="left"/>
        <w:rPr>
          <w:rFonts w:ascii="宋体" w:hAnsi="宋体" w:cs="宋体"/>
          <w:szCs w:val="21"/>
        </w:rPr>
      </w:pPr>
      <w:r>
        <w:rPr>
          <w:rFonts w:hint="eastAsia" w:ascii="宋体" w:hAnsi="宋体" w:cs="宋体"/>
          <w:szCs w:val="21"/>
        </w:rPr>
        <w:t>合同签订后30天内设备运抵</w:t>
      </w:r>
      <w:r>
        <w:rPr>
          <w:rFonts w:hint="eastAsia" w:ascii="宋体" w:hAnsi="宋体" w:cs="宋体"/>
          <w:color w:val="000000"/>
          <w:kern w:val="0"/>
          <w:szCs w:val="21"/>
        </w:rPr>
        <w:t>江苏医药职业学院校内</w:t>
      </w:r>
      <w:r>
        <w:rPr>
          <w:rFonts w:hint="eastAsia" w:ascii="宋体" w:hAnsi="宋体" w:cs="宋体"/>
          <w:szCs w:val="21"/>
        </w:rPr>
        <w:t>指定地点，并完成安装及调试。</w:t>
      </w:r>
    </w:p>
    <w:p>
      <w:pPr>
        <w:spacing w:line="360" w:lineRule="auto"/>
        <w:ind w:firstLine="420" w:firstLineChars="200"/>
        <w:jc w:val="left"/>
        <w:rPr>
          <w:rFonts w:ascii="宋体" w:hAnsi="宋体" w:cs="宋体"/>
          <w:szCs w:val="21"/>
        </w:rPr>
      </w:pPr>
      <w:r>
        <w:rPr>
          <w:rFonts w:hint="eastAsia" w:ascii="宋体" w:hAnsi="宋体" w:cs="宋体"/>
          <w:szCs w:val="21"/>
        </w:rPr>
        <w:t>3、质保期及服务要求：</w:t>
      </w:r>
    </w:p>
    <w:p>
      <w:pPr>
        <w:spacing w:line="360" w:lineRule="auto"/>
        <w:ind w:firstLine="420" w:firstLineChars="200"/>
        <w:jc w:val="left"/>
        <w:rPr>
          <w:rFonts w:ascii="宋体" w:hAnsi="宋体" w:cs="宋体"/>
          <w:szCs w:val="21"/>
        </w:rPr>
      </w:pPr>
      <w:r>
        <w:rPr>
          <w:rFonts w:hint="eastAsia" w:ascii="宋体" w:hAnsi="宋体" w:cs="宋体"/>
          <w:szCs w:val="21"/>
        </w:rPr>
        <w:t>（1）培训及售后服务：现场完成安装、调试之后，由中标方工程师提供免费操作培训。培训内容主要包括设备原理、基本操作要领、设备简易故障排除和维护保养知识等。</w:t>
      </w:r>
    </w:p>
    <w:p>
      <w:pPr>
        <w:spacing w:line="360" w:lineRule="auto"/>
        <w:ind w:firstLine="420" w:firstLineChars="200"/>
        <w:jc w:val="left"/>
        <w:rPr>
          <w:rFonts w:ascii="宋体" w:hAnsi="宋体" w:cs="宋体"/>
          <w:szCs w:val="21"/>
        </w:rPr>
      </w:pPr>
      <w:r>
        <w:rPr>
          <w:rFonts w:hint="eastAsia" w:ascii="宋体" w:hAnsi="宋体" w:cs="宋体"/>
          <w:szCs w:val="21"/>
        </w:rPr>
        <w:t>（2）须提供售后服务团队人员名单清单和联系方式。</w:t>
      </w:r>
    </w:p>
    <w:p>
      <w:pPr>
        <w:spacing w:line="360" w:lineRule="auto"/>
        <w:ind w:firstLine="420" w:firstLineChars="200"/>
        <w:jc w:val="left"/>
        <w:rPr>
          <w:rFonts w:ascii="宋体" w:hAnsi="宋体" w:cs="宋体"/>
          <w:szCs w:val="21"/>
        </w:rPr>
      </w:pPr>
      <w:r>
        <w:rPr>
          <w:rFonts w:hint="eastAsia" w:ascii="宋体" w:hAnsi="宋体" w:cs="宋体"/>
          <w:szCs w:val="21"/>
        </w:rPr>
        <w:t>（3）质保期：提供至少</w:t>
      </w:r>
      <w:r>
        <w:rPr>
          <w:rFonts w:hint="eastAsia" w:ascii="宋体" w:hAnsi="宋体" w:cs="宋体"/>
          <w:szCs w:val="21"/>
          <w:u w:val="single"/>
        </w:rPr>
        <w:t>1</w:t>
      </w:r>
      <w:r>
        <w:rPr>
          <w:rFonts w:hint="eastAsia" w:ascii="宋体" w:hAnsi="宋体" w:cs="宋体"/>
          <w:szCs w:val="21"/>
        </w:rPr>
        <w:t>年的免费质保期，自验收合格之日起计算。质保期内成交供应商需提供7×24小时热线服务、须定期上门进行例行检查，并做好记录，以保证系统正常运行。若出现重大质量问题，由成交供应商进行免费重新部署安装调试。对于采购方的服务通知，成交供应商必须在接到通知后1小时内予以响应，若有必要，成交供应商工程师必须2小时内到达现场，常见问题 4小时内处理完毕。若大问题在24小时内未能有效解决，成交供应商须免费提供同档次的系统给予采购方临时使用。</w:t>
      </w:r>
    </w:p>
    <w:p>
      <w:pPr>
        <w:spacing w:line="360" w:lineRule="auto"/>
        <w:ind w:firstLine="420" w:firstLineChars="200"/>
        <w:jc w:val="left"/>
        <w:rPr>
          <w:rFonts w:ascii="宋体" w:hAnsi="宋体" w:cs="宋体"/>
          <w:szCs w:val="21"/>
        </w:rPr>
      </w:pPr>
      <w:r>
        <w:rPr>
          <w:rFonts w:hint="eastAsia" w:ascii="宋体" w:hAnsi="宋体" w:cs="宋体"/>
          <w:szCs w:val="21"/>
        </w:rPr>
        <w:t>质保期外，服务响应时间与质保期内一致，同时系统升级给予以合理优惠价格供应。</w:t>
      </w:r>
    </w:p>
    <w:p>
      <w:pPr>
        <w:spacing w:line="360" w:lineRule="auto"/>
        <w:ind w:firstLine="420" w:firstLineChars="200"/>
        <w:jc w:val="left"/>
        <w:rPr>
          <w:rFonts w:ascii="宋体" w:hAnsi="宋体" w:cs="宋体"/>
          <w:szCs w:val="21"/>
        </w:rPr>
      </w:pPr>
      <w:r>
        <w:rPr>
          <w:rFonts w:hint="eastAsia" w:ascii="宋体" w:hAnsi="宋体" w:cs="宋体"/>
          <w:szCs w:val="21"/>
        </w:rPr>
        <w:t>4、验收方法及验收标准：</w:t>
      </w:r>
    </w:p>
    <w:p>
      <w:pPr>
        <w:spacing w:line="360" w:lineRule="auto"/>
        <w:ind w:firstLine="420" w:firstLineChars="200"/>
        <w:jc w:val="left"/>
        <w:rPr>
          <w:rFonts w:ascii="宋体" w:hAnsi="宋体" w:cs="宋体"/>
          <w:szCs w:val="21"/>
        </w:rPr>
      </w:pPr>
      <w:r>
        <w:rPr>
          <w:rFonts w:hint="eastAsia" w:ascii="宋体" w:hAnsi="宋体" w:cs="宋体"/>
          <w:szCs w:val="21"/>
        </w:rPr>
        <w:t>货物发运前，必须对系统的质量、规格、性能等方面的技术数据进行综合检验，需随系统提供检验合格证书和原产地证明书。 现场安装、调试结束后，中标方和采购方相关人员按验收标准进行验收。验收标准为采购文件、投标文件、合同中的相关技术及服务条款内容。</w:t>
      </w:r>
    </w:p>
    <w:p>
      <w:pPr>
        <w:pStyle w:val="9"/>
        <w:ind w:left="0" w:leftChars="0"/>
        <w:rPr>
          <w:rFonts w:ascii="宋体" w:hAnsi="宋体" w:cs="宋体"/>
          <w:szCs w:val="21"/>
        </w:rPr>
      </w:pPr>
    </w:p>
    <w:p>
      <w:pPr>
        <w:spacing w:line="336" w:lineRule="auto"/>
        <w:rPr>
          <w:rFonts w:ascii="宋体" w:hAnsi="宋体" w:cs="宋体"/>
          <w:b/>
          <w:kern w:val="0"/>
          <w:szCs w:val="21"/>
        </w:rPr>
      </w:pPr>
    </w:p>
    <w:p>
      <w:pPr>
        <w:spacing w:line="336" w:lineRule="auto"/>
        <w:rPr>
          <w:rFonts w:ascii="宋体" w:hAnsi="宋体" w:cs="宋体"/>
          <w:b/>
          <w:kern w:val="0"/>
          <w:szCs w:val="21"/>
        </w:rPr>
      </w:pPr>
    </w:p>
    <w:p>
      <w:pPr>
        <w:rPr>
          <w:rFonts w:hint="eastAsia" w:ascii="宋体" w:hAnsi="宋体" w:cs="宋体"/>
          <w:b/>
          <w:kern w:val="0"/>
          <w:szCs w:val="21"/>
        </w:rPr>
      </w:pPr>
      <w:r>
        <w:rPr>
          <w:rFonts w:hint="eastAsia" w:ascii="宋体" w:hAnsi="宋体" w:cs="宋体"/>
          <w:b/>
          <w:kern w:val="0"/>
          <w:szCs w:val="21"/>
        </w:rPr>
        <w:br w:type="page"/>
      </w:r>
    </w:p>
    <w:p>
      <w:pPr>
        <w:rPr>
          <w:rFonts w:ascii="宋体" w:hAnsi="宋体" w:cs="宋体"/>
          <w:b/>
          <w:kern w:val="0"/>
          <w:szCs w:val="21"/>
        </w:rPr>
      </w:pPr>
      <w:r>
        <w:rPr>
          <w:rFonts w:hint="eastAsia" w:ascii="宋体" w:hAnsi="宋体" w:cs="宋体"/>
          <w:b/>
          <w:kern w:val="0"/>
          <w:szCs w:val="21"/>
        </w:rPr>
        <w:t>采购包二：防毒墙系统项目</w:t>
      </w:r>
    </w:p>
    <w:p>
      <w:pPr>
        <w:pStyle w:val="3"/>
        <w:ind w:firstLine="422" w:firstLineChars="200"/>
        <w:rPr>
          <w:rFonts w:ascii="宋体" w:hAnsi="宋体" w:cs="宋体"/>
          <w:sz w:val="21"/>
          <w:szCs w:val="21"/>
          <w:lang w:eastAsia="zh-Hans"/>
        </w:rPr>
      </w:pPr>
      <w:r>
        <w:rPr>
          <w:rFonts w:hint="eastAsia" w:ascii="宋体" w:hAnsi="宋体" w:cs="宋体"/>
          <w:sz w:val="21"/>
          <w:szCs w:val="21"/>
        </w:rPr>
        <w:t>一、</w:t>
      </w:r>
      <w:r>
        <w:rPr>
          <w:rFonts w:hint="eastAsia" w:ascii="宋体" w:hAnsi="宋体" w:cs="宋体"/>
          <w:sz w:val="21"/>
          <w:szCs w:val="21"/>
          <w:lang w:eastAsia="zh-Hans"/>
        </w:rPr>
        <w:t>设备清单</w:t>
      </w:r>
    </w:p>
    <w:tbl>
      <w:tblPr>
        <w:tblStyle w:val="11"/>
        <w:tblW w:w="82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1250"/>
        <w:gridCol w:w="5070"/>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805" w:type="dxa"/>
            <w:vAlign w:val="center"/>
          </w:tcPr>
          <w:p>
            <w:pPr>
              <w:spacing w:line="360" w:lineRule="exact"/>
              <w:jc w:val="center"/>
              <w:rPr>
                <w:rFonts w:ascii="宋体" w:hAnsi="宋体" w:cs="宋体"/>
                <w:szCs w:val="21"/>
              </w:rPr>
            </w:pPr>
            <w:r>
              <w:rPr>
                <w:rFonts w:hint="eastAsia" w:ascii="宋体" w:hAnsi="宋体" w:cs="宋体"/>
                <w:szCs w:val="21"/>
              </w:rPr>
              <w:t>序号</w:t>
            </w:r>
          </w:p>
        </w:tc>
        <w:tc>
          <w:tcPr>
            <w:tcW w:w="1250" w:type="dxa"/>
            <w:vAlign w:val="center"/>
          </w:tcPr>
          <w:p>
            <w:pPr>
              <w:spacing w:line="360" w:lineRule="exact"/>
              <w:jc w:val="center"/>
              <w:rPr>
                <w:rFonts w:ascii="宋体" w:hAnsi="宋体" w:cs="宋体"/>
                <w:szCs w:val="21"/>
              </w:rPr>
            </w:pPr>
            <w:r>
              <w:rPr>
                <w:rFonts w:hint="eastAsia" w:ascii="宋体" w:hAnsi="宋体" w:cs="宋体"/>
                <w:szCs w:val="21"/>
              </w:rPr>
              <w:t>设备名称</w:t>
            </w:r>
          </w:p>
        </w:tc>
        <w:tc>
          <w:tcPr>
            <w:tcW w:w="5070" w:type="dxa"/>
            <w:vAlign w:val="center"/>
          </w:tcPr>
          <w:p>
            <w:pPr>
              <w:spacing w:line="360" w:lineRule="exact"/>
              <w:jc w:val="center"/>
              <w:rPr>
                <w:rFonts w:ascii="宋体" w:hAnsi="宋体" w:cs="宋体"/>
                <w:szCs w:val="21"/>
              </w:rPr>
            </w:pPr>
            <w:r>
              <w:rPr>
                <w:rFonts w:hint="eastAsia" w:ascii="宋体" w:hAnsi="宋体" w:cs="宋体"/>
                <w:szCs w:val="21"/>
              </w:rPr>
              <w:t>基本规格参数</w:t>
            </w:r>
          </w:p>
        </w:tc>
        <w:tc>
          <w:tcPr>
            <w:tcW w:w="1077" w:type="dxa"/>
            <w:vAlign w:val="center"/>
          </w:tcPr>
          <w:p>
            <w:pPr>
              <w:spacing w:line="360" w:lineRule="exact"/>
              <w:jc w:val="center"/>
              <w:rPr>
                <w:rFonts w:ascii="宋体" w:hAnsi="宋体" w:cs="宋体"/>
                <w:szCs w:val="21"/>
              </w:rPr>
            </w:pPr>
            <w:r>
              <w:rPr>
                <w:rFonts w:hint="eastAsia" w:ascii="宋体" w:hAnsi="宋体" w:cs="宋体"/>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3" w:hRule="atLeast"/>
          <w:jc w:val="center"/>
        </w:trPr>
        <w:tc>
          <w:tcPr>
            <w:tcW w:w="805" w:type="dxa"/>
            <w:vAlign w:val="center"/>
          </w:tcPr>
          <w:p>
            <w:pPr>
              <w:spacing w:line="360" w:lineRule="exact"/>
              <w:jc w:val="center"/>
              <w:rPr>
                <w:rFonts w:ascii="宋体" w:hAnsi="宋体" w:cs="宋体"/>
                <w:color w:val="333940"/>
                <w:szCs w:val="21"/>
              </w:rPr>
            </w:pPr>
            <w:r>
              <w:rPr>
                <w:rFonts w:hint="eastAsia" w:ascii="宋体" w:hAnsi="宋体" w:cs="宋体"/>
                <w:color w:val="333940"/>
                <w:szCs w:val="21"/>
              </w:rPr>
              <w:t>1</w:t>
            </w:r>
          </w:p>
        </w:tc>
        <w:tc>
          <w:tcPr>
            <w:tcW w:w="1250" w:type="dxa"/>
            <w:vAlign w:val="center"/>
          </w:tcPr>
          <w:p>
            <w:pPr>
              <w:spacing w:line="360" w:lineRule="exact"/>
              <w:jc w:val="center"/>
              <w:rPr>
                <w:rFonts w:ascii="宋体" w:hAnsi="宋体" w:cs="宋体"/>
                <w:color w:val="333940"/>
                <w:szCs w:val="21"/>
              </w:rPr>
            </w:pPr>
            <w:r>
              <w:rPr>
                <w:rFonts w:hint="eastAsia" w:ascii="宋体" w:hAnsi="宋体" w:cs="宋体"/>
                <w:color w:val="333940"/>
                <w:szCs w:val="21"/>
              </w:rPr>
              <w:t>防毒墙</w:t>
            </w:r>
          </w:p>
        </w:tc>
        <w:tc>
          <w:tcPr>
            <w:tcW w:w="5070" w:type="dxa"/>
            <w:vAlign w:val="center"/>
          </w:tcPr>
          <w:p>
            <w:pPr>
              <w:pStyle w:val="4"/>
              <w:rPr>
                <w:rFonts w:ascii="宋体" w:hAnsi="宋体" w:cs="宋体"/>
                <w:color w:val="333940"/>
                <w:sz w:val="21"/>
                <w:szCs w:val="21"/>
              </w:rPr>
            </w:pPr>
            <w:r>
              <w:rPr>
                <w:rFonts w:hint="eastAsia" w:ascii="宋体" w:hAnsi="宋体" w:cs="宋体"/>
                <w:sz w:val="21"/>
                <w:szCs w:val="21"/>
              </w:rPr>
              <w:t xml:space="preserve">  ≥</w:t>
            </w:r>
            <w:r>
              <w:rPr>
                <w:rFonts w:hint="eastAsia" w:ascii="宋体" w:hAnsi="宋体" w:cs="宋体"/>
                <w:color w:val="333940"/>
                <w:sz w:val="21"/>
                <w:szCs w:val="21"/>
              </w:rPr>
              <w:t>2U标准机架式设备，配置≥6 个千兆电口、≥4个万兆光口(含光模块);网络层吞吐率≥10Gbps；防病毒吞吐率≥ 1Gbps;国产CPU,CPU主频≥3.0GHz，8 核,≥32GB内存,≥2TB硬盘,≥双电源,国产操作系统，配置安全集中管控平台对设备进行管理；包含安装部署相关模块和跳纤等配件。中标后提供三年服务承诺函及三年特征码升级授权</w:t>
            </w:r>
            <w:r>
              <w:rPr>
                <w:rFonts w:hint="eastAsia" w:ascii="宋体" w:hAnsi="宋体" w:cs="宋体"/>
                <w:sz w:val="21"/>
                <w:szCs w:val="21"/>
              </w:rPr>
              <w:t>。（投标时提供承诺，格式自拟）</w:t>
            </w:r>
          </w:p>
        </w:tc>
        <w:tc>
          <w:tcPr>
            <w:tcW w:w="1077" w:type="dxa"/>
            <w:vAlign w:val="center"/>
          </w:tcPr>
          <w:p>
            <w:pPr>
              <w:spacing w:line="360" w:lineRule="exact"/>
              <w:jc w:val="center"/>
              <w:rPr>
                <w:rFonts w:ascii="宋体" w:hAnsi="宋体" w:cs="宋体"/>
                <w:color w:val="333940"/>
                <w:szCs w:val="21"/>
              </w:rPr>
            </w:pPr>
            <w:r>
              <w:rPr>
                <w:rFonts w:hint="eastAsia" w:ascii="宋体" w:hAnsi="宋体" w:cs="宋体"/>
                <w:color w:val="333940"/>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line="360" w:lineRule="exact"/>
              <w:jc w:val="center"/>
              <w:rPr>
                <w:rFonts w:ascii="宋体" w:hAnsi="宋体" w:cs="宋体"/>
                <w:color w:val="333940"/>
                <w:szCs w:val="21"/>
              </w:rPr>
            </w:pPr>
            <w:r>
              <w:rPr>
                <w:rFonts w:hint="eastAsia" w:ascii="宋体" w:hAnsi="宋体" w:cs="宋体"/>
                <w:color w:val="333940"/>
                <w:szCs w:val="21"/>
              </w:rPr>
              <w:t>2</w:t>
            </w:r>
          </w:p>
        </w:tc>
        <w:tc>
          <w:tcPr>
            <w:tcW w:w="1250" w:type="dxa"/>
            <w:vAlign w:val="center"/>
          </w:tcPr>
          <w:p>
            <w:pPr>
              <w:spacing w:line="360" w:lineRule="exact"/>
              <w:jc w:val="center"/>
              <w:rPr>
                <w:rFonts w:ascii="宋体" w:hAnsi="宋体" w:cs="宋体"/>
                <w:color w:val="333940"/>
                <w:szCs w:val="21"/>
              </w:rPr>
            </w:pPr>
            <w:r>
              <w:rPr>
                <w:rFonts w:hint="eastAsia" w:ascii="宋体" w:hAnsi="宋体" w:cs="宋体"/>
                <w:color w:val="333940"/>
                <w:szCs w:val="21"/>
              </w:rPr>
              <w:t>三层</w:t>
            </w:r>
          </w:p>
          <w:p>
            <w:pPr>
              <w:spacing w:line="360" w:lineRule="exact"/>
              <w:jc w:val="center"/>
              <w:rPr>
                <w:rFonts w:ascii="宋体" w:hAnsi="宋体" w:cs="宋体"/>
                <w:color w:val="333940"/>
                <w:szCs w:val="21"/>
              </w:rPr>
            </w:pPr>
            <w:r>
              <w:rPr>
                <w:rFonts w:hint="eastAsia" w:ascii="宋体" w:hAnsi="宋体" w:cs="宋体"/>
                <w:color w:val="333940"/>
                <w:szCs w:val="21"/>
              </w:rPr>
              <w:t>交换机</w:t>
            </w:r>
          </w:p>
        </w:tc>
        <w:tc>
          <w:tcPr>
            <w:tcW w:w="5070" w:type="dxa"/>
            <w:vAlign w:val="center"/>
          </w:tcPr>
          <w:p>
            <w:pPr>
              <w:pStyle w:val="4"/>
              <w:ind w:firstLine="420" w:firstLineChars="200"/>
              <w:rPr>
                <w:rFonts w:ascii="宋体" w:hAnsi="宋体" w:cs="宋体"/>
                <w:color w:val="333940"/>
                <w:sz w:val="21"/>
                <w:szCs w:val="21"/>
              </w:rPr>
            </w:pPr>
            <w:r>
              <w:rPr>
                <w:rFonts w:hint="eastAsia" w:ascii="宋体" w:hAnsi="宋体" w:cs="宋体"/>
                <w:color w:val="333940"/>
                <w:sz w:val="21"/>
                <w:szCs w:val="21"/>
              </w:rPr>
              <w:t>结构：标准机架式；万兆SFP+光口≥12个</w:t>
            </w:r>
            <w:r>
              <w:rPr>
                <w:rFonts w:hint="eastAsia" w:ascii="宋体" w:hAnsi="宋体" w:cs="宋体"/>
                <w:sz w:val="21"/>
                <w:szCs w:val="21"/>
              </w:rPr>
              <w:t>（含模块等）</w:t>
            </w:r>
            <w:r>
              <w:rPr>
                <w:rFonts w:hint="eastAsia" w:ascii="宋体" w:hAnsi="宋体" w:cs="宋体"/>
                <w:color w:val="333940"/>
                <w:sz w:val="21"/>
                <w:szCs w:val="21"/>
              </w:rPr>
              <w:t>、千兆电口≥12个、≥1个Console口，≥1个Manage口；交换性能≥1.28Tbps/12.8Tbps；包转发率≥480Mpps（若存在双参数，则以较小参数为准）；双交流冗余电源；</w:t>
            </w:r>
          </w:p>
        </w:tc>
        <w:tc>
          <w:tcPr>
            <w:tcW w:w="1077" w:type="dxa"/>
            <w:vAlign w:val="center"/>
          </w:tcPr>
          <w:p>
            <w:pPr>
              <w:spacing w:line="360" w:lineRule="exact"/>
              <w:jc w:val="center"/>
              <w:rPr>
                <w:rFonts w:ascii="宋体" w:hAnsi="宋体" w:cs="宋体"/>
                <w:color w:val="333940"/>
                <w:szCs w:val="21"/>
              </w:rPr>
            </w:pPr>
            <w:r>
              <w:rPr>
                <w:rFonts w:hint="eastAsia" w:ascii="宋体" w:hAnsi="宋体" w:cs="宋体"/>
                <w:color w:val="333940"/>
                <w:szCs w:val="21"/>
              </w:rPr>
              <w:t>1台</w:t>
            </w:r>
          </w:p>
        </w:tc>
      </w:tr>
    </w:tbl>
    <w:p>
      <w:pPr>
        <w:pStyle w:val="3"/>
        <w:ind w:firstLine="422" w:firstLineChars="200"/>
        <w:rPr>
          <w:rFonts w:ascii="宋体" w:hAnsi="宋体" w:cs="宋体"/>
          <w:sz w:val="21"/>
          <w:szCs w:val="21"/>
          <w:lang w:eastAsia="zh-Hans"/>
        </w:rPr>
      </w:pPr>
      <w:r>
        <w:rPr>
          <w:rFonts w:hint="eastAsia" w:ascii="宋体" w:hAnsi="宋体" w:cs="宋体"/>
          <w:sz w:val="21"/>
          <w:szCs w:val="21"/>
        </w:rPr>
        <w:t>二、项目</w:t>
      </w:r>
      <w:r>
        <w:rPr>
          <w:rFonts w:hint="eastAsia" w:ascii="宋体" w:hAnsi="宋体" w:cs="宋体"/>
          <w:sz w:val="21"/>
          <w:szCs w:val="21"/>
          <w:lang w:eastAsia="zh-Hans"/>
        </w:rPr>
        <w:t>要求</w:t>
      </w:r>
    </w:p>
    <w:p>
      <w:pPr>
        <w:spacing w:line="360" w:lineRule="auto"/>
        <w:ind w:firstLine="420" w:firstLineChars="200"/>
        <w:jc w:val="left"/>
        <w:rPr>
          <w:rFonts w:ascii="宋体" w:hAnsi="宋体" w:cs="宋体"/>
          <w:szCs w:val="21"/>
        </w:rPr>
      </w:pPr>
      <w:r>
        <w:rPr>
          <w:rFonts w:hint="eastAsia" w:ascii="宋体" w:hAnsi="宋体" w:cs="宋体"/>
          <w:szCs w:val="21"/>
        </w:rPr>
        <w:t>近年来，挖矿、勒索等病毒事件频发，传统网络边界安全设备往往无能为力。网络边界安全传统设备防火墙，它主要工作在网络层、传输层（4层）之下，通过对协议、地址和服务端口的识别和控制达到防范入侵的目的，可以有效的防范基于业务端口的攻击。</w:t>
      </w:r>
    </w:p>
    <w:p>
      <w:pPr>
        <w:spacing w:line="360" w:lineRule="auto"/>
        <w:ind w:firstLine="420" w:firstLineChars="200"/>
        <w:jc w:val="left"/>
        <w:rPr>
          <w:rFonts w:ascii="宋体" w:hAnsi="宋体" w:cs="宋体"/>
          <w:szCs w:val="21"/>
        </w:rPr>
      </w:pPr>
      <w:r>
        <w:rPr>
          <w:rFonts w:hint="eastAsia" w:ascii="宋体" w:hAnsi="宋体" w:cs="宋体"/>
          <w:szCs w:val="21"/>
        </w:rPr>
        <w:t>但随着信息化的发展，安全威胁呈现了“多、快、高”的发展趋势。“多”是指安全事件数量多，全球权威的恶意软件监测组织 AV-test.org的统计分析显示, 每年的全球病毒与恶意软件数量持续增长并有加速的趋势。“快”是指安全威胁入侵的蔓延速度快、发现漏洞后攻击出现的时间快，最新的蠕虫病毒可以在几分钟之内就蔓延到全球范围，新的漏洞公布后几个小时就出现针对漏洞的攻击行为或工具，“高”是指安全威胁的层次越来越高，目前的威胁多数已经从网络层发展到应用层。特别是近年来勒索软件、挖矿病毒愈演愈烈，因此针对第7层应用层的防护显得尤为重要。</w:t>
      </w:r>
    </w:p>
    <w:p>
      <w:pPr>
        <w:spacing w:line="360" w:lineRule="auto"/>
        <w:ind w:firstLine="420" w:firstLineChars="200"/>
        <w:jc w:val="left"/>
        <w:rPr>
          <w:rFonts w:ascii="宋体" w:hAnsi="宋体" w:cs="宋体"/>
          <w:szCs w:val="21"/>
        </w:rPr>
      </w:pPr>
      <w:r>
        <w:rPr>
          <w:rFonts w:hint="eastAsia" w:ascii="宋体" w:hAnsi="宋体" w:cs="宋体"/>
          <w:szCs w:val="21"/>
        </w:rPr>
        <w:t>我校网络防毒墙体系建立的目的，是为了完善我校安全建设体系，构建一个强壮、有效的边界防御体系，保护外链流量的安全，检测并拦截外网进出流量的恶意行为、恶意软件病毒、威胁攻击。同时可以满足国家《网络安全法》和等级保护制度的相关要求。</w:t>
      </w:r>
    </w:p>
    <w:p>
      <w:pPr>
        <w:spacing w:line="360" w:lineRule="auto"/>
        <w:ind w:firstLine="422" w:firstLineChars="200"/>
        <w:rPr>
          <w:rFonts w:ascii="宋体" w:hAnsi="宋体" w:cs="宋体"/>
          <w:b/>
          <w:szCs w:val="21"/>
        </w:rPr>
      </w:pPr>
      <w:r>
        <w:rPr>
          <w:rFonts w:hint="eastAsia" w:ascii="宋体" w:hAnsi="宋体" w:cs="宋体"/>
          <w:b/>
          <w:szCs w:val="21"/>
        </w:rPr>
        <w:t>三、主要技术参数：</w:t>
      </w:r>
    </w:p>
    <w:p>
      <w:pPr>
        <w:spacing w:line="360" w:lineRule="auto"/>
        <w:ind w:firstLine="422" w:firstLineChars="200"/>
        <w:rPr>
          <w:rFonts w:ascii="宋体" w:hAnsi="宋体" w:cs="宋体"/>
          <w:b/>
          <w:szCs w:val="21"/>
        </w:rPr>
      </w:pPr>
      <w:r>
        <w:rPr>
          <w:rFonts w:hint="eastAsia" w:ascii="宋体" w:hAnsi="宋体" w:cs="宋体"/>
          <w:b/>
          <w:szCs w:val="21"/>
        </w:rPr>
        <w:t>1、防毒墙技术指标</w:t>
      </w:r>
    </w:p>
    <w:tbl>
      <w:tblPr>
        <w:tblStyle w:val="11"/>
        <w:tblW w:w="97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
        <w:gridCol w:w="1284"/>
        <w:gridCol w:w="7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80" w:type="dxa"/>
          </w:tcPr>
          <w:p>
            <w:pPr>
              <w:spacing w:line="360" w:lineRule="exact"/>
              <w:jc w:val="center"/>
              <w:rPr>
                <w:rFonts w:ascii="宋体" w:hAnsi="宋体" w:cs="宋体"/>
                <w:b/>
                <w:bCs/>
                <w:szCs w:val="21"/>
              </w:rPr>
            </w:pPr>
            <w:r>
              <w:rPr>
                <w:rFonts w:hint="eastAsia" w:ascii="宋体" w:hAnsi="宋体" w:cs="宋体"/>
                <w:b/>
                <w:bCs/>
                <w:szCs w:val="21"/>
              </w:rPr>
              <w:t>序号</w:t>
            </w:r>
          </w:p>
        </w:tc>
        <w:tc>
          <w:tcPr>
            <w:tcW w:w="1284" w:type="dxa"/>
          </w:tcPr>
          <w:p>
            <w:pPr>
              <w:spacing w:line="360" w:lineRule="exact"/>
              <w:jc w:val="center"/>
              <w:rPr>
                <w:rFonts w:ascii="宋体" w:hAnsi="宋体" w:cs="宋体"/>
                <w:b/>
                <w:bCs/>
                <w:szCs w:val="21"/>
              </w:rPr>
            </w:pPr>
            <w:r>
              <w:rPr>
                <w:rFonts w:hint="eastAsia" w:ascii="宋体" w:hAnsi="宋体" w:cs="宋体"/>
                <w:b/>
                <w:bCs/>
                <w:szCs w:val="21"/>
              </w:rPr>
              <w:t>指标项</w:t>
            </w:r>
          </w:p>
        </w:tc>
        <w:tc>
          <w:tcPr>
            <w:tcW w:w="7473" w:type="dxa"/>
          </w:tcPr>
          <w:p>
            <w:pPr>
              <w:spacing w:line="360" w:lineRule="exact"/>
              <w:jc w:val="center"/>
              <w:rPr>
                <w:rFonts w:ascii="宋体" w:hAnsi="宋体" w:cs="宋体"/>
                <w:b/>
                <w:bCs/>
                <w:szCs w:val="21"/>
              </w:rPr>
            </w:pPr>
            <w:r>
              <w:rPr>
                <w:rFonts w:hint="eastAsia" w:ascii="宋体" w:hAnsi="宋体" w:cs="宋体"/>
                <w:b/>
                <w:bCs/>
                <w:szCs w:val="21"/>
              </w:rPr>
              <w:t>指标参数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Align w:val="center"/>
          </w:tcPr>
          <w:p>
            <w:pPr>
              <w:spacing w:line="360" w:lineRule="exact"/>
              <w:jc w:val="center"/>
              <w:rPr>
                <w:rFonts w:ascii="宋体" w:hAnsi="宋体" w:cs="宋体"/>
                <w:szCs w:val="21"/>
              </w:rPr>
            </w:pPr>
            <w:r>
              <w:rPr>
                <w:rFonts w:hint="eastAsia" w:ascii="宋体" w:hAnsi="宋体" w:cs="宋体"/>
                <w:szCs w:val="21"/>
              </w:rPr>
              <w:t>1</w:t>
            </w:r>
          </w:p>
        </w:tc>
        <w:tc>
          <w:tcPr>
            <w:tcW w:w="1284" w:type="dxa"/>
            <w:vAlign w:val="center"/>
          </w:tcPr>
          <w:p>
            <w:pPr>
              <w:spacing w:line="360" w:lineRule="exact"/>
              <w:jc w:val="center"/>
              <w:rPr>
                <w:rFonts w:ascii="宋体" w:hAnsi="宋体" w:cs="宋体"/>
                <w:szCs w:val="21"/>
              </w:rPr>
            </w:pPr>
            <w:r>
              <w:rPr>
                <w:rFonts w:hint="eastAsia" w:ascii="宋体" w:hAnsi="宋体" w:cs="宋体"/>
                <w:szCs w:val="21"/>
              </w:rPr>
              <w:t>★硬件</w:t>
            </w:r>
          </w:p>
          <w:p>
            <w:pPr>
              <w:spacing w:line="360" w:lineRule="exact"/>
              <w:jc w:val="center"/>
              <w:rPr>
                <w:rFonts w:ascii="宋体" w:hAnsi="宋体" w:cs="宋体"/>
                <w:szCs w:val="21"/>
              </w:rPr>
            </w:pPr>
            <w:r>
              <w:rPr>
                <w:rFonts w:hint="eastAsia" w:ascii="宋体" w:hAnsi="宋体" w:cs="宋体"/>
                <w:szCs w:val="21"/>
              </w:rPr>
              <w:t>规格</w:t>
            </w:r>
          </w:p>
        </w:tc>
        <w:tc>
          <w:tcPr>
            <w:tcW w:w="7473" w:type="dxa"/>
          </w:tcPr>
          <w:p>
            <w:pPr>
              <w:pStyle w:val="4"/>
              <w:rPr>
                <w:rFonts w:ascii="宋体" w:hAnsi="宋体" w:cs="宋体"/>
                <w:sz w:val="21"/>
                <w:szCs w:val="21"/>
              </w:rPr>
            </w:pPr>
            <w:r>
              <w:rPr>
                <w:rFonts w:hint="eastAsia" w:ascii="宋体" w:hAnsi="宋体" w:cs="宋体"/>
                <w:sz w:val="21"/>
                <w:szCs w:val="21"/>
              </w:rPr>
              <w:t xml:space="preserve">  ≥2U标准机架式设备，配置≥6 个千兆电口、≥4个万兆光口(含光模块);网络层吞吐率≥10Gbps；防病毒吞吐率≥ 1Gbps;国产CPU,CPU主频≥3.0GHz，8 核,≥32GB内存,≥2TB硬盘,≥双电源,国产操作系统，配置安全集中管控平台对设备进行管理；包含安装部署相关模块和跳纤等配件。</w:t>
            </w:r>
            <w:r>
              <w:rPr>
                <w:rFonts w:hint="eastAsia" w:ascii="宋体" w:hAnsi="宋体" w:cs="宋体"/>
                <w:sz w:val="21"/>
                <w:szCs w:val="21"/>
                <w:highlight w:val="none"/>
              </w:rPr>
              <w:t>中标后提供三年服务承诺函及三年特征码升级授权。（投标时提供承诺，格式自拟）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Align w:val="center"/>
          </w:tcPr>
          <w:p>
            <w:pPr>
              <w:spacing w:line="360" w:lineRule="exact"/>
              <w:jc w:val="center"/>
              <w:rPr>
                <w:rFonts w:ascii="宋体" w:hAnsi="宋体" w:cs="宋体"/>
                <w:szCs w:val="21"/>
              </w:rPr>
            </w:pPr>
            <w:r>
              <w:rPr>
                <w:rFonts w:hint="eastAsia" w:ascii="宋体" w:hAnsi="宋体" w:cs="宋体"/>
                <w:szCs w:val="21"/>
              </w:rPr>
              <w:t>2</w:t>
            </w:r>
          </w:p>
        </w:tc>
        <w:tc>
          <w:tcPr>
            <w:tcW w:w="1284" w:type="dxa"/>
            <w:vAlign w:val="center"/>
          </w:tcPr>
          <w:p>
            <w:pPr>
              <w:spacing w:line="360" w:lineRule="exact"/>
              <w:jc w:val="center"/>
              <w:rPr>
                <w:rFonts w:ascii="宋体" w:hAnsi="宋体" w:cs="宋体"/>
                <w:szCs w:val="21"/>
              </w:rPr>
            </w:pPr>
            <w:r>
              <w:rPr>
                <w:rFonts w:hint="eastAsia" w:ascii="宋体" w:hAnsi="宋体" w:cs="宋体"/>
                <w:szCs w:val="21"/>
              </w:rPr>
              <w:t>★性能</w:t>
            </w:r>
          </w:p>
        </w:tc>
        <w:tc>
          <w:tcPr>
            <w:tcW w:w="7473" w:type="dxa"/>
          </w:tcPr>
          <w:p>
            <w:pPr>
              <w:spacing w:line="360" w:lineRule="exact"/>
              <w:rPr>
                <w:rFonts w:ascii="宋体" w:hAnsi="宋体" w:cs="宋体"/>
                <w:szCs w:val="21"/>
              </w:rPr>
            </w:pPr>
            <w:r>
              <w:rPr>
                <w:rFonts w:hint="eastAsia" w:ascii="宋体" w:hAnsi="宋体" w:cs="宋体"/>
                <w:szCs w:val="21"/>
              </w:rPr>
              <w:t>网络层吞吐率≥10Gbps、防病毒吞吐率≥1Gbps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80" w:type="dxa"/>
            <w:vAlign w:val="center"/>
          </w:tcPr>
          <w:p>
            <w:pPr>
              <w:spacing w:line="360" w:lineRule="exact"/>
              <w:jc w:val="center"/>
              <w:rPr>
                <w:rFonts w:ascii="宋体" w:hAnsi="宋体" w:cs="宋体"/>
                <w:szCs w:val="21"/>
              </w:rPr>
            </w:pPr>
            <w:r>
              <w:rPr>
                <w:rFonts w:hint="eastAsia" w:ascii="宋体" w:hAnsi="宋体" w:cs="宋体"/>
                <w:szCs w:val="21"/>
              </w:rPr>
              <w:t>3</w:t>
            </w:r>
          </w:p>
        </w:tc>
        <w:tc>
          <w:tcPr>
            <w:tcW w:w="1284" w:type="dxa"/>
            <w:vAlign w:val="center"/>
          </w:tcPr>
          <w:p>
            <w:pPr>
              <w:spacing w:line="360" w:lineRule="exact"/>
              <w:jc w:val="center"/>
              <w:rPr>
                <w:rFonts w:ascii="宋体" w:hAnsi="宋体" w:cs="宋体"/>
                <w:szCs w:val="21"/>
              </w:rPr>
            </w:pPr>
            <w:r>
              <w:rPr>
                <w:rFonts w:hint="eastAsia" w:ascii="宋体" w:hAnsi="宋体" w:cs="宋体"/>
                <w:szCs w:val="21"/>
              </w:rPr>
              <w:t>仪表盘</w:t>
            </w: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▲能够对威胁进行可视化展示，展示维度至少包括威胁类型统计（至少包含勒索、挖矿、病毒、APT、漏洞利用威胁事件）、近30天威胁事件趋势、攻击源IP TOP5、受影响主机TOP5、勒索&amp;挖矿事件拦截统计、热门威胁事件TOP5、自定义黑名单TOP5等.(提供产品界面截图</w:t>
            </w:r>
            <w:r>
              <w:rPr>
                <w:rFonts w:hint="eastAsia" w:ascii="宋体" w:hAnsi="宋体" w:cs="宋体"/>
                <w:szCs w:val="21"/>
                <w:lang w:eastAsia="zh-Hans"/>
              </w:rPr>
              <w:t>并加盖</w:t>
            </w:r>
            <w:r>
              <w:rPr>
                <w:rFonts w:hint="eastAsia" w:ascii="宋体" w:hAnsi="宋体" w:cs="宋体"/>
                <w:szCs w:val="21"/>
              </w:rPr>
              <w:t>投标供应商</w:t>
            </w:r>
            <w:r>
              <w:rPr>
                <w:rFonts w:hint="eastAsia" w:ascii="宋体" w:hAnsi="宋体" w:cs="宋体"/>
                <w:szCs w:val="21"/>
                <w:lang w:eastAsia="zh-Hans"/>
              </w:rPr>
              <w:t>公章</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restart"/>
            <w:vAlign w:val="center"/>
          </w:tcPr>
          <w:p>
            <w:pPr>
              <w:spacing w:line="360" w:lineRule="exact"/>
              <w:jc w:val="center"/>
              <w:rPr>
                <w:rFonts w:ascii="宋体" w:hAnsi="宋体" w:cs="宋体"/>
                <w:szCs w:val="21"/>
              </w:rPr>
            </w:pPr>
            <w:r>
              <w:rPr>
                <w:rFonts w:hint="eastAsia" w:ascii="宋体" w:hAnsi="宋体" w:cs="宋体"/>
                <w:szCs w:val="21"/>
              </w:rPr>
              <w:t>4</w:t>
            </w:r>
          </w:p>
        </w:tc>
        <w:tc>
          <w:tcPr>
            <w:tcW w:w="1284" w:type="dxa"/>
            <w:vMerge w:val="restart"/>
            <w:vAlign w:val="center"/>
          </w:tcPr>
          <w:p>
            <w:pPr>
              <w:spacing w:line="360" w:lineRule="exact"/>
              <w:jc w:val="center"/>
              <w:rPr>
                <w:rFonts w:ascii="宋体" w:hAnsi="宋体" w:cs="宋体"/>
                <w:szCs w:val="21"/>
              </w:rPr>
            </w:pPr>
            <w:r>
              <w:rPr>
                <w:rFonts w:hint="eastAsia" w:ascii="宋体" w:hAnsi="宋体" w:cs="宋体"/>
                <w:szCs w:val="21"/>
              </w:rPr>
              <w:t>防病毒</w:t>
            </w: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支持超过不少于100种协议的解析, 包括但不限于：HTTP/SMTP/POP3/FTP/SMB/TFTP/TCP/UDP/NFS/SNMP/ICMP/RTMP/DNS/IRC等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vAlign w:val="center"/>
          </w:tcPr>
          <w:p>
            <w:pPr>
              <w:spacing w:line="360" w:lineRule="exact"/>
              <w:jc w:val="center"/>
              <w:rPr>
                <w:rFonts w:ascii="宋体" w:hAnsi="宋体" w:cs="宋体"/>
                <w:szCs w:val="21"/>
              </w:rPr>
            </w:pPr>
          </w:p>
        </w:tc>
        <w:tc>
          <w:tcPr>
            <w:tcW w:w="1284" w:type="dxa"/>
            <w:vMerge w:val="continue"/>
            <w:vAlign w:val="center"/>
          </w:tcPr>
          <w:p>
            <w:pPr>
              <w:spacing w:line="360" w:lineRule="exact"/>
              <w:jc w:val="center"/>
              <w:rPr>
                <w:rFonts w:ascii="宋体" w:hAnsi="宋体" w:cs="宋体"/>
                <w:szCs w:val="21"/>
              </w:rPr>
            </w:pPr>
          </w:p>
        </w:tc>
        <w:tc>
          <w:tcPr>
            <w:tcW w:w="7473" w:type="dxa"/>
          </w:tcPr>
          <w:p>
            <w:pPr>
              <w:spacing w:line="360" w:lineRule="exact"/>
              <w:ind w:firstLine="420" w:firstLineChars="200"/>
              <w:rPr>
                <w:rFonts w:ascii="宋体" w:hAnsi="宋体" w:cs="宋体"/>
                <w:szCs w:val="21"/>
                <w:lang w:eastAsia="zh-Hans"/>
              </w:rPr>
            </w:pPr>
            <w:r>
              <w:rPr>
                <w:rFonts w:hint="eastAsia" w:ascii="宋体" w:hAnsi="宋体" w:cs="宋体"/>
                <w:color w:val="auto"/>
                <w:szCs w:val="21"/>
              </w:rPr>
              <w:t>▲能够</w:t>
            </w:r>
            <w:r>
              <w:rPr>
                <w:rFonts w:hint="eastAsia" w:ascii="宋体" w:hAnsi="宋体" w:cs="宋体"/>
                <w:szCs w:val="21"/>
              </w:rPr>
              <w:t>支持SMBv1/SMBv2/SMBv3文件共享协议的病毒检测与查杀.(提供产品界面截图</w:t>
            </w:r>
            <w:r>
              <w:rPr>
                <w:rFonts w:hint="eastAsia" w:ascii="宋体" w:hAnsi="宋体" w:cs="宋体"/>
                <w:szCs w:val="21"/>
                <w:lang w:eastAsia="zh-Hans"/>
              </w:rPr>
              <w:t>并加盖</w:t>
            </w:r>
            <w:r>
              <w:rPr>
                <w:rFonts w:hint="eastAsia" w:ascii="宋体" w:hAnsi="宋体" w:cs="宋体"/>
                <w:szCs w:val="21"/>
              </w:rPr>
              <w:t>投标供应商</w:t>
            </w:r>
            <w:r>
              <w:rPr>
                <w:rFonts w:hint="eastAsia" w:ascii="宋体" w:hAnsi="宋体" w:cs="宋体"/>
                <w:szCs w:val="21"/>
                <w:lang w:eastAsia="zh-Hans"/>
              </w:rPr>
              <w:t>公章</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vAlign w:val="center"/>
          </w:tcPr>
          <w:p>
            <w:pPr>
              <w:spacing w:line="360" w:lineRule="exact"/>
              <w:jc w:val="center"/>
              <w:rPr>
                <w:rFonts w:ascii="宋体" w:hAnsi="宋体" w:cs="宋体"/>
                <w:szCs w:val="21"/>
              </w:rPr>
            </w:pPr>
          </w:p>
        </w:tc>
        <w:tc>
          <w:tcPr>
            <w:tcW w:w="1284" w:type="dxa"/>
            <w:vMerge w:val="continue"/>
            <w:vAlign w:val="center"/>
          </w:tcPr>
          <w:p>
            <w:pPr>
              <w:spacing w:line="360" w:lineRule="exact"/>
              <w:jc w:val="center"/>
              <w:rPr>
                <w:rFonts w:ascii="宋体" w:hAnsi="宋体" w:cs="宋体"/>
                <w:szCs w:val="21"/>
              </w:rPr>
            </w:pP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能够防御多种类型的恶意软件 (包括但不限于病毒、木马、蠕虫、后门、间谍软件、灰色软件、Rootkits等)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vAlign w:val="center"/>
          </w:tcPr>
          <w:p>
            <w:pPr>
              <w:spacing w:line="360" w:lineRule="exact"/>
              <w:jc w:val="center"/>
              <w:rPr>
                <w:rFonts w:ascii="宋体" w:hAnsi="宋体" w:cs="宋体"/>
                <w:szCs w:val="21"/>
              </w:rPr>
            </w:pPr>
          </w:p>
        </w:tc>
        <w:tc>
          <w:tcPr>
            <w:tcW w:w="1284" w:type="dxa"/>
            <w:vMerge w:val="continue"/>
            <w:vAlign w:val="center"/>
          </w:tcPr>
          <w:p>
            <w:pPr>
              <w:spacing w:line="360" w:lineRule="exact"/>
              <w:jc w:val="center"/>
              <w:rPr>
                <w:rFonts w:ascii="宋体" w:hAnsi="宋体" w:cs="宋体"/>
                <w:szCs w:val="21"/>
              </w:rPr>
            </w:pP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能够启动更加先进的防病毒引擎，用以查杀不同级别的具有可疑行为的文件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vAlign w:val="center"/>
          </w:tcPr>
          <w:p>
            <w:pPr>
              <w:spacing w:line="360" w:lineRule="exact"/>
              <w:jc w:val="center"/>
              <w:rPr>
                <w:rFonts w:ascii="宋体" w:hAnsi="宋体" w:cs="宋体"/>
                <w:szCs w:val="21"/>
              </w:rPr>
            </w:pPr>
          </w:p>
        </w:tc>
        <w:tc>
          <w:tcPr>
            <w:tcW w:w="1284" w:type="dxa"/>
            <w:vMerge w:val="continue"/>
            <w:vAlign w:val="center"/>
          </w:tcPr>
          <w:p>
            <w:pPr>
              <w:spacing w:line="360" w:lineRule="exact"/>
              <w:jc w:val="center"/>
              <w:rPr>
                <w:rFonts w:ascii="宋体" w:hAnsi="宋体" w:cs="宋体"/>
                <w:szCs w:val="21"/>
              </w:rPr>
            </w:pP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支持能够提交可疑文件至APT增强定制化沙箱模块做联动分析，且能从沙箱模块同步、文件SHA1、URL、IP及域等情报做进一步处理.(提供产品界面截图</w:t>
            </w:r>
            <w:r>
              <w:rPr>
                <w:rFonts w:hint="eastAsia" w:ascii="宋体" w:hAnsi="宋体" w:cs="宋体"/>
                <w:szCs w:val="21"/>
                <w:lang w:eastAsia="zh-Hans"/>
              </w:rPr>
              <w:t>并加盖</w:t>
            </w:r>
            <w:r>
              <w:rPr>
                <w:rFonts w:hint="eastAsia" w:ascii="宋体" w:hAnsi="宋体" w:cs="宋体"/>
                <w:szCs w:val="21"/>
              </w:rPr>
              <w:t>投标供应商</w:t>
            </w:r>
            <w:r>
              <w:rPr>
                <w:rFonts w:hint="eastAsia" w:ascii="宋体" w:hAnsi="宋体" w:cs="宋体"/>
                <w:szCs w:val="21"/>
                <w:lang w:eastAsia="zh-Hans"/>
              </w:rPr>
              <w:t>公章</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vAlign w:val="center"/>
          </w:tcPr>
          <w:p>
            <w:pPr>
              <w:spacing w:line="360" w:lineRule="exact"/>
              <w:jc w:val="center"/>
              <w:rPr>
                <w:rFonts w:ascii="宋体" w:hAnsi="宋体" w:cs="宋体"/>
                <w:szCs w:val="21"/>
              </w:rPr>
            </w:pPr>
          </w:p>
        </w:tc>
        <w:tc>
          <w:tcPr>
            <w:tcW w:w="1284" w:type="dxa"/>
            <w:vMerge w:val="continue"/>
            <w:vAlign w:val="center"/>
          </w:tcPr>
          <w:p>
            <w:pPr>
              <w:spacing w:line="360" w:lineRule="exact"/>
              <w:jc w:val="center"/>
              <w:rPr>
                <w:rFonts w:ascii="宋体" w:hAnsi="宋体" w:cs="宋体"/>
                <w:szCs w:val="21"/>
              </w:rPr>
            </w:pP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能够支持两个的防病毒引擎同时工作，并能够按需开启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vAlign w:val="center"/>
          </w:tcPr>
          <w:p>
            <w:pPr>
              <w:spacing w:line="360" w:lineRule="exact"/>
              <w:jc w:val="center"/>
              <w:rPr>
                <w:rFonts w:ascii="宋体" w:hAnsi="宋体" w:cs="宋体"/>
                <w:szCs w:val="21"/>
              </w:rPr>
            </w:pPr>
          </w:p>
        </w:tc>
        <w:tc>
          <w:tcPr>
            <w:tcW w:w="1284" w:type="dxa"/>
            <w:vMerge w:val="continue"/>
            <w:vAlign w:val="center"/>
          </w:tcPr>
          <w:p>
            <w:pPr>
              <w:spacing w:line="360" w:lineRule="exact"/>
              <w:jc w:val="center"/>
              <w:rPr>
                <w:rFonts w:ascii="宋体" w:hAnsi="宋体" w:cs="宋体"/>
                <w:szCs w:val="21"/>
              </w:rPr>
            </w:pP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所投产品的厂商需具备自主研发能力，产品需至少具备自研防病毒、深度包解析和威胁情报引擎。能够精准高效对勒索、挖矿、病毒、APT、漏洞利用威胁事件检测拦截，同时支持0day或者N day漏洞快速响应。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vAlign w:val="center"/>
          </w:tcPr>
          <w:p>
            <w:pPr>
              <w:spacing w:line="360" w:lineRule="exact"/>
              <w:jc w:val="center"/>
              <w:rPr>
                <w:rFonts w:ascii="宋体" w:hAnsi="宋体" w:cs="宋体"/>
                <w:szCs w:val="21"/>
              </w:rPr>
            </w:pPr>
          </w:p>
        </w:tc>
        <w:tc>
          <w:tcPr>
            <w:tcW w:w="1284" w:type="dxa"/>
            <w:vMerge w:val="continue"/>
            <w:vAlign w:val="center"/>
          </w:tcPr>
          <w:p>
            <w:pPr>
              <w:spacing w:line="360" w:lineRule="exact"/>
              <w:jc w:val="center"/>
              <w:rPr>
                <w:rFonts w:ascii="宋体" w:hAnsi="宋体" w:cs="宋体"/>
                <w:szCs w:val="21"/>
              </w:rPr>
            </w:pP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能够支持快速扫描模式和深度扫描模式切换，确保在不同网络环境下的查杀效率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vAlign w:val="center"/>
          </w:tcPr>
          <w:p>
            <w:pPr>
              <w:spacing w:line="360" w:lineRule="exact"/>
              <w:jc w:val="center"/>
              <w:rPr>
                <w:rFonts w:ascii="宋体" w:hAnsi="宋体" w:cs="宋体"/>
                <w:szCs w:val="21"/>
              </w:rPr>
            </w:pPr>
          </w:p>
        </w:tc>
        <w:tc>
          <w:tcPr>
            <w:tcW w:w="1284" w:type="dxa"/>
            <w:vMerge w:val="continue"/>
            <w:vAlign w:val="center"/>
          </w:tcPr>
          <w:p>
            <w:pPr>
              <w:spacing w:line="360" w:lineRule="exact"/>
              <w:jc w:val="center"/>
              <w:rPr>
                <w:rFonts w:ascii="宋体" w:hAnsi="宋体" w:cs="宋体"/>
                <w:szCs w:val="21"/>
              </w:rPr>
            </w:pP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▲能够允许定义被扫描文件的大小范围，最大不小于2G。(提供产品界面截图</w:t>
            </w:r>
            <w:r>
              <w:rPr>
                <w:rFonts w:hint="eastAsia" w:ascii="宋体" w:hAnsi="宋体" w:cs="宋体"/>
                <w:szCs w:val="21"/>
                <w:lang w:eastAsia="zh-Hans"/>
              </w:rPr>
              <w:t>并加盖投标</w:t>
            </w:r>
            <w:r>
              <w:rPr>
                <w:rFonts w:hint="eastAsia" w:ascii="宋体" w:hAnsi="宋体" w:cs="宋体"/>
                <w:szCs w:val="21"/>
              </w:rPr>
              <w:t>供应商</w:t>
            </w:r>
            <w:r>
              <w:rPr>
                <w:rFonts w:hint="eastAsia" w:ascii="宋体" w:hAnsi="宋体" w:cs="宋体"/>
                <w:szCs w:val="21"/>
                <w:lang w:eastAsia="zh-Hans"/>
              </w:rPr>
              <w:t>公章</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Align w:val="center"/>
          </w:tcPr>
          <w:p>
            <w:pPr>
              <w:spacing w:line="360" w:lineRule="exact"/>
              <w:jc w:val="center"/>
              <w:rPr>
                <w:rFonts w:ascii="宋体" w:hAnsi="宋体" w:cs="宋体"/>
                <w:szCs w:val="21"/>
              </w:rPr>
            </w:pPr>
            <w:r>
              <w:rPr>
                <w:rFonts w:hint="eastAsia" w:ascii="宋体" w:hAnsi="宋体" w:cs="宋体"/>
                <w:szCs w:val="21"/>
              </w:rPr>
              <w:t>5</w:t>
            </w:r>
          </w:p>
        </w:tc>
        <w:tc>
          <w:tcPr>
            <w:tcW w:w="1284" w:type="dxa"/>
            <w:vAlign w:val="center"/>
          </w:tcPr>
          <w:p>
            <w:pPr>
              <w:spacing w:line="360" w:lineRule="exact"/>
              <w:jc w:val="center"/>
              <w:rPr>
                <w:rFonts w:ascii="宋体" w:hAnsi="宋体" w:cs="宋体"/>
                <w:szCs w:val="21"/>
              </w:rPr>
            </w:pPr>
            <w:r>
              <w:rPr>
                <w:rFonts w:hint="eastAsia" w:ascii="宋体" w:hAnsi="宋体" w:cs="宋体"/>
                <w:szCs w:val="21"/>
              </w:rPr>
              <w:t>挖矿治理</w:t>
            </w: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产品需要具备在网络边界的挖矿检测和拦截能力，并能够直观展现拦截的挖矿事件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restart"/>
            <w:vAlign w:val="center"/>
          </w:tcPr>
          <w:p>
            <w:pPr>
              <w:spacing w:line="360" w:lineRule="exact"/>
              <w:jc w:val="center"/>
              <w:rPr>
                <w:rFonts w:ascii="宋体" w:hAnsi="宋体" w:cs="宋体"/>
                <w:szCs w:val="21"/>
              </w:rPr>
            </w:pPr>
            <w:r>
              <w:rPr>
                <w:rFonts w:hint="eastAsia" w:ascii="宋体" w:hAnsi="宋体" w:cs="宋体"/>
                <w:szCs w:val="21"/>
              </w:rPr>
              <w:t>6</w:t>
            </w:r>
          </w:p>
        </w:tc>
        <w:tc>
          <w:tcPr>
            <w:tcW w:w="1284" w:type="dxa"/>
            <w:vMerge w:val="restart"/>
            <w:vAlign w:val="center"/>
          </w:tcPr>
          <w:p>
            <w:pPr>
              <w:spacing w:line="360" w:lineRule="exact"/>
              <w:jc w:val="center"/>
              <w:rPr>
                <w:rFonts w:ascii="宋体" w:hAnsi="宋体" w:cs="宋体"/>
                <w:szCs w:val="21"/>
              </w:rPr>
            </w:pPr>
            <w:r>
              <w:rPr>
                <w:rFonts w:hint="eastAsia" w:ascii="宋体" w:hAnsi="宋体" w:cs="宋体"/>
                <w:szCs w:val="21"/>
              </w:rPr>
              <w:t>威胁情报</w:t>
            </w: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能够支持威胁情报能力以覆盖更大范围的威胁检测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vAlign w:val="center"/>
          </w:tcPr>
          <w:p>
            <w:pPr>
              <w:spacing w:line="360" w:lineRule="exact"/>
              <w:jc w:val="center"/>
              <w:rPr>
                <w:rFonts w:ascii="宋体" w:hAnsi="宋体" w:cs="宋体"/>
                <w:szCs w:val="21"/>
              </w:rPr>
            </w:pPr>
          </w:p>
        </w:tc>
        <w:tc>
          <w:tcPr>
            <w:tcW w:w="1284" w:type="dxa"/>
            <w:vMerge w:val="continue"/>
            <w:vAlign w:val="center"/>
          </w:tcPr>
          <w:p>
            <w:pPr>
              <w:spacing w:line="360" w:lineRule="exact"/>
              <w:jc w:val="center"/>
              <w:rPr>
                <w:rFonts w:ascii="宋体" w:hAnsi="宋体" w:cs="宋体"/>
                <w:szCs w:val="21"/>
              </w:rPr>
            </w:pP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支持用户自定义黑/白名单，支持URL黑/白名单设置、支持邮件收发件人黑/白名单设置、支持基于SHA1的文件黑/白名单设置。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Align w:val="center"/>
          </w:tcPr>
          <w:p>
            <w:pPr>
              <w:spacing w:line="360" w:lineRule="exact"/>
              <w:jc w:val="center"/>
              <w:rPr>
                <w:rFonts w:ascii="宋体" w:hAnsi="宋体" w:cs="宋体"/>
                <w:szCs w:val="21"/>
              </w:rPr>
            </w:pPr>
            <w:r>
              <w:rPr>
                <w:rFonts w:hint="eastAsia" w:ascii="宋体" w:hAnsi="宋体" w:cs="宋体"/>
                <w:szCs w:val="21"/>
              </w:rPr>
              <w:t>7</w:t>
            </w:r>
          </w:p>
        </w:tc>
        <w:tc>
          <w:tcPr>
            <w:tcW w:w="1284" w:type="dxa"/>
            <w:vAlign w:val="center"/>
          </w:tcPr>
          <w:p>
            <w:pPr>
              <w:spacing w:line="360" w:lineRule="exact"/>
              <w:jc w:val="center"/>
              <w:rPr>
                <w:rFonts w:ascii="宋体" w:hAnsi="宋体" w:cs="宋体"/>
                <w:szCs w:val="21"/>
              </w:rPr>
            </w:pPr>
            <w:r>
              <w:rPr>
                <w:rFonts w:hint="eastAsia" w:ascii="宋体" w:hAnsi="宋体" w:cs="宋体"/>
                <w:szCs w:val="21"/>
              </w:rPr>
              <w:t>部署</w:t>
            </w: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支持桥接、路由、监控模式部署所投产品需部署方式灵活以适应客户丰富的应用场景，支持ICAP部署模式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restart"/>
            <w:vAlign w:val="center"/>
          </w:tcPr>
          <w:p>
            <w:pPr>
              <w:spacing w:line="360" w:lineRule="exact"/>
              <w:jc w:val="center"/>
              <w:rPr>
                <w:rFonts w:ascii="宋体" w:hAnsi="宋体" w:cs="宋体"/>
                <w:szCs w:val="21"/>
              </w:rPr>
            </w:pPr>
            <w:r>
              <w:rPr>
                <w:rFonts w:hint="eastAsia" w:ascii="宋体" w:hAnsi="宋体" w:cs="宋体"/>
                <w:szCs w:val="21"/>
              </w:rPr>
              <w:t>8</w:t>
            </w:r>
          </w:p>
        </w:tc>
        <w:tc>
          <w:tcPr>
            <w:tcW w:w="1284" w:type="dxa"/>
            <w:vMerge w:val="restart"/>
            <w:vAlign w:val="center"/>
          </w:tcPr>
          <w:p>
            <w:pPr>
              <w:spacing w:line="360" w:lineRule="exact"/>
              <w:jc w:val="center"/>
              <w:rPr>
                <w:rFonts w:ascii="宋体" w:hAnsi="宋体" w:cs="宋体"/>
                <w:szCs w:val="21"/>
              </w:rPr>
            </w:pPr>
            <w:r>
              <w:rPr>
                <w:rFonts w:hint="eastAsia" w:ascii="宋体" w:hAnsi="宋体" w:cs="宋体"/>
                <w:szCs w:val="21"/>
              </w:rPr>
              <w:t>安全性</w:t>
            </w:r>
          </w:p>
          <w:p>
            <w:pPr>
              <w:spacing w:line="360" w:lineRule="exact"/>
              <w:jc w:val="center"/>
              <w:rPr>
                <w:rFonts w:ascii="宋体" w:hAnsi="宋体" w:cs="宋体"/>
                <w:szCs w:val="21"/>
              </w:rPr>
            </w:pPr>
            <w:r>
              <w:rPr>
                <w:rFonts w:hint="eastAsia" w:ascii="宋体" w:hAnsi="宋体" w:cs="宋体"/>
                <w:szCs w:val="21"/>
              </w:rPr>
              <w:t>和可靠性</w:t>
            </w: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为保证稳定性，所投产品需具备流量扫描优化的高可靠机制：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vAlign w:val="center"/>
          </w:tcPr>
          <w:p>
            <w:pPr>
              <w:spacing w:line="360" w:lineRule="exact"/>
              <w:jc w:val="center"/>
              <w:rPr>
                <w:rFonts w:ascii="宋体" w:hAnsi="宋体" w:cs="宋体"/>
                <w:szCs w:val="21"/>
              </w:rPr>
            </w:pPr>
          </w:p>
        </w:tc>
        <w:tc>
          <w:tcPr>
            <w:tcW w:w="1284" w:type="dxa"/>
            <w:vMerge w:val="continue"/>
            <w:vAlign w:val="center"/>
          </w:tcPr>
          <w:p>
            <w:pPr>
              <w:spacing w:line="360" w:lineRule="exact"/>
              <w:jc w:val="center"/>
              <w:rPr>
                <w:rFonts w:ascii="宋体" w:hAnsi="宋体" w:cs="宋体"/>
                <w:szCs w:val="21"/>
              </w:rPr>
            </w:pP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支持bypass功能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vAlign w:val="center"/>
          </w:tcPr>
          <w:p>
            <w:pPr>
              <w:spacing w:line="360" w:lineRule="exact"/>
              <w:jc w:val="center"/>
              <w:rPr>
                <w:rFonts w:ascii="宋体" w:hAnsi="宋体" w:cs="宋体"/>
                <w:szCs w:val="21"/>
              </w:rPr>
            </w:pPr>
          </w:p>
        </w:tc>
        <w:tc>
          <w:tcPr>
            <w:tcW w:w="1284" w:type="dxa"/>
            <w:vMerge w:val="continue"/>
            <w:vAlign w:val="center"/>
          </w:tcPr>
          <w:p>
            <w:pPr>
              <w:spacing w:line="360" w:lineRule="exact"/>
              <w:jc w:val="center"/>
              <w:rPr>
                <w:rFonts w:ascii="宋体" w:hAnsi="宋体" w:cs="宋体"/>
                <w:szCs w:val="21"/>
              </w:rPr>
            </w:pP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可对CPU、内存阈值进行设置，当超过该阈值，防毒墙主进程自动清理且不中断业务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980" w:type="dxa"/>
            <w:vMerge w:val="restart"/>
            <w:vAlign w:val="center"/>
          </w:tcPr>
          <w:p>
            <w:pPr>
              <w:spacing w:line="360" w:lineRule="exact"/>
              <w:jc w:val="center"/>
              <w:rPr>
                <w:rFonts w:ascii="宋体" w:hAnsi="宋体" w:cs="宋体"/>
                <w:szCs w:val="21"/>
              </w:rPr>
            </w:pPr>
            <w:r>
              <w:rPr>
                <w:rFonts w:hint="eastAsia" w:ascii="宋体" w:hAnsi="宋体" w:cs="宋体"/>
                <w:szCs w:val="21"/>
              </w:rPr>
              <w:t>9</w:t>
            </w:r>
          </w:p>
        </w:tc>
        <w:tc>
          <w:tcPr>
            <w:tcW w:w="1284" w:type="dxa"/>
            <w:vMerge w:val="restart"/>
            <w:vAlign w:val="center"/>
          </w:tcPr>
          <w:p>
            <w:pPr>
              <w:spacing w:line="360" w:lineRule="exact"/>
              <w:jc w:val="center"/>
              <w:rPr>
                <w:rFonts w:ascii="宋体" w:hAnsi="宋体" w:cs="宋体"/>
                <w:szCs w:val="21"/>
              </w:rPr>
            </w:pPr>
            <w:r>
              <w:rPr>
                <w:rFonts w:hint="eastAsia" w:ascii="宋体" w:hAnsi="宋体" w:cs="宋体"/>
                <w:szCs w:val="21"/>
              </w:rPr>
              <w:t>产品资质</w:t>
            </w:r>
          </w:p>
        </w:tc>
        <w:tc>
          <w:tcPr>
            <w:tcW w:w="7473" w:type="dxa"/>
          </w:tcPr>
          <w:p>
            <w:pPr>
              <w:spacing w:line="360" w:lineRule="exact"/>
              <w:ind w:firstLine="420" w:firstLineChars="200"/>
              <w:rPr>
                <w:rFonts w:hint="eastAsia" w:ascii="宋体" w:hAnsi="宋体" w:eastAsia="宋体" w:cs="宋体"/>
                <w:szCs w:val="21"/>
                <w:lang w:eastAsia="zh-CN"/>
              </w:rPr>
            </w:pPr>
            <w:r>
              <w:rPr>
                <w:rFonts w:hint="eastAsia" w:ascii="宋体" w:hAnsi="宋体" w:cs="宋体"/>
                <w:szCs w:val="21"/>
                <w:highlight w:val="none"/>
              </w:rPr>
              <w:t>▲产品必须是自主开发，国家信创产品，拥有自主知识产权，市场主流的，非OEM产品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980" w:type="dxa"/>
            <w:vMerge w:val="continue"/>
          </w:tcPr>
          <w:p>
            <w:pPr>
              <w:spacing w:line="360" w:lineRule="exact"/>
              <w:rPr>
                <w:rFonts w:ascii="宋体" w:hAnsi="宋体" w:cs="宋体"/>
                <w:szCs w:val="21"/>
              </w:rPr>
            </w:pPr>
          </w:p>
        </w:tc>
        <w:tc>
          <w:tcPr>
            <w:tcW w:w="1284" w:type="dxa"/>
            <w:vMerge w:val="continue"/>
          </w:tcPr>
          <w:p>
            <w:pPr>
              <w:spacing w:line="360" w:lineRule="exact"/>
              <w:rPr>
                <w:rFonts w:ascii="宋体" w:hAnsi="宋体" w:cs="宋体"/>
                <w:szCs w:val="21"/>
              </w:rPr>
            </w:pPr>
          </w:p>
        </w:tc>
        <w:tc>
          <w:tcPr>
            <w:tcW w:w="7473" w:type="dxa"/>
          </w:tcPr>
          <w:p>
            <w:pPr>
              <w:pStyle w:val="13"/>
              <w:widowControl/>
              <w:spacing w:line="360" w:lineRule="exact"/>
              <w:ind w:firstLine="420" w:firstLineChars="200"/>
              <w:jc w:val="both"/>
              <w:rPr>
                <w:rFonts w:ascii="宋体" w:hAnsi="宋体" w:eastAsia="宋体" w:cs="宋体"/>
                <w:color w:val="auto"/>
                <w:sz w:val="21"/>
                <w:szCs w:val="21"/>
              </w:rPr>
            </w:pPr>
            <w:r>
              <w:rPr>
                <w:rFonts w:hint="eastAsia" w:ascii="宋体" w:hAnsi="宋体" w:eastAsia="宋体" w:cs="宋体"/>
                <w:color w:val="auto"/>
                <w:sz w:val="21"/>
                <w:szCs w:val="21"/>
              </w:rPr>
              <w:t>▲产品必须为专业网关防病毒产品，非防火墙/下一代防火墙、UTM、IPS等具有防病毒功能模块的产品，</w:t>
            </w:r>
            <w:r>
              <w:rPr>
                <w:rFonts w:hint="eastAsia" w:ascii="宋体" w:hAnsi="宋体" w:eastAsia="宋体" w:cs="宋体"/>
                <w:color w:val="auto"/>
                <w:sz w:val="21"/>
                <w:szCs w:val="21"/>
                <w:lang w:eastAsia="zh-Hans"/>
              </w:rPr>
              <w:t>提供公安部“网关防病毒”销售许可证书</w:t>
            </w:r>
            <w:r>
              <w:rPr>
                <w:rFonts w:hint="eastAsia" w:ascii="宋体" w:hAnsi="宋体" w:eastAsia="宋体" w:cs="宋体"/>
                <w:color w:val="auto"/>
                <w:sz w:val="21"/>
                <w:szCs w:val="21"/>
              </w:rPr>
              <w:t>(提供证书复印件</w:t>
            </w:r>
            <w:r>
              <w:rPr>
                <w:rFonts w:hint="eastAsia" w:ascii="宋体" w:hAnsi="宋体" w:eastAsia="宋体" w:cs="宋体"/>
                <w:color w:val="auto"/>
                <w:sz w:val="21"/>
                <w:szCs w:val="21"/>
                <w:lang w:eastAsia="zh-Hans"/>
              </w:rPr>
              <w:t>和证书查询截图并加盖</w:t>
            </w:r>
            <w:r>
              <w:rPr>
                <w:rFonts w:hint="eastAsia" w:ascii="宋体" w:hAnsi="宋体" w:eastAsia="宋体" w:cs="宋体"/>
                <w:color w:val="auto"/>
                <w:sz w:val="21"/>
                <w:szCs w:val="21"/>
              </w:rPr>
              <w:t>投标供应商</w:t>
            </w:r>
            <w:r>
              <w:rPr>
                <w:rFonts w:hint="eastAsia" w:ascii="宋体" w:hAnsi="宋体" w:eastAsia="宋体" w:cs="宋体"/>
                <w:color w:val="auto"/>
                <w:sz w:val="21"/>
                <w:szCs w:val="21"/>
                <w:lang w:eastAsia="zh-Hans"/>
              </w:rPr>
              <w:t>公章)，</w:t>
            </w:r>
            <w:r>
              <w:rPr>
                <w:rFonts w:hint="eastAsia" w:ascii="宋体" w:hAnsi="宋体" w:eastAsia="宋体" w:cs="宋体"/>
                <w:color w:val="auto"/>
                <w:sz w:val="21"/>
                <w:szCs w:val="21"/>
              </w:rPr>
              <w:t>并且在计算信息系统安全专用产销售许可服务平台上防病毒类中的网关防病毒类别内可查询；</w:t>
            </w:r>
            <w:r>
              <w:rPr>
                <w:rFonts w:hint="eastAsia" w:ascii="宋体" w:hAnsi="宋体" w:eastAsia="宋体" w:cs="宋体"/>
                <w:color w:val="auto"/>
                <w:sz w:val="21"/>
                <w:szCs w:val="21"/>
                <w:lang w:eastAsia="zh-Hans"/>
              </w:rPr>
              <w:t>查询网址:</w:t>
            </w:r>
            <w:r>
              <w:rPr>
                <w:rFonts w:hint="eastAsia" w:ascii="宋体" w:hAnsi="宋体" w:eastAsia="宋体" w:cs="宋体"/>
                <w:color w:val="auto"/>
                <w:sz w:val="21"/>
                <w:szCs w:val="21"/>
              </w:rPr>
              <w:t>https://ispl.mps.gov.cn/ispl/jsp/common/ProductList_Public.jsp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980" w:type="dxa"/>
            <w:vMerge w:val="continue"/>
          </w:tcPr>
          <w:p>
            <w:pPr>
              <w:spacing w:line="360" w:lineRule="exact"/>
              <w:rPr>
                <w:rFonts w:ascii="宋体" w:hAnsi="宋体" w:cs="宋体"/>
                <w:szCs w:val="21"/>
              </w:rPr>
            </w:pPr>
          </w:p>
        </w:tc>
        <w:tc>
          <w:tcPr>
            <w:tcW w:w="1284" w:type="dxa"/>
            <w:vMerge w:val="continue"/>
          </w:tcPr>
          <w:p>
            <w:pPr>
              <w:spacing w:line="360" w:lineRule="exact"/>
              <w:rPr>
                <w:rFonts w:ascii="宋体" w:hAnsi="宋体" w:cs="宋体"/>
                <w:szCs w:val="21"/>
              </w:rPr>
            </w:pPr>
          </w:p>
        </w:tc>
        <w:tc>
          <w:tcPr>
            <w:tcW w:w="7473" w:type="dxa"/>
          </w:tcPr>
          <w:p>
            <w:pPr>
              <w:spacing w:line="360" w:lineRule="exact"/>
              <w:ind w:firstLine="420" w:firstLineChars="200"/>
              <w:rPr>
                <w:rFonts w:ascii="宋体" w:hAnsi="宋体" w:cs="宋体"/>
                <w:szCs w:val="21"/>
              </w:rPr>
            </w:pPr>
            <w:r>
              <w:rPr>
                <w:rFonts w:hint="eastAsia" w:ascii="宋体" w:hAnsi="宋体" w:cs="宋体"/>
                <w:szCs w:val="21"/>
              </w:rPr>
              <w:t>产品获得国家强制性产品CCC认证证书。(提供证书复印件</w:t>
            </w:r>
            <w:r>
              <w:rPr>
                <w:rFonts w:hint="eastAsia" w:ascii="宋体" w:hAnsi="宋体" w:cs="宋体"/>
                <w:szCs w:val="21"/>
                <w:lang w:eastAsia="zh-Hans"/>
              </w:rPr>
              <w:t>并加盖</w:t>
            </w:r>
            <w:r>
              <w:rPr>
                <w:rFonts w:hint="eastAsia" w:ascii="宋体" w:hAnsi="宋体" w:cs="宋体"/>
                <w:szCs w:val="21"/>
              </w:rPr>
              <w:t>投标供应商</w:t>
            </w:r>
            <w:r>
              <w:rPr>
                <w:rFonts w:hint="eastAsia" w:ascii="宋体" w:hAnsi="宋体" w:cs="宋体"/>
                <w:szCs w:val="21"/>
                <w:lang w:eastAsia="zh-Hans"/>
              </w:rPr>
              <w:t>公章)</w:t>
            </w:r>
          </w:p>
        </w:tc>
      </w:tr>
    </w:tbl>
    <w:p>
      <w:pPr>
        <w:pStyle w:val="2"/>
        <w:spacing w:line="360" w:lineRule="exact"/>
        <w:ind w:firstLine="422" w:firstLineChars="200"/>
        <w:rPr>
          <w:rFonts w:ascii="宋体" w:hAnsi="宋体" w:eastAsia="宋体" w:cs="宋体"/>
          <w:bCs w:val="0"/>
          <w:sz w:val="21"/>
          <w:szCs w:val="21"/>
        </w:rPr>
      </w:pPr>
      <w:r>
        <w:rPr>
          <w:rFonts w:hint="eastAsia" w:ascii="宋体" w:hAnsi="宋体" w:eastAsia="宋体" w:cs="宋体"/>
          <w:bCs w:val="0"/>
          <w:sz w:val="21"/>
          <w:szCs w:val="21"/>
        </w:rPr>
        <w:t>2、三层交换机技术指标</w:t>
      </w:r>
    </w:p>
    <w:tbl>
      <w:tblPr>
        <w:tblStyle w:val="11"/>
        <w:tblW w:w="99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1691"/>
        <w:gridCol w:w="7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63" w:type="dxa"/>
          </w:tcPr>
          <w:p>
            <w:pPr>
              <w:spacing w:line="360" w:lineRule="exact"/>
              <w:jc w:val="center"/>
              <w:rPr>
                <w:rFonts w:ascii="宋体" w:hAnsi="宋体" w:cs="宋体"/>
                <w:b/>
                <w:bCs/>
                <w:szCs w:val="21"/>
              </w:rPr>
            </w:pPr>
            <w:r>
              <w:rPr>
                <w:rFonts w:hint="eastAsia" w:ascii="宋体" w:hAnsi="宋体" w:cs="宋体"/>
                <w:b/>
                <w:bCs/>
                <w:szCs w:val="21"/>
              </w:rPr>
              <w:t>序号</w:t>
            </w:r>
          </w:p>
        </w:tc>
        <w:tc>
          <w:tcPr>
            <w:tcW w:w="1691" w:type="dxa"/>
          </w:tcPr>
          <w:p>
            <w:pPr>
              <w:spacing w:line="360" w:lineRule="exact"/>
              <w:jc w:val="center"/>
              <w:rPr>
                <w:rFonts w:ascii="宋体" w:hAnsi="宋体" w:cs="宋体"/>
                <w:b/>
                <w:bCs/>
                <w:szCs w:val="21"/>
              </w:rPr>
            </w:pPr>
            <w:r>
              <w:rPr>
                <w:rFonts w:hint="eastAsia" w:ascii="宋体" w:hAnsi="宋体" w:cs="宋体"/>
                <w:b/>
                <w:bCs/>
                <w:szCs w:val="21"/>
              </w:rPr>
              <w:t>指标项</w:t>
            </w:r>
          </w:p>
        </w:tc>
        <w:tc>
          <w:tcPr>
            <w:tcW w:w="7306" w:type="dxa"/>
          </w:tcPr>
          <w:p>
            <w:pPr>
              <w:spacing w:line="360" w:lineRule="exact"/>
              <w:jc w:val="center"/>
              <w:rPr>
                <w:rFonts w:ascii="宋体" w:hAnsi="宋体" w:cs="宋体"/>
                <w:b/>
                <w:bCs/>
                <w:szCs w:val="21"/>
              </w:rPr>
            </w:pPr>
            <w:r>
              <w:rPr>
                <w:rFonts w:hint="eastAsia" w:ascii="宋体" w:hAnsi="宋体" w:cs="宋体"/>
                <w:b/>
                <w:bCs/>
                <w:szCs w:val="21"/>
              </w:rPr>
              <w:t>指标参数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3" w:type="dxa"/>
            <w:vAlign w:val="center"/>
          </w:tcPr>
          <w:p>
            <w:pPr>
              <w:spacing w:line="360" w:lineRule="exact"/>
              <w:jc w:val="center"/>
              <w:rPr>
                <w:rFonts w:ascii="宋体" w:hAnsi="宋体" w:cs="宋体"/>
                <w:szCs w:val="21"/>
              </w:rPr>
            </w:pPr>
            <w:r>
              <w:rPr>
                <w:rFonts w:hint="eastAsia" w:ascii="宋体" w:hAnsi="宋体" w:cs="宋体"/>
                <w:szCs w:val="21"/>
              </w:rPr>
              <w:t>1</w:t>
            </w:r>
          </w:p>
        </w:tc>
        <w:tc>
          <w:tcPr>
            <w:tcW w:w="1691" w:type="dxa"/>
            <w:vAlign w:val="center"/>
          </w:tcPr>
          <w:p>
            <w:pPr>
              <w:spacing w:line="360" w:lineRule="exact"/>
              <w:jc w:val="center"/>
              <w:rPr>
                <w:rFonts w:ascii="宋体" w:hAnsi="宋体" w:cs="宋体"/>
                <w:szCs w:val="21"/>
              </w:rPr>
            </w:pPr>
            <w:r>
              <w:rPr>
                <w:rFonts w:hint="eastAsia" w:ascii="宋体" w:hAnsi="宋体" w:cs="宋体"/>
                <w:szCs w:val="21"/>
              </w:rPr>
              <w:t>三层交换机</w:t>
            </w:r>
          </w:p>
        </w:tc>
        <w:tc>
          <w:tcPr>
            <w:tcW w:w="7306" w:type="dxa"/>
          </w:tcPr>
          <w:p>
            <w:pPr>
              <w:spacing w:line="360" w:lineRule="exact"/>
              <w:ind w:firstLine="420" w:firstLineChars="200"/>
              <w:rPr>
                <w:rFonts w:ascii="宋体" w:hAnsi="宋体" w:cs="宋体"/>
                <w:szCs w:val="21"/>
              </w:rPr>
            </w:pPr>
            <w:r>
              <w:rPr>
                <w:rFonts w:hint="eastAsia" w:ascii="宋体" w:hAnsi="宋体" w:cs="宋体"/>
                <w:szCs w:val="21"/>
              </w:rPr>
              <w:t>1、★万兆SFP+光口≥12个、千兆电口≥12个、≥1个Console口，≥1个Manage口；</w:t>
            </w:r>
          </w:p>
          <w:p>
            <w:pPr>
              <w:spacing w:line="360" w:lineRule="exact"/>
              <w:ind w:firstLine="420" w:firstLineChars="200"/>
              <w:rPr>
                <w:rFonts w:ascii="宋体" w:hAnsi="宋体" w:cs="宋体"/>
                <w:szCs w:val="21"/>
              </w:rPr>
            </w:pPr>
            <w:r>
              <w:rPr>
                <w:rFonts w:hint="eastAsia" w:ascii="宋体" w:hAnsi="宋体" w:cs="宋体"/>
                <w:szCs w:val="21"/>
              </w:rPr>
              <w:t>2、▲交换性能≥1.28Tbps/12.8Tbps；包转发率≥480Mpps；（若存在双参数，以较小参数为准）；</w:t>
            </w:r>
          </w:p>
          <w:p>
            <w:pPr>
              <w:spacing w:line="360" w:lineRule="exact"/>
              <w:ind w:firstLine="420" w:firstLineChars="200"/>
              <w:rPr>
                <w:rFonts w:ascii="宋体" w:hAnsi="宋体" w:cs="宋体"/>
                <w:szCs w:val="21"/>
              </w:rPr>
            </w:pPr>
            <w:r>
              <w:rPr>
                <w:rFonts w:hint="eastAsia" w:ascii="宋体" w:hAnsi="宋体" w:cs="宋体"/>
                <w:szCs w:val="21"/>
              </w:rPr>
              <w:t>3、双交流电源1+1冗余；</w:t>
            </w:r>
          </w:p>
          <w:p>
            <w:pPr>
              <w:spacing w:line="360" w:lineRule="exact"/>
              <w:ind w:firstLine="420" w:firstLineChars="200"/>
              <w:rPr>
                <w:rFonts w:ascii="宋体" w:hAnsi="宋体" w:cs="宋体"/>
                <w:szCs w:val="21"/>
              </w:rPr>
            </w:pPr>
            <w:r>
              <w:rPr>
                <w:rFonts w:hint="eastAsia" w:ascii="宋体" w:hAnsi="宋体" w:cs="宋体"/>
                <w:szCs w:val="21"/>
              </w:rPr>
              <w:t>4、支持≥32K MAC地址；</w:t>
            </w:r>
          </w:p>
          <w:p>
            <w:pPr>
              <w:spacing w:line="360" w:lineRule="exact"/>
              <w:ind w:firstLine="420" w:firstLineChars="200"/>
              <w:rPr>
                <w:rFonts w:ascii="宋体" w:hAnsi="宋体" w:cs="宋体"/>
                <w:szCs w:val="21"/>
              </w:rPr>
            </w:pPr>
            <w:r>
              <w:rPr>
                <w:rFonts w:hint="eastAsia" w:ascii="宋体" w:hAnsi="宋体" w:cs="宋体"/>
                <w:szCs w:val="21"/>
              </w:rPr>
              <w:t>5、交换机支持：二层广播、配置静态IP地址、DHCP Option43、DNS域名等方式自动发现控制器平台；</w:t>
            </w:r>
          </w:p>
          <w:p>
            <w:pPr>
              <w:spacing w:line="360" w:lineRule="exact"/>
              <w:ind w:firstLine="420" w:firstLineChars="200"/>
              <w:rPr>
                <w:rFonts w:ascii="宋体" w:hAnsi="宋体" w:cs="宋体"/>
                <w:szCs w:val="21"/>
              </w:rPr>
            </w:pPr>
            <w:r>
              <w:rPr>
                <w:rFonts w:hint="eastAsia" w:ascii="宋体" w:hAnsi="宋体" w:cs="宋体"/>
                <w:szCs w:val="21"/>
              </w:rPr>
              <w:t>6、三层功能：支持静态路由、OSPF、RIP等动态路由；</w:t>
            </w:r>
          </w:p>
          <w:p>
            <w:pPr>
              <w:spacing w:line="360" w:lineRule="exact"/>
              <w:ind w:firstLine="420" w:firstLineChars="200"/>
              <w:rPr>
                <w:rFonts w:ascii="宋体" w:hAnsi="宋体" w:cs="宋体"/>
                <w:szCs w:val="21"/>
              </w:rPr>
            </w:pPr>
            <w:r>
              <w:rPr>
                <w:rFonts w:hint="eastAsia" w:ascii="宋体" w:hAnsi="宋体" w:cs="宋体"/>
                <w:szCs w:val="21"/>
              </w:rPr>
              <w:t>7、▲支持M-LAG技术，跨设备链路聚合，要求配对的设备有独立的控制平面，提供功能配置截图或官网截图证明；</w:t>
            </w:r>
          </w:p>
          <w:p>
            <w:pPr>
              <w:spacing w:line="360" w:lineRule="exact"/>
              <w:ind w:firstLine="420" w:firstLineChars="200"/>
              <w:rPr>
                <w:rFonts w:ascii="宋体" w:hAnsi="宋体" w:cs="宋体"/>
                <w:szCs w:val="21"/>
              </w:rPr>
            </w:pPr>
            <w:r>
              <w:rPr>
                <w:rFonts w:hint="eastAsia" w:ascii="宋体" w:hAnsi="宋体" w:cs="宋体"/>
                <w:szCs w:val="21"/>
              </w:rPr>
              <w:t>8、为保证内网安全性，防止病毒在内网横向传播，要求交换机具有东西向风险流量安全功能；</w:t>
            </w:r>
          </w:p>
          <w:p>
            <w:pPr>
              <w:spacing w:line="360" w:lineRule="exact"/>
              <w:ind w:firstLine="420" w:firstLineChars="200"/>
              <w:rPr>
                <w:rFonts w:ascii="宋体" w:hAnsi="宋体" w:cs="宋体"/>
                <w:szCs w:val="21"/>
              </w:rPr>
            </w:pPr>
            <w:r>
              <w:rPr>
                <w:rFonts w:hint="eastAsia" w:ascii="宋体" w:hAnsi="宋体" w:cs="宋体"/>
                <w:szCs w:val="21"/>
              </w:rPr>
              <w:t>9、为禁止非法终端(例如私接路由器)接入；需支持终端类型库，能自动识别PC、路由器、监控终端设备等；</w:t>
            </w:r>
          </w:p>
        </w:tc>
      </w:tr>
    </w:tbl>
    <w:p>
      <w:pPr>
        <w:spacing w:line="360" w:lineRule="auto"/>
        <w:ind w:firstLine="422" w:firstLineChars="200"/>
        <w:rPr>
          <w:rFonts w:ascii="宋体" w:hAnsi="宋体" w:cs="宋体"/>
          <w:b/>
          <w:szCs w:val="21"/>
        </w:rPr>
      </w:pPr>
      <w:r>
        <w:rPr>
          <w:rFonts w:hint="eastAsia" w:ascii="宋体" w:hAnsi="宋体" w:cs="宋体"/>
          <w:b/>
          <w:szCs w:val="21"/>
        </w:rPr>
        <w:t>四、质量和服务要求：</w:t>
      </w:r>
    </w:p>
    <w:p>
      <w:pPr>
        <w:spacing w:line="360" w:lineRule="auto"/>
        <w:ind w:firstLine="420" w:firstLineChars="200"/>
        <w:jc w:val="left"/>
        <w:rPr>
          <w:rFonts w:ascii="宋体" w:hAnsi="宋体" w:cs="宋体"/>
          <w:szCs w:val="21"/>
        </w:rPr>
      </w:pPr>
      <w:r>
        <w:rPr>
          <w:rFonts w:hint="eastAsia" w:ascii="宋体" w:hAnsi="宋体" w:cs="宋体"/>
          <w:szCs w:val="21"/>
        </w:rPr>
        <w:t>1、所供产品必须符合国家标准，设备和配件为全新原装，功能符合使用要求，保证为正规渠道供货的正宗原厂产品。须提供良好的售后服务，终身提供技术支持。</w:t>
      </w:r>
    </w:p>
    <w:p>
      <w:pPr>
        <w:spacing w:line="360" w:lineRule="auto"/>
        <w:ind w:firstLine="420" w:firstLineChars="200"/>
        <w:jc w:val="left"/>
        <w:rPr>
          <w:rFonts w:ascii="宋体" w:hAnsi="宋体" w:cs="宋体"/>
          <w:szCs w:val="21"/>
        </w:rPr>
      </w:pPr>
      <w:r>
        <w:rPr>
          <w:rFonts w:hint="eastAsia" w:ascii="宋体" w:hAnsi="宋体" w:cs="宋体"/>
          <w:szCs w:val="21"/>
        </w:rPr>
        <w:t>2、供货方式、时间及地点要求：</w:t>
      </w:r>
    </w:p>
    <w:p>
      <w:pPr>
        <w:spacing w:line="360" w:lineRule="auto"/>
        <w:ind w:firstLine="420" w:firstLineChars="200"/>
        <w:jc w:val="left"/>
        <w:rPr>
          <w:rFonts w:ascii="宋体" w:hAnsi="宋体" w:cs="宋体"/>
          <w:szCs w:val="21"/>
        </w:rPr>
      </w:pPr>
      <w:r>
        <w:rPr>
          <w:rFonts w:hint="eastAsia" w:ascii="宋体" w:hAnsi="宋体" w:cs="宋体"/>
          <w:szCs w:val="21"/>
        </w:rPr>
        <w:t>合同签订后30天内设备运抵江苏医药职业学院校内指定地点，并完成安装及调试。</w:t>
      </w:r>
    </w:p>
    <w:p>
      <w:pPr>
        <w:spacing w:line="360" w:lineRule="auto"/>
        <w:ind w:firstLine="420" w:firstLineChars="200"/>
        <w:jc w:val="left"/>
        <w:rPr>
          <w:rFonts w:ascii="宋体" w:hAnsi="宋体" w:cs="宋体"/>
          <w:szCs w:val="21"/>
        </w:rPr>
      </w:pPr>
      <w:r>
        <w:rPr>
          <w:rFonts w:hint="eastAsia" w:ascii="宋体" w:hAnsi="宋体" w:cs="宋体"/>
          <w:szCs w:val="21"/>
        </w:rPr>
        <w:t>3、质保期及服务要求：</w:t>
      </w:r>
    </w:p>
    <w:p>
      <w:pPr>
        <w:spacing w:line="360" w:lineRule="auto"/>
        <w:ind w:firstLine="420" w:firstLineChars="200"/>
        <w:jc w:val="left"/>
        <w:rPr>
          <w:rFonts w:ascii="宋体" w:hAnsi="宋体" w:cs="宋体"/>
          <w:szCs w:val="21"/>
        </w:rPr>
      </w:pPr>
      <w:r>
        <w:rPr>
          <w:rFonts w:hint="eastAsia" w:ascii="宋体" w:hAnsi="宋体" w:cs="宋体"/>
          <w:szCs w:val="21"/>
        </w:rPr>
        <w:t>（1）培训及售后服务：现场完成安装、调试之后，由成交方工程师提供免费操作培训。培训内容主要包括设备原理、基本操作要领、设备简易故障排除和维护保养知识等。</w:t>
      </w:r>
    </w:p>
    <w:p>
      <w:pPr>
        <w:spacing w:line="360" w:lineRule="auto"/>
        <w:ind w:firstLine="420" w:firstLineChars="200"/>
        <w:jc w:val="left"/>
        <w:rPr>
          <w:rFonts w:ascii="宋体" w:hAnsi="宋体" w:cs="宋体"/>
          <w:szCs w:val="21"/>
        </w:rPr>
      </w:pPr>
      <w:r>
        <w:rPr>
          <w:rFonts w:hint="eastAsia" w:ascii="宋体" w:hAnsi="宋体" w:cs="宋体"/>
          <w:szCs w:val="21"/>
        </w:rPr>
        <w:t>（2）须提供售后服务团队人员名单清单和联系方式。</w:t>
      </w:r>
    </w:p>
    <w:p>
      <w:pPr>
        <w:spacing w:line="360" w:lineRule="auto"/>
        <w:ind w:firstLine="420" w:firstLineChars="200"/>
        <w:jc w:val="left"/>
        <w:rPr>
          <w:rFonts w:ascii="宋体" w:hAnsi="宋体" w:cs="宋体"/>
          <w:szCs w:val="21"/>
        </w:rPr>
      </w:pPr>
      <w:r>
        <w:rPr>
          <w:rFonts w:hint="eastAsia" w:ascii="宋体" w:hAnsi="宋体" w:cs="宋体"/>
          <w:szCs w:val="21"/>
        </w:rPr>
        <w:t>（3）质保期：提供至少3年的免费质保期，自验收合格之日起计算。质保期内中标人需提供7×24小时热线服务、须定期上门进行例行检查，并做好记录，以保证设备正常运行。对于采购方的服务通知，中标方必须在接到通知后1小时内予以响应，若有必要，中标方工程师必须2小时内到达现场，常见问题 4小时内处理完毕。若大问题在48小时内未能有效解决，中标方须免费提供同档次的设备给予采购方临时使用。</w:t>
      </w:r>
    </w:p>
    <w:p>
      <w:pPr>
        <w:spacing w:line="360" w:lineRule="auto"/>
        <w:ind w:firstLine="420" w:firstLineChars="200"/>
        <w:jc w:val="left"/>
        <w:rPr>
          <w:rFonts w:ascii="宋体" w:hAnsi="宋体" w:cs="宋体"/>
          <w:szCs w:val="21"/>
        </w:rPr>
      </w:pPr>
      <w:r>
        <w:rPr>
          <w:rFonts w:hint="eastAsia" w:ascii="宋体" w:hAnsi="宋体" w:cs="宋体"/>
          <w:szCs w:val="21"/>
        </w:rPr>
        <w:t>质保期外，服务响应时间与质保期内一致，同时备品备件以合理优惠价格供应。</w:t>
      </w:r>
    </w:p>
    <w:p>
      <w:pPr>
        <w:spacing w:line="360" w:lineRule="auto"/>
        <w:ind w:firstLine="420" w:firstLineChars="200"/>
        <w:jc w:val="left"/>
        <w:rPr>
          <w:rFonts w:ascii="宋体" w:hAnsi="宋体" w:cs="宋体"/>
          <w:szCs w:val="21"/>
        </w:rPr>
      </w:pPr>
      <w:r>
        <w:rPr>
          <w:rFonts w:hint="eastAsia" w:ascii="宋体" w:hAnsi="宋体" w:cs="宋体"/>
          <w:szCs w:val="21"/>
        </w:rPr>
        <w:t>4、验收方法及验收标准：</w:t>
      </w:r>
    </w:p>
    <w:p>
      <w:pPr>
        <w:spacing w:line="360" w:lineRule="auto"/>
        <w:ind w:firstLine="420" w:firstLineChars="200"/>
        <w:jc w:val="left"/>
        <w:rPr>
          <w:rFonts w:ascii="宋体" w:hAnsi="宋体" w:cs="宋体"/>
          <w:szCs w:val="21"/>
        </w:rPr>
      </w:pPr>
      <w:r>
        <w:rPr>
          <w:rFonts w:hint="eastAsia" w:ascii="宋体" w:hAnsi="宋体" w:cs="宋体"/>
          <w:szCs w:val="21"/>
        </w:rPr>
        <w:t>货物发运前，必须对系统的质量、规格、性能等方面的技术数据进行综合检验，需随系统提供检验合格证书和原产地证明书。 现场安装、调试结束后，中标方和采购方相关人员按验收标准进行验收。验收标准为采购文件、投标文件、合同中的相关技术及服务条款内容。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Helvetica Neue">
    <w:altName w:val="Corbel"/>
    <w:panose1 w:val="00000000000000000000"/>
    <w:charset w:val="00"/>
    <w:family w:val="auto"/>
    <w:pitch w:val="default"/>
    <w:sig w:usb0="00000000" w:usb1="00000000" w:usb2="00000010" w:usb3="00000000" w:csb0="0000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Y2Y5YTYwZjJhZjQxNWNlYmI3ZjJmMzI3ZjUxNjEifQ=="/>
  </w:docVars>
  <w:rsids>
    <w:rsidRoot w:val="76BF2B84"/>
    <w:rsid w:val="0A5A5DF2"/>
    <w:rsid w:val="13D10788"/>
    <w:rsid w:val="173F457C"/>
    <w:rsid w:val="17561FE9"/>
    <w:rsid w:val="17B434BC"/>
    <w:rsid w:val="187C5464"/>
    <w:rsid w:val="1A990915"/>
    <w:rsid w:val="1DDF07C4"/>
    <w:rsid w:val="35F544A8"/>
    <w:rsid w:val="36DB69B2"/>
    <w:rsid w:val="3B974838"/>
    <w:rsid w:val="46976E9A"/>
    <w:rsid w:val="46C16952"/>
    <w:rsid w:val="49924986"/>
    <w:rsid w:val="4DD45406"/>
    <w:rsid w:val="56595270"/>
    <w:rsid w:val="5B155F33"/>
    <w:rsid w:val="646F4133"/>
    <w:rsid w:val="65CF0E53"/>
    <w:rsid w:val="76BF2B84"/>
    <w:rsid w:val="79436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416" w:lineRule="auto"/>
      <w:outlineLvl w:val="2"/>
    </w:pPr>
    <w:rPr>
      <w:b/>
      <w:kern w:val="0"/>
      <w:sz w:val="32"/>
      <w:szCs w:val="20"/>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99"/>
    <w:pPr>
      <w:jc w:val="left"/>
    </w:pPr>
    <w:rPr>
      <w:kern w:val="0"/>
      <w:sz w:val="20"/>
    </w:rPr>
  </w:style>
  <w:style w:type="paragraph" w:styleId="5">
    <w:name w:val="Body Text"/>
    <w:basedOn w:val="1"/>
    <w:next w:val="6"/>
    <w:qFormat/>
    <w:uiPriority w:val="99"/>
    <w:rPr>
      <w:rFonts w:ascii="楷体_GB2312" w:hAnsi="Arial" w:eastAsia="楷体_GB2312"/>
      <w:kern w:val="0"/>
      <w:sz w:val="28"/>
      <w:szCs w:val="20"/>
    </w:rPr>
  </w:style>
  <w:style w:type="paragraph" w:customStyle="1" w:styleId="6">
    <w:name w:val="一级条标题"/>
    <w:basedOn w:val="7"/>
    <w:next w:val="8"/>
    <w:qFormat/>
    <w:uiPriority w:val="99"/>
    <w:pPr>
      <w:tabs>
        <w:tab w:val="left" w:pos="810"/>
        <w:tab w:val="left" w:pos="907"/>
        <w:tab w:val="left" w:pos="1265"/>
      </w:tabs>
      <w:spacing w:before="0" w:after="0"/>
      <w:ind w:left="907" w:hanging="907"/>
      <w:outlineLvl w:val="2"/>
    </w:pPr>
    <w:rPr>
      <w:rFonts w:hAnsi="宋体"/>
      <w:kern w:val="0"/>
      <w:sz w:val="20"/>
      <w:szCs w:val="20"/>
    </w:rPr>
  </w:style>
  <w:style w:type="paragraph" w:customStyle="1" w:styleId="7">
    <w:name w:val="章标题"/>
    <w:next w:val="1"/>
    <w:qFormat/>
    <w:uiPriority w:val="0"/>
    <w:pPr>
      <w:tabs>
        <w:tab w:val="left" w:pos="810"/>
        <w:tab w:val="left" w:pos="1265"/>
      </w:tabs>
      <w:spacing w:before="50" w:after="50"/>
      <w:ind w:left="810" w:hanging="810"/>
      <w:jc w:val="both"/>
      <w:outlineLvl w:val="1"/>
    </w:pPr>
    <w:rPr>
      <w:rFonts w:ascii="黑体" w:hAnsi="Times New Roman" w:eastAsia="黑体" w:cs="Times New Roman"/>
      <w:kern w:val="2"/>
      <w:sz w:val="21"/>
      <w:szCs w:val="22"/>
      <w:lang w:val="en-US" w:eastAsia="zh-CN" w:bidi="ar-SA"/>
    </w:rPr>
  </w:style>
  <w:style w:type="paragraph" w:customStyle="1" w:styleId="8">
    <w:name w:val="段"/>
    <w:next w:val="1"/>
    <w:qFormat/>
    <w:uiPriority w:val="0"/>
    <w:pPr>
      <w:widowControl w:val="0"/>
      <w:ind w:firstLine="200"/>
      <w:jc w:val="both"/>
    </w:pPr>
    <w:rPr>
      <w:rFonts w:ascii="宋体" w:hAnsi="宋体" w:eastAsia="宋体" w:cs="宋体"/>
      <w:color w:val="000000"/>
      <w:sz w:val="21"/>
      <w:szCs w:val="21"/>
      <w:lang w:val="en-US" w:eastAsia="zh-CN" w:bidi="ar-SA"/>
    </w:rPr>
  </w:style>
  <w:style w:type="paragraph" w:styleId="9">
    <w:name w:val="index 9"/>
    <w:basedOn w:val="1"/>
    <w:next w:val="1"/>
    <w:unhideWhenUsed/>
    <w:qFormat/>
    <w:uiPriority w:val="99"/>
    <w:pPr>
      <w:ind w:left="1600" w:leftChars="1600"/>
    </w:p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p1"/>
    <w:basedOn w:val="1"/>
    <w:qFormat/>
    <w:uiPriority w:val="0"/>
    <w:pPr>
      <w:spacing w:line="380" w:lineRule="atLeast"/>
      <w:jc w:val="left"/>
    </w:pPr>
    <w:rPr>
      <w:rFonts w:ascii="Helvetica Neue" w:hAnsi="Helvetica Neue" w:eastAsia="Helvetica Neue"/>
      <w:color w:val="118EFF"/>
      <w:kern w:val="0"/>
      <w:sz w:val="26"/>
      <w:szCs w:val="2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2023-08-16T09:45:00Z</dcterms:created>
  <dc:creator>WPS_1665191703</dc:creator>
  <cp:lastModifiedBy>WPS_1665191703</cp:lastModifiedBy>
  <dcterms:modified xsi:type="dcterms:W3CDTF">2023-08-16T09:47:37Z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BCB001B01BDF4F04868C5EBDF49C5E0A_11</vt:lpwstr>
  </property>
</Properties>
</file>