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ind w:firstLine="0"/>
        <w:jc w:val="center"/>
        <w:rPr>
          <w:rFonts w:ascii="宋体" w:hAnsi="宋体" w:cs="宋体"/>
          <w:b/>
          <w:bCs/>
          <w:sz w:val="28"/>
          <w:szCs w:val="28"/>
        </w:rPr>
      </w:pPr>
      <w:r>
        <w:rPr>
          <w:rFonts w:ascii="宋体" w:hAnsi="宋体" w:cs="宋体"/>
          <w:b/>
          <w:color w:val="000000"/>
          <w:sz w:val="28"/>
          <w:szCs w:val="28"/>
        </w:rPr>
        <w:drawing>
          <wp:anchor distT="0" distB="0" distL="114300" distR="114300" simplePos="0" relativeHeight="251665408" behindDoc="1" locked="0" layoutInCell="1" allowOverlap="1">
            <wp:simplePos x="0" y="0"/>
            <wp:positionH relativeFrom="column">
              <wp:posOffset>3749675</wp:posOffset>
            </wp:positionH>
            <wp:positionV relativeFrom="paragraph">
              <wp:posOffset>-1057910</wp:posOffset>
            </wp:positionV>
            <wp:extent cx="2019300" cy="1744345"/>
            <wp:effectExtent l="0" t="0" r="0" b="825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9" cstate="print"/>
                    <a:srcRect r="7275"/>
                    <a:stretch>
                      <a:fillRect/>
                    </a:stretch>
                  </pic:blipFill>
                  <pic:spPr>
                    <a:xfrm>
                      <a:off x="0" y="0"/>
                      <a:ext cx="2019300" cy="1744345"/>
                    </a:xfrm>
                    <a:prstGeom prst="rect">
                      <a:avLst/>
                    </a:prstGeom>
                    <a:noFill/>
                    <a:ln w="9525" cmpd="sng">
                      <a:noFill/>
                      <a:miter lim="800000"/>
                      <a:headEnd/>
                      <a:tailEnd/>
                    </a:ln>
                  </pic:spPr>
                </pic:pic>
              </a:graphicData>
            </a:graphic>
          </wp:anchor>
        </w:drawing>
      </w:r>
      <w:r>
        <w:rPr>
          <w:rFonts w:ascii="宋体" w:hAnsi="宋体" w:cs="宋体"/>
        </w:rPr>
        <mc:AlternateContent>
          <mc:Choice Requires="wps">
            <w:drawing>
              <wp:anchor distT="0" distB="0" distL="114300" distR="114300" simplePos="0" relativeHeight="251667456" behindDoc="0" locked="0" layoutInCell="1" allowOverlap="1">
                <wp:simplePos x="0" y="0"/>
                <wp:positionH relativeFrom="column">
                  <wp:posOffset>-1040765</wp:posOffset>
                </wp:positionH>
                <wp:positionV relativeFrom="paragraph">
                  <wp:posOffset>-1283335</wp:posOffset>
                </wp:positionV>
                <wp:extent cx="2752725" cy="2762250"/>
                <wp:effectExtent l="0" t="0" r="9525" b="0"/>
                <wp:wrapNone/>
                <wp:docPr id="39"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alpha val="59999"/>
                              </a:srgbClr>
                            </a:gs>
                          </a:gsLst>
                          <a:lin ang="5400000" scaled="1"/>
                          <a:tileRect/>
                        </a:gradFill>
                        <a:ln>
                          <a:noFill/>
                        </a:ln>
                        <a:effectLst/>
                      </wps:spPr>
                      <wps:txbx>
                        <w:txbxContent>
                          <w:p>
                            <w:pPr>
                              <w:jc w:val="center"/>
                            </w:pPr>
                          </w:p>
                        </w:txbxContent>
                      </wps:txbx>
                      <wps:bodyPr upright="1"/>
                    </wps:wsp>
                  </a:graphicData>
                </a:graphic>
              </wp:anchor>
            </w:drawing>
          </mc:Choice>
          <mc:Fallback>
            <w:pict>
              <v:shape id="_x0000_s1026" o:spid="_x0000_s1026" o:spt="3" type="#_x0000_t3" style="position:absolute;left:0pt;margin-left:-81.95pt;margin-top:-101.05pt;height:217.5pt;width:216.75pt;z-index:251667456;mso-width-relative:page;mso-height-relative:page;" fillcolor="#C00000" filled="t" stroked="f" coordsize="21600,21600" o:gfxdata="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lRgY83AAAAA0BAAAP&#10;AAAAAAAAAAEAIAAAACIAAABkcnMvZG93bnJldi54bWxQSwECFAAUAAAACACHTuJAJGCDKBQCAABU&#10;BAAADgAAAAAAAAABACAAAAArAQAAZHJzL2Uyb0RvYy54bWxQSwUGAAAAAAYABgBZAQAAsQUAAAAA&#10;">
                <v:fill type="gradient" on="t" color2="#FFFFFF" opacity="0f" o:opacity2="39320f" focus="100%" focussize="0,0"/>
                <v:stroke on="f"/>
                <v:imagedata o:title=""/>
                <o:lock v:ext="edit" aspectratio="f"/>
                <v:textbox>
                  <w:txbxContent>
                    <w:p>
                      <w:pPr>
                        <w:jc w:val="center"/>
                      </w:pPr>
                    </w:p>
                  </w:txbxContent>
                </v:textbox>
              </v:shape>
            </w:pict>
          </mc:Fallback>
        </mc:AlternateContent>
      </w:r>
      <w:r>
        <w:rPr>
          <w:rFonts w:hint="eastAsia" w:ascii="宋体" w:hAnsi="宋体" w:cs="宋体"/>
          <w:b/>
          <w:bCs/>
          <w:sz w:val="28"/>
          <w:szCs w:val="28"/>
          <w:lang w:val="en-US" w:eastAsia="zh-CN"/>
        </w:rPr>
        <w:t xml:space="preserve"> </w:t>
      </w:r>
      <w:bookmarkStart w:id="353" w:name="_GoBack"/>
      <w:bookmarkEnd w:id="353"/>
    </w:p>
    <w:p>
      <w:pPr>
        <w:ind w:leftChars="-695" w:hanging="1459" w:hangingChars="695"/>
        <w:jc w:val="right"/>
        <w:rPr>
          <w:rFonts w:ascii="宋体" w:hAnsi="宋体" w:cs="宋体"/>
          <w:b/>
          <w:bCs/>
          <w:sz w:val="44"/>
          <w:szCs w:val="44"/>
          <w:lang w:val="zh-CN"/>
        </w:rPr>
      </w:pPr>
      <w:r>
        <w:rPr>
          <w:rFonts w:ascii="宋体" w:hAnsi="宋体" w:cs="宋体"/>
        </w:rPr>
        <mc:AlternateContent>
          <mc:Choice Requires="wps">
            <w:drawing>
              <wp:anchor distT="0" distB="0" distL="114300" distR="114300" simplePos="0" relativeHeight="251674624" behindDoc="0" locked="0" layoutInCell="1" allowOverlap="1">
                <wp:simplePos x="0" y="0"/>
                <wp:positionH relativeFrom="column">
                  <wp:posOffset>1445895</wp:posOffset>
                </wp:positionH>
                <wp:positionV relativeFrom="paragraph">
                  <wp:posOffset>3974465</wp:posOffset>
                </wp:positionV>
                <wp:extent cx="4843145" cy="4781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843145" cy="371475"/>
                        </a:xfrm>
                        <a:prstGeom prst="rect">
                          <a:avLst/>
                        </a:prstGeom>
                        <a:noFill/>
                        <a:ln w="6350">
                          <a:noFill/>
                        </a:ln>
                        <a:effectLst/>
                      </wps:spPr>
                      <wps:txbx>
                        <w:txbxContent>
                          <w:p>
                            <w:pPr>
                              <w:jc w:val="left"/>
                              <w:rPr>
                                <w:rFonts w:ascii="黑体" w:hAnsi="黑体" w:eastAsia="黑体" w:cs="黑体"/>
                                <w:kern w:val="24"/>
                                <w:sz w:val="28"/>
                                <w:szCs w:val="32"/>
                              </w:rPr>
                            </w:pPr>
                            <w:r>
                              <w:rPr>
                                <w:rFonts w:hint="eastAsia" w:ascii="黑体" w:hAnsi="黑体" w:eastAsia="黑体" w:cs="黑体"/>
                                <w:kern w:val="24"/>
                                <w:sz w:val="28"/>
                                <w:szCs w:val="32"/>
                              </w:rPr>
                              <w:t>司法鉴定所法医物证鉴定实验室改造项目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85pt;margin-top:312.95pt;height:37.65pt;width:381.35pt;z-index:251674624;mso-width-relative:page;mso-height-relative:page;" filled="f" stroked="f" coordsize="21600,21600" o:gfxdata="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0G/hO9wAAAALAQAADwAAAAAAAAABACAA&#10;AAAiAAAAZHJzL2Rvd25yZXYueG1sUEsBAhQAFAAAAAgAh07iQOLb/6BCAgAAdgQAAA4AAAAAAAAA&#10;AQAgAAAAKwEAAGRycy9lMm9Eb2MueG1sUEsFBgAAAAAGAAYAWQEAAN8FAAAAAA==&#10;">
                <v:fill on="f" focussize="0,0"/>
                <v:stroke on="f" weight="0.5pt"/>
                <v:imagedata o:title=""/>
                <o:lock v:ext="edit" aspectratio="f"/>
                <v:textbox>
                  <w:txbxContent>
                    <w:p>
                      <w:pPr>
                        <w:jc w:val="left"/>
                        <w:rPr>
                          <w:rFonts w:ascii="黑体" w:hAnsi="黑体" w:eastAsia="黑体" w:cs="黑体"/>
                          <w:kern w:val="24"/>
                          <w:sz w:val="28"/>
                          <w:szCs w:val="32"/>
                        </w:rPr>
                      </w:pPr>
                      <w:r>
                        <w:rPr>
                          <w:rFonts w:hint="eastAsia" w:ascii="黑体" w:hAnsi="黑体" w:eastAsia="黑体" w:cs="黑体"/>
                          <w:kern w:val="24"/>
                          <w:sz w:val="28"/>
                          <w:szCs w:val="32"/>
                        </w:rPr>
                        <w:t>司法鉴定所法医物证鉴定实验室改造项目</w:t>
                      </w:r>
                    </w:p>
                  </w:txbxContent>
                </v:textbox>
              </v:shape>
            </w:pict>
          </mc:Fallback>
        </mc:AlternateContent>
      </w:r>
      <w:r>
        <w:rPr>
          <w:rFonts w:ascii="宋体" w:hAnsi="宋体" w:cs="宋体"/>
        </w:rPr>
        <mc:AlternateContent>
          <mc:Choice Requires="wps">
            <w:drawing>
              <wp:anchor distT="0" distB="0" distL="114300" distR="114300" simplePos="0" relativeHeight="251673600"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41"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3" type="#_x0000_t3" style="position:absolute;left:0pt;margin-left:259.9pt;margin-top:461.25pt;height:217.5pt;width:216.75pt;z-index:251673600;mso-width-relative:page;mso-height-relative:page;" fillcolor="#C00000" filled="t" stroked="f" coordsize="21600,21600"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0lOS2QAAAAwBAAAPAAAAAAAAAAEAIAAA&#10;ACIAAABkcnMvZG93bnJldi54bWxQSwECFAAUAAAACACHTuJAw4GoswsCAAAzBAAADgAAAAAAAAAB&#10;ACAAAAAoAQAAZHJzL2Uyb0RvYy54bWxQSwUGAAAAAAYABgBZAQAApQUAAAAA&#10;">
                <v:fill type="gradient" on="t" color2="#FFFFFF" opacity="0f" focus="100%" focussize="0,0"/>
                <v:stroke on="f"/>
                <v:imagedata o:title=""/>
                <o:lock v:ext="edit" aspectratio="f"/>
                <v:textbox>
                  <w:txbxContent>
                    <w:p/>
                  </w:txbxContent>
                </v:textbox>
              </v:shape>
            </w:pict>
          </mc:Fallback>
        </mc:AlternateContent>
      </w:r>
    </w:p>
    <w:p>
      <w:pPr>
        <w:rPr>
          <w:rFonts w:ascii="宋体" w:hAnsi="宋体" w:cs="宋体"/>
          <w:sz w:val="44"/>
          <w:szCs w:val="44"/>
          <w:lang w:val="zh-CN"/>
        </w:rPr>
      </w:pPr>
      <w:r>
        <w:rPr>
          <w:rFonts w:ascii="宋体" w:hAnsi="宋体" w:cs="宋体"/>
        </w:rPr>
        <mc:AlternateContent>
          <mc:Choice Requires="wps">
            <w:drawing>
              <wp:anchor distT="0" distB="0" distL="114300" distR="114300" simplePos="0" relativeHeight="251666432" behindDoc="0" locked="0" layoutInCell="1" allowOverlap="1">
                <wp:simplePos x="0" y="0"/>
                <wp:positionH relativeFrom="column">
                  <wp:posOffset>-923925</wp:posOffset>
                </wp:positionH>
                <wp:positionV relativeFrom="paragraph">
                  <wp:posOffset>10160</wp:posOffset>
                </wp:positionV>
                <wp:extent cx="7474585" cy="944245"/>
                <wp:effectExtent l="0" t="0" r="0" b="8255"/>
                <wp:wrapNone/>
                <wp:docPr id="11" name="文本框 11"/>
                <wp:cNvGraphicFramePr/>
                <a:graphic xmlns:a="http://schemas.openxmlformats.org/drawingml/2006/main">
                  <a:graphicData uri="http://schemas.microsoft.com/office/word/2010/wordprocessingShape">
                    <wps:wsp>
                      <wps:cNvSpPr txBox="1"/>
                      <wps:spPr>
                        <a:xfrm>
                          <a:off x="0" y="0"/>
                          <a:ext cx="7474585" cy="944245"/>
                        </a:xfrm>
                        <a:prstGeom prst="rect">
                          <a:avLst/>
                        </a:prstGeom>
                        <a:noFill/>
                        <a:ln>
                          <a:noFill/>
                        </a:ln>
                        <a:effectLst/>
                      </wps:spPr>
                      <wps:txbx>
                        <w:txbxContent>
                          <w:p>
                            <w:pPr>
                              <w:rPr>
                                <w:rFonts w:hint="eastAsia" w:ascii="方正小标宋简体" w:hAnsi="黑体" w:eastAsia="方正小标宋简体" w:cs="黑体"/>
                                <w:kern w:val="24"/>
                                <w:sz w:val="28"/>
                                <w:szCs w:val="32"/>
                              </w:rPr>
                            </w:pPr>
                            <w:r>
                              <w:rPr>
                                <w:rFonts w:hint="eastAsia" w:ascii="方正小标宋简体" w:eastAsia="方正小标宋简体"/>
                                <w:sz w:val="40"/>
                                <w:szCs w:val="48"/>
                              </w:rPr>
                              <w:t>江苏医药职业学院司法鉴定所法医物证鉴定实验室改造项目</w:t>
                            </w:r>
                          </w:p>
                          <w:p>
                            <w:pPr>
                              <w:jc w:val="center"/>
                              <w:rPr>
                                <w:sz w:val="40"/>
                                <w:szCs w:val="48"/>
                              </w:rPr>
                            </w:pPr>
                          </w:p>
                        </w:txbxContent>
                      </wps:txbx>
                      <wps:bodyPr wrap="square" rtlCol="0">
                        <a:noAutofit/>
                      </wps:bodyPr>
                    </wps:wsp>
                  </a:graphicData>
                </a:graphic>
              </wp:anchor>
            </w:drawing>
          </mc:Choice>
          <mc:Fallback>
            <w:pict>
              <v:shape id="_x0000_s1026" o:spid="_x0000_s1026" o:spt="202" type="#_x0000_t202" style="position:absolute;left:0pt;margin-left:-72.75pt;margin-top:0.8pt;height:74.35pt;width:588.55pt;z-index:251666432;mso-width-relative:page;mso-height-relative:page;" filled="f" stroked="f" coordsize="21600,21600" o:gfxdata="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p822NYAAAALAQAADwAAAAAAAAABACAAAAAiAAAAZHJzL2Rvd25y&#10;ZXYueG1sUEsBAhQAFAAAAAgAh07iQL1wOmHHAQAAhQMAAA4AAAAAAAAAAQAgAAAAJQEAAGRycy9l&#10;Mm9Eb2MueG1sUEsFBgAAAAAGAAYAWQEAAF4FAAAAAA==&#10;">
                <v:fill on="f" focussize="0,0"/>
                <v:stroke on="f"/>
                <v:imagedata o:title=""/>
                <o:lock v:ext="edit" aspectratio="f"/>
                <v:textbox>
                  <w:txbxContent>
                    <w:p>
                      <w:pPr>
                        <w:rPr>
                          <w:rFonts w:hint="eastAsia" w:ascii="方正小标宋简体" w:hAnsi="黑体" w:eastAsia="方正小标宋简体" w:cs="黑体"/>
                          <w:kern w:val="24"/>
                          <w:sz w:val="28"/>
                          <w:szCs w:val="32"/>
                        </w:rPr>
                      </w:pPr>
                      <w:r>
                        <w:rPr>
                          <w:rFonts w:hint="eastAsia" w:ascii="方正小标宋简体" w:eastAsia="方正小标宋简体"/>
                          <w:sz w:val="40"/>
                          <w:szCs w:val="48"/>
                        </w:rPr>
                        <w:t>江苏医药职业学院司法鉴定所法医物证鉴定实验室改造项目</w:t>
                      </w:r>
                    </w:p>
                    <w:p>
                      <w:pPr>
                        <w:jc w:val="center"/>
                        <w:rPr>
                          <w:sz w:val="40"/>
                          <w:szCs w:val="48"/>
                        </w:rPr>
                      </w:pPr>
                    </w:p>
                  </w:txbxContent>
                </v:textbox>
              </v:shape>
            </w:pict>
          </mc:Fallback>
        </mc:AlternateContent>
      </w:r>
    </w:p>
    <w:p>
      <w:pPr>
        <w:rPr>
          <w:rFonts w:ascii="宋体" w:hAnsi="宋体" w:cs="宋体"/>
          <w:sz w:val="44"/>
          <w:szCs w:val="44"/>
          <w:lang w:val="zh-CN"/>
        </w:rPr>
      </w:pPr>
    </w:p>
    <w:p>
      <w:pPr>
        <w:rPr>
          <w:rFonts w:ascii="宋体" w:hAnsi="宋体" w:cs="宋体"/>
          <w:sz w:val="44"/>
          <w:szCs w:val="44"/>
          <w:lang w:val="zh-CN"/>
        </w:rPr>
      </w:pPr>
    </w:p>
    <w:p>
      <w:pPr>
        <w:rPr>
          <w:rFonts w:hint="eastAsia" w:ascii="宋体" w:hAnsi="宋体" w:cs="宋体"/>
          <w:sz w:val="44"/>
          <w:szCs w:val="44"/>
          <w:lang w:val="zh-CN"/>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162560</wp:posOffset>
                </wp:positionH>
                <wp:positionV relativeFrom="paragraph">
                  <wp:posOffset>155575</wp:posOffset>
                </wp:positionV>
                <wp:extent cx="5604510" cy="1168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4510" cy="1168400"/>
                        </a:xfrm>
                        <a:prstGeom prst="rect">
                          <a:avLst/>
                        </a:prstGeom>
                        <a:noFill/>
                        <a:ln>
                          <a:noFill/>
                        </a:ln>
                        <a:effectLst/>
                      </wps:spPr>
                      <wps:txbx>
                        <w:txbxContent>
                          <w:p>
                            <w:pPr>
                              <w:pStyle w:val="25"/>
                              <w:jc w:val="center"/>
                              <w:rPr>
                                <w:rFonts w:hint="eastAsia" w:ascii="方正小标宋简体" w:hAnsi="方正大黑简体" w:eastAsia="方正小标宋简体" w:cs="方正大黑简体"/>
                                <w:bCs/>
                                <w:color w:val="DA251C"/>
                                <w:sz w:val="144"/>
                                <w:szCs w:val="144"/>
                              </w:rPr>
                            </w:pPr>
                            <w:r>
                              <w:rPr>
                                <w:rFonts w:hint="eastAsia" w:ascii="方正小标宋简体" w:hAnsi="方正大黑简体" w:eastAsia="方正小标宋简体" w:cs="方正大黑简体"/>
                                <w:bCs/>
                                <w:color w:val="DA251C"/>
                                <w:sz w:val="144"/>
                                <w:szCs w:val="144"/>
                              </w:rPr>
                              <w:t>磋 商 文 件</w:t>
                            </w:r>
                          </w:p>
                        </w:txbxContent>
                      </wps:txbx>
                      <wps:bodyPr wrap="square" rtlCol="0">
                        <a:noAutofit/>
                      </wps:bodyPr>
                    </wps:wsp>
                  </a:graphicData>
                </a:graphic>
              </wp:anchor>
            </w:drawing>
          </mc:Choice>
          <mc:Fallback>
            <w:pict>
              <v:shape id="_x0000_s1026" o:spid="_x0000_s1026" o:spt="202" type="#_x0000_t202" style="position:absolute;left:0pt;margin-left:12.8pt;margin-top:12.25pt;height:92pt;width:441.3pt;z-index:251660288;mso-width-relative:page;mso-height-relative:page;" filled="f" stroked="f" coordsize="21600,21600" o:gfxdata="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5rdP61wAAAAkBAAAPAAAAAAAAAAEAIAAAACIAAABkcnMvZG93&#10;bnJldi54bWxQSwECFAAUAAAACACHTuJAbg2iKcgBAACGAwAADgAAAAAAAAABACAAAAAmAQAAZHJz&#10;L2Uyb0RvYy54bWxQSwUGAAAAAAYABgBZAQAAYAUAAAAA&#10;">
                <v:fill on="f" focussize="0,0"/>
                <v:stroke on="f"/>
                <v:imagedata o:title=""/>
                <o:lock v:ext="edit" aspectratio="f"/>
                <v:textbox>
                  <w:txbxContent>
                    <w:p>
                      <w:pPr>
                        <w:pStyle w:val="25"/>
                        <w:jc w:val="center"/>
                        <w:rPr>
                          <w:rFonts w:hint="eastAsia" w:ascii="方正小标宋简体" w:hAnsi="方正大黑简体" w:eastAsia="方正小标宋简体" w:cs="方正大黑简体"/>
                          <w:bCs/>
                          <w:color w:val="DA251C"/>
                          <w:sz w:val="144"/>
                          <w:szCs w:val="144"/>
                        </w:rPr>
                      </w:pPr>
                      <w:r>
                        <w:rPr>
                          <w:rFonts w:hint="eastAsia" w:ascii="方正小标宋简体" w:hAnsi="方正大黑简体" w:eastAsia="方正小标宋简体" w:cs="方正大黑简体"/>
                          <w:bCs/>
                          <w:color w:val="DA251C"/>
                          <w:sz w:val="144"/>
                          <w:szCs w:val="144"/>
                        </w:rPr>
                        <w:t>磋 商 文 件</w:t>
                      </w:r>
                    </w:p>
                  </w:txbxContent>
                </v:textbox>
              </v:shape>
            </w:pict>
          </mc:Fallback>
        </mc:AlternateContent>
      </w:r>
    </w:p>
    <w:p>
      <w:pPr>
        <w:pStyle w:val="29"/>
        <w:ind w:firstLine="640"/>
        <w:rPr>
          <w:lang w:val="zh-CN"/>
        </w:rPr>
      </w:pPr>
    </w:p>
    <w:p>
      <w:pPr>
        <w:rPr>
          <w:rFonts w:ascii="宋体" w:hAnsi="宋体" w:cs="宋体"/>
          <w:sz w:val="44"/>
          <w:szCs w:val="44"/>
          <w:lang w:val="zh-CN"/>
        </w:rPr>
      </w:pPr>
    </w:p>
    <w:p>
      <w:pPr>
        <w:jc w:val="right"/>
        <w:rPr>
          <w:rFonts w:ascii="宋体" w:hAnsi="宋体" w:cs="宋体"/>
          <w:sz w:val="44"/>
          <w:szCs w:val="44"/>
          <w:lang w:val="zh-CN"/>
        </w:rPr>
      </w:pPr>
    </w:p>
    <w:p>
      <w:pPr>
        <w:rPr>
          <w:rFonts w:ascii="宋体" w:hAnsi="宋体" w:cs="宋体"/>
          <w:sz w:val="44"/>
          <w:szCs w:val="44"/>
          <w:lang w:val="zh-CN"/>
        </w:rPr>
      </w:pPr>
      <w:r>
        <w:rPr>
          <w:rFonts w:ascii="宋体" w:hAnsi="宋体" w:cs="宋体"/>
        </w:rPr>
        <mc:AlternateContent>
          <mc:Choice Requires="wps">
            <w:drawing>
              <wp:anchor distT="0" distB="0" distL="114300" distR="114300" simplePos="0" relativeHeight="251668480" behindDoc="0" locked="0" layoutInCell="1" allowOverlap="1">
                <wp:simplePos x="0" y="0"/>
                <wp:positionH relativeFrom="column">
                  <wp:posOffset>1571625</wp:posOffset>
                </wp:positionH>
                <wp:positionV relativeFrom="paragraph">
                  <wp:posOffset>597535</wp:posOffset>
                </wp:positionV>
                <wp:extent cx="2657475" cy="383540"/>
                <wp:effectExtent l="0" t="0" r="0" b="0"/>
                <wp:wrapNone/>
                <wp:docPr id="65" name="文本框 65"/>
                <wp:cNvGraphicFramePr/>
                <a:graphic xmlns:a="http://schemas.openxmlformats.org/drawingml/2006/main">
                  <a:graphicData uri="http://schemas.microsoft.com/office/word/2010/wordprocessingShape">
                    <wps:wsp>
                      <wps:cNvSpPr txBox="1"/>
                      <wps:spPr>
                        <a:xfrm flipH="1">
                          <a:off x="0" y="0"/>
                          <a:ext cx="2657475" cy="383540"/>
                        </a:xfrm>
                        <a:prstGeom prst="rect">
                          <a:avLst/>
                        </a:prstGeom>
                        <a:noFill/>
                        <a:ln>
                          <a:noFill/>
                        </a:ln>
                        <a:effectLst/>
                      </wps:spPr>
                      <wps:txbx>
                        <w:txbxContent>
                          <w:p>
                            <w:pPr>
                              <w:jc w:val="left"/>
                              <w:rPr>
                                <w:rFonts w:ascii="黑体" w:hAnsi="黑体" w:eastAsia="黑体" w:cs="黑体"/>
                                <w:kern w:val="24"/>
                                <w:sz w:val="28"/>
                                <w:szCs w:val="32"/>
                              </w:rPr>
                            </w:pPr>
                            <w:r>
                              <w:rPr>
                                <w:rFonts w:hint="eastAsia" w:ascii="黑体" w:hAnsi="黑体" w:eastAsia="黑体" w:cs="黑体"/>
                                <w:kern w:val="24"/>
                                <w:sz w:val="28"/>
                                <w:szCs w:val="32"/>
                              </w:rPr>
                              <w:t>SY2023-0</w:t>
                            </w:r>
                            <w:r>
                              <w:rPr>
                                <w:rFonts w:hint="eastAsia" w:ascii="黑体" w:hAnsi="黑体" w:eastAsia="黑体" w:cs="黑体"/>
                                <w:kern w:val="24"/>
                                <w:sz w:val="28"/>
                                <w:szCs w:val="32"/>
                                <w:lang w:val="en-US" w:eastAsia="zh-CN"/>
                              </w:rPr>
                              <w:t>33</w:t>
                            </w:r>
                            <w:r>
                              <w:rPr>
                                <w:rFonts w:hint="eastAsia" w:ascii="黑体" w:hAnsi="黑体" w:eastAsia="黑体" w:cs="黑体"/>
                                <w:kern w:val="24"/>
                                <w:sz w:val="28"/>
                                <w:szCs w:val="32"/>
                              </w:rPr>
                              <w:t xml:space="preserve">-GC-JC </w:t>
                            </w:r>
                          </w:p>
                        </w:txbxContent>
                      </wps:txbx>
                      <wps:bodyPr wrap="square" rtlCol="0">
                        <a:noAutofit/>
                      </wps:bodyPr>
                    </wps:wsp>
                  </a:graphicData>
                </a:graphic>
              </wp:anchor>
            </w:drawing>
          </mc:Choice>
          <mc:Fallback>
            <w:pict>
              <v:shape id="_x0000_s1026" o:spid="_x0000_s1026" o:spt="202" type="#_x0000_t202" style="position:absolute;left:0pt;flip:x;margin-left:123.75pt;margin-top:47.05pt;height:30.2pt;width:209.25pt;z-index:251668480;mso-width-relative:page;mso-height-relative:page;" filled="f" stroked="f" coordsize="21600,21600" o:gfxdata="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aIJQDaAAAACgEAAA8AAAAAAAAAAQAgAAAA&#10;IgAAAGRycy9kb3ducmV2LnhtbFBLAQIUABQAAAAIAIdO4kD4UQ+60AEAAI8DAAAOAAAAAAAAAAEA&#10;IAAAACkBAABkcnMvZTJvRG9jLnhtbFBLBQYAAAAABgAGAFkBAABrBQAAAAA=&#10;">
                <v:fill on="f" focussize="0,0"/>
                <v:stroke on="f"/>
                <v:imagedata o:title=""/>
                <o:lock v:ext="edit" aspectratio="f"/>
                <v:textbox>
                  <w:txbxContent>
                    <w:p>
                      <w:pPr>
                        <w:jc w:val="left"/>
                        <w:rPr>
                          <w:rFonts w:ascii="黑体" w:hAnsi="黑体" w:eastAsia="黑体" w:cs="黑体"/>
                          <w:kern w:val="24"/>
                          <w:sz w:val="28"/>
                          <w:szCs w:val="32"/>
                        </w:rPr>
                      </w:pPr>
                      <w:r>
                        <w:rPr>
                          <w:rFonts w:hint="eastAsia" w:ascii="黑体" w:hAnsi="黑体" w:eastAsia="黑体" w:cs="黑体"/>
                          <w:kern w:val="24"/>
                          <w:sz w:val="28"/>
                          <w:szCs w:val="32"/>
                        </w:rPr>
                        <w:t>SY2023-0</w:t>
                      </w:r>
                      <w:r>
                        <w:rPr>
                          <w:rFonts w:hint="eastAsia" w:ascii="黑体" w:hAnsi="黑体" w:eastAsia="黑体" w:cs="黑体"/>
                          <w:kern w:val="24"/>
                          <w:sz w:val="28"/>
                          <w:szCs w:val="32"/>
                          <w:lang w:val="en-US" w:eastAsia="zh-CN"/>
                        </w:rPr>
                        <w:t>33</w:t>
                      </w:r>
                      <w:r>
                        <w:rPr>
                          <w:rFonts w:hint="eastAsia" w:ascii="黑体" w:hAnsi="黑体" w:eastAsia="黑体" w:cs="黑体"/>
                          <w:kern w:val="24"/>
                          <w:sz w:val="28"/>
                          <w:szCs w:val="32"/>
                        </w:rPr>
                        <w:t xml:space="preserve">-GC-JC </w:t>
                      </w:r>
                    </w:p>
                  </w:txbxContent>
                </v:textbox>
              </v:shape>
            </w:pict>
          </mc:Fallback>
        </mc:AlternateContent>
      </w: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1460500</wp:posOffset>
                </wp:positionH>
                <wp:positionV relativeFrom="paragraph">
                  <wp:posOffset>2630170</wp:posOffset>
                </wp:positionV>
                <wp:extent cx="2423795" cy="401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423795" cy="401955"/>
                        </a:xfrm>
                        <a:prstGeom prst="rect">
                          <a:avLst/>
                        </a:prstGeom>
                        <a:noFill/>
                        <a:ln w="6350">
                          <a:noFill/>
                        </a:ln>
                        <a:effectLst/>
                      </wps:spPr>
                      <wps:txbx>
                        <w:txbxContent>
                          <w:p>
                            <w:pPr>
                              <w:rPr>
                                <w:rFonts w:ascii="黑体" w:hAnsi="黑体" w:eastAsia="黑体" w:cs="黑体"/>
                                <w:sz w:val="32"/>
                                <w:szCs w:val="32"/>
                              </w:rPr>
                            </w:pPr>
                            <w:r>
                              <w:rPr>
                                <w:rFonts w:hint="eastAsia" w:ascii="黑体" w:hAnsi="黑体" w:eastAsia="黑体" w:cs="黑体"/>
                                <w:sz w:val="32"/>
                                <w:szCs w:val="32"/>
                              </w:rPr>
                              <w:t>2023年</w:t>
                            </w:r>
                            <w:r>
                              <w:rPr>
                                <w:rFonts w:hint="eastAsia" w:ascii="黑体" w:hAnsi="黑体" w:eastAsia="黑体" w:cs="黑体"/>
                                <w:sz w:val="32"/>
                                <w:szCs w:val="32"/>
                                <w:lang w:val="en-US" w:eastAsia="zh-CN"/>
                              </w:rPr>
                              <w:t>8</w:t>
                            </w:r>
                            <w:r>
                              <w:rPr>
                                <w:rFonts w:hint="eastAsia" w:ascii="黑体" w:hAnsi="黑体" w:eastAsia="黑体" w:cs="黑体"/>
                                <w:sz w:val="32"/>
                                <w:szCs w:val="32"/>
                              </w:rPr>
                              <w:t>月</w:t>
                            </w:r>
                            <w:r>
                              <w:rPr>
                                <w:rFonts w:hint="eastAsia" w:ascii="黑体" w:hAnsi="黑体" w:eastAsia="黑体" w:cs="黑体"/>
                                <w:sz w:val="32"/>
                                <w:szCs w:val="32"/>
                                <w:lang w:val="en-US" w:eastAsia="zh-CN"/>
                              </w:rPr>
                              <w:t>04</w:t>
                            </w:r>
                            <w:r>
                              <w:rPr>
                                <w:rFonts w:hint="eastAsia" w:ascii="黑体" w:hAnsi="黑体" w:eastAsia="黑体" w:cs="黑体"/>
                                <w:sz w:val="32"/>
                                <w:szCs w:val="32"/>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pt;margin-top:207.1pt;height:31.65pt;width:190.85pt;z-index:251659264;mso-width-relative:page;mso-height-relative:page;" filled="f" stroked="f" coordsize="21600,21600" o:gfxdata="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QHKotwAAAALAQAADwAAAAAAAAABACAA&#10;AAAiAAAAZHJzL2Rvd25yZXYueG1sUEsBAhQAFAAAAAgAh07iQP/KK69CAgAAdAQAAA4AAAAAAAAA&#10;AQAgAAAAKwEAAGRycy9lMm9Eb2MueG1sUEsFBgAAAAAGAAYAWQEAAN8FAAAAAA==&#10;">
                <v:fill on="f" focussize="0,0"/>
                <v:stroke on="f" weight="0.5pt"/>
                <v:imagedata o:title=""/>
                <o:lock v:ext="edit" aspectratio="f"/>
                <v:textbox>
                  <w:txbxContent>
                    <w:p>
                      <w:pPr>
                        <w:rPr>
                          <w:rFonts w:ascii="黑体" w:hAnsi="黑体" w:eastAsia="黑体" w:cs="黑体"/>
                          <w:sz w:val="32"/>
                          <w:szCs w:val="32"/>
                        </w:rPr>
                      </w:pPr>
                      <w:r>
                        <w:rPr>
                          <w:rFonts w:hint="eastAsia" w:ascii="黑体" w:hAnsi="黑体" w:eastAsia="黑体" w:cs="黑体"/>
                          <w:sz w:val="32"/>
                          <w:szCs w:val="32"/>
                        </w:rPr>
                        <w:t>2023年</w:t>
                      </w:r>
                      <w:r>
                        <w:rPr>
                          <w:rFonts w:hint="eastAsia" w:ascii="黑体" w:hAnsi="黑体" w:eastAsia="黑体" w:cs="黑体"/>
                          <w:sz w:val="32"/>
                          <w:szCs w:val="32"/>
                          <w:lang w:val="en-US" w:eastAsia="zh-CN"/>
                        </w:rPr>
                        <w:t>8</w:t>
                      </w:r>
                      <w:r>
                        <w:rPr>
                          <w:rFonts w:hint="eastAsia" w:ascii="黑体" w:hAnsi="黑体" w:eastAsia="黑体" w:cs="黑体"/>
                          <w:sz w:val="32"/>
                          <w:szCs w:val="32"/>
                        </w:rPr>
                        <w:t>月</w:t>
                      </w:r>
                      <w:r>
                        <w:rPr>
                          <w:rFonts w:hint="eastAsia" w:ascii="黑体" w:hAnsi="黑体" w:eastAsia="黑体" w:cs="黑体"/>
                          <w:sz w:val="32"/>
                          <w:szCs w:val="32"/>
                          <w:lang w:val="en-US" w:eastAsia="zh-CN"/>
                        </w:rPr>
                        <w:t>04</w:t>
                      </w:r>
                      <w:r>
                        <w:rPr>
                          <w:rFonts w:hint="eastAsia" w:ascii="黑体" w:hAnsi="黑体" w:eastAsia="黑体" w:cs="黑体"/>
                          <w:sz w:val="32"/>
                          <w:szCs w:val="32"/>
                        </w:rPr>
                        <w:t>日</w:t>
                      </w:r>
                    </w:p>
                  </w:txbxContent>
                </v:textbox>
              </v:shape>
            </w:pict>
          </mc:Fallback>
        </mc:AlternateContent>
      </w:r>
      <w:r>
        <w:rPr>
          <w:rFonts w:ascii="宋体" w:hAnsi="宋体" w:cs="宋体"/>
        </w:rPr>
        <mc:AlternateContent>
          <mc:Choice Requires="wps">
            <w:drawing>
              <wp:anchor distT="0" distB="0" distL="114300" distR="114300" simplePos="0" relativeHeight="251671552" behindDoc="0" locked="0" layoutInCell="1" allowOverlap="1">
                <wp:simplePos x="0" y="0"/>
                <wp:positionH relativeFrom="column">
                  <wp:posOffset>1441450</wp:posOffset>
                </wp:positionH>
                <wp:positionV relativeFrom="paragraph">
                  <wp:posOffset>2265045</wp:posOffset>
                </wp:positionV>
                <wp:extent cx="3400425" cy="342900"/>
                <wp:effectExtent l="0" t="0" r="0" b="0"/>
                <wp:wrapNone/>
                <wp:docPr id="67" name="文本框 67"/>
                <wp:cNvGraphicFramePr/>
                <a:graphic xmlns:a="http://schemas.openxmlformats.org/drawingml/2006/main">
                  <a:graphicData uri="http://schemas.microsoft.com/office/word/2010/wordprocessingShape">
                    <wps:wsp>
                      <wps:cNvSpPr txBox="1"/>
                      <wps:spPr>
                        <a:xfrm flipH="1">
                          <a:off x="0" y="0"/>
                          <a:ext cx="3400425" cy="342900"/>
                        </a:xfrm>
                        <a:prstGeom prst="rect">
                          <a:avLst/>
                        </a:prstGeom>
                        <a:noFill/>
                        <a:ln>
                          <a:noFill/>
                        </a:ln>
                        <a:effectLst/>
                      </wps:spPr>
                      <wps:txbx>
                        <w:txbxContent>
                          <w:p>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wps:txbx>
                      <wps:bodyPr wrap="square" rtlCol="0">
                        <a:noAutofit/>
                      </wps:bodyPr>
                    </wps:wsp>
                  </a:graphicData>
                </a:graphic>
              </wp:anchor>
            </w:drawing>
          </mc:Choice>
          <mc:Fallback>
            <w:pict>
              <v:shape id="_x0000_s1026" o:spid="_x0000_s1026" o:spt="202" type="#_x0000_t202" style="position:absolute;left:0pt;flip:x;margin-left:113.5pt;margin-top:178.35pt;height:27pt;width:267.75pt;z-index:251671552;mso-width-relative:page;mso-height-relative:page;" filled="f" stroked="f" coordsize="21600,21600" o:gfxdata="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vPLqR2wAAAAsBAAAPAAAAAAAAAAEAIAAA&#10;ACIAAABkcnMvZG93bnJldi54bWxQSwECFAAUAAAACACHTuJAS2SkEdABAACPAwAADgAAAAAAAAAB&#10;ACAAAAAqAQAAZHJzL2Uyb0RvYy54bWxQSwUGAAAAAAYABgBZAQAAbAUAAAAA&#10;">
                <v:fill on="f" focussize="0,0"/>
                <v:stroke on="f"/>
                <v:imagedata o:title=""/>
                <o:lock v:ext="edit" aspectratio="f"/>
                <v:textbox>
                  <w:txbxContent>
                    <w:p>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v:textbox>
              </v:shape>
            </w:pict>
          </mc:Fallback>
        </mc:AlternateContent>
      </w:r>
      <w:r>
        <w:rPr>
          <w:rFonts w:ascii="宋体" w:hAnsi="宋体" w:cs="宋体"/>
        </w:rPr>
        <mc:AlternateContent>
          <mc:Choice Requires="wps">
            <w:drawing>
              <wp:anchor distT="0" distB="0" distL="114300" distR="114300" simplePos="0" relativeHeight="251670528" behindDoc="0" locked="0" layoutInCell="1" allowOverlap="1">
                <wp:simplePos x="0" y="0"/>
                <wp:positionH relativeFrom="column">
                  <wp:posOffset>1470025</wp:posOffset>
                </wp:positionH>
                <wp:positionV relativeFrom="paragraph">
                  <wp:posOffset>1840230</wp:posOffset>
                </wp:positionV>
                <wp:extent cx="2149475" cy="362585"/>
                <wp:effectExtent l="0" t="0" r="0" b="0"/>
                <wp:wrapNone/>
                <wp:docPr id="66" name="文本框 66"/>
                <wp:cNvGraphicFramePr/>
                <a:graphic xmlns:a="http://schemas.openxmlformats.org/drawingml/2006/main">
                  <a:graphicData uri="http://schemas.microsoft.com/office/word/2010/wordprocessingShape">
                    <wps:wsp>
                      <wps:cNvSpPr txBox="1"/>
                      <wps:spPr>
                        <a:xfrm flipH="1">
                          <a:off x="0" y="0"/>
                          <a:ext cx="2149475" cy="362585"/>
                        </a:xfrm>
                        <a:prstGeom prst="rect">
                          <a:avLst/>
                        </a:prstGeom>
                        <a:noFill/>
                        <a:ln>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wps:txbx>
                      <wps:bodyPr wrap="square" rtlCol="0">
                        <a:noAutofit/>
                      </wps:bodyPr>
                    </wps:wsp>
                  </a:graphicData>
                </a:graphic>
              </wp:anchor>
            </w:drawing>
          </mc:Choice>
          <mc:Fallback>
            <w:pict>
              <v:shape id="_x0000_s1026" o:spid="_x0000_s1026" o:spt="202" type="#_x0000_t202" style="position:absolute;left:0pt;flip:x;margin-left:115.75pt;margin-top:144.9pt;height:28.55pt;width:169.25pt;z-index:251670528;mso-width-relative:page;mso-height-relative:page;" filled="f" stroked="f" coordsize="21600,21600" o:gfxdata="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SAehPbAAAACwEAAA8AAAAAAAAAAQAgAAAA&#10;IgAAAGRycy9kb3ducmV2LnhtbFBLAQIUABQAAAAIAIdO4kAgR442zwEAAI8DAAAOAAAAAAAAAAEA&#10;IAAAACoBAABkcnMvZTJvRG9jLnhtbFBLBQYAAAAABgAGAFkBAABrBQ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v:textbox>
              </v:shape>
            </w:pict>
          </mc:Fallback>
        </mc:AlternateContent>
      </w: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796925</wp:posOffset>
                </wp:positionH>
                <wp:positionV relativeFrom="paragraph">
                  <wp:posOffset>2616835</wp:posOffset>
                </wp:positionV>
                <wp:extent cx="923925" cy="454025"/>
                <wp:effectExtent l="0" t="0" r="0" b="3175"/>
                <wp:wrapNone/>
                <wp:docPr id="21" name="文本框 21"/>
                <wp:cNvGraphicFramePr/>
                <a:graphic xmlns:a="http://schemas.openxmlformats.org/drawingml/2006/main">
                  <a:graphicData uri="http://schemas.microsoft.com/office/word/2010/wordprocessingShape">
                    <wps:wsp>
                      <wps:cNvSpPr txBox="1"/>
                      <wps:spPr>
                        <a:xfrm>
                          <a:off x="0" y="0"/>
                          <a:ext cx="923925" cy="454025"/>
                        </a:xfrm>
                        <a:prstGeom prst="rect">
                          <a:avLst/>
                        </a:prstGeom>
                        <a:noFill/>
                        <a:ln>
                          <a:noFill/>
                        </a:ln>
                        <a:effectLst/>
                      </wps:spPr>
                      <wps:txb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wps:txbx>
                      <wps:bodyPr wrap="square" rtlCol="0">
                        <a:noAutofit/>
                      </wps:bodyPr>
                    </wps:wsp>
                  </a:graphicData>
                </a:graphic>
              </wp:anchor>
            </w:drawing>
          </mc:Choice>
          <mc:Fallback>
            <w:pict>
              <v:shape id="_x0000_s1026" o:spid="_x0000_s1026" o:spt="202" type="#_x0000_t202" style="position:absolute;left:0pt;margin-left:62.75pt;margin-top:206.05pt;height:35.75pt;width:72.75pt;z-index:251664384;mso-width-relative:page;mso-height-relative:page;" filled="f" stroked="f" coordsize="21600,21600" o:gfxdata="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ia60dcAAAALAQAADwAAAAAAAAABACAAAAAiAAAAZHJzL2Rvd25y&#10;ZXYueG1sUEsBAhQAFAAAAAgAh07iQOZCkPTGAQAAhAMAAA4AAAAAAAAAAQAgAAAAJgEAAGRycy9l&#10;Mm9Eb2MueG1sUEsFBgAAAAAGAAYAWQEAAF4FAAAAAA==&#10;">
                <v:fill on="f" focussize="0,0"/>
                <v:stroke on="f"/>
                <v:imagedata o:title=""/>
                <o:lock v:ext="edit" aspectratio="f"/>
                <v:textbo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mc:Fallback>
        </mc:AlternateContent>
      </w: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2199005</wp:posOffset>
                </wp:positionV>
                <wp:extent cx="1452880" cy="344805"/>
                <wp:effectExtent l="0" t="0" r="0" b="635"/>
                <wp:wrapNone/>
                <wp:docPr id="19" name="文本框 19"/>
                <wp:cNvGraphicFramePr/>
                <a:graphic xmlns:a="http://schemas.openxmlformats.org/drawingml/2006/main">
                  <a:graphicData uri="http://schemas.microsoft.com/office/word/2010/wordprocessingShape">
                    <wps:wsp>
                      <wps:cNvSpPr txBox="1"/>
                      <wps:spPr>
                        <a:xfrm flipH="1">
                          <a:off x="0" y="0"/>
                          <a:ext cx="1452880" cy="344805"/>
                        </a:xfrm>
                        <a:prstGeom prst="rect">
                          <a:avLst/>
                        </a:prstGeom>
                        <a:noFill/>
                        <a:ln>
                          <a:noFill/>
                        </a:ln>
                        <a:effectLst/>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wps:txbx>
                      <wps:bodyPr wrap="square" rtlCol="0">
                        <a:spAutoFit/>
                      </wps:bodyPr>
                    </wps:wsp>
                  </a:graphicData>
                </a:graphic>
              </wp:anchor>
            </w:drawing>
          </mc:Choice>
          <mc:Fallback>
            <w:pict>
              <v:shape id="_x0000_s1026" o:spid="_x0000_s1026" o:spt="202" type="#_x0000_t202" style="position:absolute;left:0pt;flip:x;margin-left:-2.35pt;margin-top:173.15pt;height:27.15pt;width:114.4pt;z-index:251663360;mso-width-relative:page;mso-height-relative:page;" filled="f" stroked="f" coordsize="21600,21600" o:gfxdata="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rExMNsAAAAKAQAADwAAAAAAAAABACAAAAAi&#10;AAAAZHJzL2Rvd25yZXYueG1sUEsBAhQAFAAAAAgAh07iQNRmTnzOAQAAjwMAAA4AAAAAAAAAAQAg&#10;AAAAKgEAAGRycy9lMm9Eb2MueG1sUEsFBgAAAAAGAAYAWQEAAGoFA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595630</wp:posOffset>
                </wp:positionH>
                <wp:positionV relativeFrom="paragraph">
                  <wp:posOffset>1837055</wp:posOffset>
                </wp:positionV>
                <wp:extent cx="1082675" cy="344805"/>
                <wp:effectExtent l="0" t="0" r="0" b="635"/>
                <wp:wrapNone/>
                <wp:docPr id="17" name="文本框 17"/>
                <wp:cNvGraphicFramePr/>
                <a:graphic xmlns:a="http://schemas.openxmlformats.org/drawingml/2006/main">
                  <a:graphicData uri="http://schemas.microsoft.com/office/word/2010/wordprocessingShape">
                    <wps:wsp>
                      <wps:cNvSpPr txBox="1"/>
                      <wps:spPr>
                        <a:xfrm flipH="1">
                          <a:off x="0" y="0"/>
                          <a:ext cx="1082675" cy="344805"/>
                        </a:xfrm>
                        <a:prstGeom prst="rect">
                          <a:avLst/>
                        </a:prstGeom>
                        <a:noFill/>
                        <a:ln>
                          <a:noFill/>
                        </a:ln>
                        <a:effectLst/>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wps:txbx>
                      <wps:bodyPr wrap="square" rtlCol="0">
                        <a:spAutoFit/>
                      </wps:bodyPr>
                    </wps:wsp>
                  </a:graphicData>
                </a:graphic>
              </wp:anchor>
            </w:drawing>
          </mc:Choice>
          <mc:Fallback>
            <w:pict>
              <v:shape id="_x0000_s1026" o:spid="_x0000_s1026" o:spt="202" type="#_x0000_t202" style="position:absolute;left:0pt;flip:x;margin-left:46.9pt;margin-top:144.65pt;height:27.15pt;width:85.25pt;z-index:251662336;mso-width-relative:page;mso-height-relative:page;" filled="f" stroked="f" coordsize="21600,21600" o:gfxdata="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CiVe3AAAAAoBAAAPAAAAAAAAAAEAIAAA&#10;ACIAAABkcnMvZG93bnJldi54bWxQSwECFAAUAAAACACHTuJAfbrJss8BAACPAwAADgAAAAAAAAAB&#10;ACAAAAArAQAAZHJzL2Uyb0RvYy54bWxQSwUGAAAAAAYABgBZAQAAbAU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mc:Fallback>
        </mc:AlternateContent>
      </w: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128270</wp:posOffset>
                </wp:positionH>
                <wp:positionV relativeFrom="paragraph">
                  <wp:posOffset>588010</wp:posOffset>
                </wp:positionV>
                <wp:extent cx="1438910" cy="396240"/>
                <wp:effectExtent l="0" t="0" r="0" b="3810"/>
                <wp:wrapNone/>
                <wp:docPr id="15" name="文本框 15"/>
                <wp:cNvGraphicFramePr/>
                <a:graphic xmlns:a="http://schemas.openxmlformats.org/drawingml/2006/main">
                  <a:graphicData uri="http://schemas.microsoft.com/office/word/2010/wordprocessingShape">
                    <wps:wsp>
                      <wps:cNvSpPr txBox="1"/>
                      <wps:spPr>
                        <a:xfrm flipH="1">
                          <a:off x="0" y="0"/>
                          <a:ext cx="1438910" cy="396240"/>
                        </a:xfrm>
                        <a:prstGeom prst="rect">
                          <a:avLst/>
                        </a:prstGeom>
                        <a:noFill/>
                        <a:ln>
                          <a:noFill/>
                        </a:ln>
                        <a:effectLst/>
                      </wps:spPr>
                      <wps:txbx>
                        <w:txbxContent>
                          <w:p>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wps:txbx>
                      <wps:bodyPr wrap="square" rtlCol="0">
                        <a:noAutofit/>
                      </wps:bodyPr>
                    </wps:wsp>
                  </a:graphicData>
                </a:graphic>
              </wp:anchor>
            </w:drawing>
          </mc:Choice>
          <mc:Fallback>
            <w:pict>
              <v:shape id="_x0000_s1026" o:spid="_x0000_s1026" o:spt="202" type="#_x0000_t202" style="position:absolute;left:0pt;flip:x;margin-left:10.1pt;margin-top:46.3pt;height:31.2pt;width:113.3pt;z-index:251661312;mso-width-relative:page;mso-height-relative:page;" filled="f" stroked="f" coordsize="21600,21600" o:gfxdata="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M2gnHZAAAACQEAAA8AAAAAAAAAAQAgAAAAIgAA&#10;AGRycy9kb3ducmV2LnhtbFBLAQIUABQAAAAIAIdO4kANCfBpzgEAAI8DAAAOAAAAAAAAAAEAIAAA&#10;ACgBAABkcnMvZTJvRG9jLnhtbFBLBQYAAAAABgAGAFkBAABoBQAAAAA=&#10;">
                <v:fill on="f" focussize="0,0"/>
                <v:stroke on="f"/>
                <v:imagedata o:title=""/>
                <o:lock v:ext="edit" aspectratio="f"/>
                <v:textbox>
                  <w:txbxContent>
                    <w:p>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mc:Fallback>
        </mc:AlternateContent>
      </w:r>
      <w:r>
        <w:rPr>
          <w:rFonts w:ascii="宋体" w:hAnsi="宋体" w:cs="宋体"/>
        </w:rPr>
        <mc:AlternateContent>
          <mc:Choice Requires="wps">
            <w:drawing>
              <wp:anchor distT="0" distB="0" distL="114300" distR="114300" simplePos="0" relativeHeight="251672576" behindDoc="0" locked="0" layoutInCell="1" allowOverlap="1">
                <wp:simplePos x="0" y="0"/>
                <wp:positionH relativeFrom="column">
                  <wp:posOffset>380365</wp:posOffset>
                </wp:positionH>
                <wp:positionV relativeFrom="paragraph">
                  <wp:posOffset>1039495</wp:posOffset>
                </wp:positionV>
                <wp:extent cx="1028700" cy="40957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028700" cy="409575"/>
                        </a:xfrm>
                        <a:prstGeom prst="rect">
                          <a:avLst/>
                        </a:prstGeom>
                        <a:noFill/>
                        <a:ln w="6350">
                          <a:noFill/>
                        </a:ln>
                        <a:effectLst/>
                      </wps:spPr>
                      <wps:txb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95pt;margin-top:81.85pt;height:32.25pt;width:81pt;z-index:251672576;mso-width-relative:page;mso-height-relative:page;" filled="f" stroked="f" coordsize="21600,21600" o:gfxdata="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rNnZtoAAAAKAQAADwAAAAAAAAABACAAAAAi&#10;AAAAZHJzL2Rvd25yZXYueG1sUEsBAhQAFAAAAAgAh07iQIWQIG1BAgAAdgQAAA4AAAAAAAAAAQAg&#10;AAAAKQEAAGRycy9lMm9Eb2MueG1sUEsFBgAAAAAGAAYAWQEAANwFAAAAAA==&#10;">
                <v:fill on="f" focussize="0,0"/>
                <v:stroke on="f" weight="0.5pt"/>
                <v:imagedata o:title=""/>
                <o:lock v:ext="edit" aspectratio="f"/>
                <v:textbo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mc:Fallback>
        </mc:AlternateContent>
      </w:r>
      <w:r>
        <w:rPr>
          <w:rFonts w:ascii="宋体" w:hAnsi="宋体" w:cs="宋体"/>
        </w:rPr>
        <mc:AlternateContent>
          <mc:Choice Requires="wps">
            <w:drawing>
              <wp:anchor distT="0" distB="0" distL="114300" distR="114300" simplePos="0" relativeHeight="251669504" behindDoc="0" locked="0" layoutInCell="1" allowOverlap="1">
                <wp:simplePos x="0" y="0"/>
                <wp:positionH relativeFrom="column">
                  <wp:posOffset>-986155</wp:posOffset>
                </wp:positionH>
                <wp:positionV relativeFrom="paragraph">
                  <wp:posOffset>1761490</wp:posOffset>
                </wp:positionV>
                <wp:extent cx="7013575" cy="3789680"/>
                <wp:effectExtent l="0" t="0" r="15875" b="1270"/>
                <wp:wrapNone/>
                <wp:docPr id="43"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rotWithShape="1">
                          <a:gsLst>
                            <a:gs pos="0">
                              <a:srgbClr val="012D86"/>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6" type="#_x0000_t6" style="position:absolute;left:0pt;flip:x;margin-left:-77.65pt;margin-top:138.7pt;height:298.4pt;width:552.25pt;z-index:251669504;mso-width-relative:page;mso-height-relative:page;" fillcolor="#012D86" filled="t" stroked="f" coordsize="21600,21600" o:gfxdata="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HdQ&#10;mtsAAAAMAQAADwAAAAAAAAABACAAAAAiAAAAZHJzL2Rvd25yZXYueG1sUEsBAhQAFAAAAAgAh07i&#10;QLGSGZQfAgAALAQAAA4AAAAAAAAAAQAgAAAAKgEAAGRycy9lMm9Eb2MueG1sUEsFBgAAAAAGAAYA&#10;WQEAALsFAAAAAA==&#10;">
                <v:fill type="gradient" on="t" color2="#FFFFFF" focus="100%" focussize="0,0" rotate="t"/>
                <v:stroke on="f"/>
                <v:imagedata o:title=""/>
                <o:lock v:ext="edit" aspectratio="f"/>
                <v:textbox>
                  <w:txbxContent>
                    <w:p/>
                  </w:txbxContent>
                </v:textbox>
              </v:shape>
            </w:pict>
          </mc:Fallback>
        </mc:AlternateContent>
      </w:r>
    </w:p>
    <w:p>
      <w:pPr>
        <w:rPr>
          <w:rFonts w:ascii="宋体" w:hAnsi="宋体" w:cs="宋体"/>
          <w:sz w:val="44"/>
          <w:szCs w:val="44"/>
          <w:lang w:val="zh-CN"/>
        </w:rPr>
        <w:sectPr>
          <w:headerReference r:id="rId3" w:type="default"/>
          <w:pgSz w:w="11906" w:h="16838"/>
          <w:pgMar w:top="1701" w:right="1474" w:bottom="1701" w:left="1474" w:header="851" w:footer="1134" w:gutter="0"/>
          <w:cols w:space="720" w:num="1"/>
          <w:docGrid w:linePitch="579" w:charSpace="1229"/>
        </w:sectPr>
      </w:pPr>
    </w:p>
    <w:sdt>
      <w:sdtPr>
        <w:rPr>
          <w:rFonts w:ascii="宋体" w:hAnsi="宋体"/>
        </w:rPr>
        <w:id w:val="147482402"/>
        <w:docPartObj>
          <w:docPartGallery w:val="Table of Contents"/>
          <w:docPartUnique/>
        </w:docPartObj>
      </w:sdtPr>
      <w:sdtEndPr>
        <w:rPr>
          <w:rFonts w:ascii="Times New Roman" w:hAnsi="Times New Roman"/>
        </w:rPr>
      </w:sdtEndPr>
      <w:sdtContent>
        <w:p>
          <w:pPr>
            <w:jc w:val="center"/>
            <w:rPr>
              <w:b/>
              <w:sz w:val="36"/>
            </w:rPr>
          </w:pPr>
          <w:r>
            <w:rPr>
              <w:rFonts w:ascii="宋体" w:hAnsi="宋体"/>
              <w:b/>
              <w:sz w:val="36"/>
            </w:rPr>
            <w:t>目</w:t>
          </w:r>
          <w:r>
            <w:rPr>
              <w:rFonts w:hint="eastAsia" w:ascii="宋体" w:hAnsi="宋体"/>
              <w:b/>
              <w:sz w:val="36"/>
            </w:rPr>
            <w:t xml:space="preserve">  </w:t>
          </w:r>
          <w:r>
            <w:rPr>
              <w:rFonts w:ascii="宋体" w:hAnsi="宋体"/>
              <w:b/>
              <w:sz w:val="36"/>
            </w:rPr>
            <w:t>录</w:t>
          </w:r>
        </w:p>
        <w:p>
          <w:pPr>
            <w:pStyle w:val="22"/>
            <w:tabs>
              <w:tab w:val="right" w:leader="dot" w:pos="8306"/>
            </w:tabs>
          </w:pPr>
          <w:r>
            <w:fldChar w:fldCharType="begin"/>
          </w:r>
          <w:r>
            <w:instrText xml:space="preserve">TOC \o "1-3" \h \u </w:instrText>
          </w:r>
          <w:r>
            <w:fldChar w:fldCharType="separate"/>
          </w:r>
          <w:r>
            <w:fldChar w:fldCharType="begin"/>
          </w:r>
          <w:r>
            <w:instrText xml:space="preserve"> HYPERLINK \l _Toc12241 </w:instrText>
          </w:r>
          <w:r>
            <w:fldChar w:fldCharType="separate"/>
          </w:r>
          <w:r>
            <w:rPr>
              <w:rFonts w:hint="eastAsia" w:ascii="宋体" w:hAnsi="宋体" w:cs="宋体"/>
              <w:szCs w:val="21"/>
            </w:rPr>
            <w:t>第一章 采购公告</w:t>
          </w:r>
          <w:r>
            <w:tab/>
          </w:r>
          <w:r>
            <w:fldChar w:fldCharType="begin"/>
          </w:r>
          <w:r>
            <w:instrText xml:space="preserve"> PAGEREF _Toc12241 \h </w:instrText>
          </w:r>
          <w:r>
            <w:fldChar w:fldCharType="separate"/>
          </w:r>
          <w:r>
            <w:t>5</w:t>
          </w:r>
          <w:r>
            <w:fldChar w:fldCharType="end"/>
          </w:r>
          <w:r>
            <w:fldChar w:fldCharType="end"/>
          </w:r>
        </w:p>
        <w:p>
          <w:pPr>
            <w:pStyle w:val="22"/>
            <w:tabs>
              <w:tab w:val="right" w:leader="dot" w:pos="8306"/>
            </w:tabs>
          </w:pPr>
          <w:r>
            <w:fldChar w:fldCharType="begin"/>
          </w:r>
          <w:r>
            <w:instrText xml:space="preserve"> HYPERLINK \l _Toc31304 </w:instrText>
          </w:r>
          <w:r>
            <w:fldChar w:fldCharType="separate"/>
          </w:r>
          <w:r>
            <w:rPr>
              <w:rFonts w:hint="eastAsia" w:ascii="宋体" w:hAnsi="宋体" w:cs="宋体"/>
              <w:szCs w:val="21"/>
            </w:rPr>
            <w:t>第二章  供货商须知</w:t>
          </w:r>
          <w:r>
            <w:tab/>
          </w:r>
          <w:r>
            <w:fldChar w:fldCharType="begin"/>
          </w:r>
          <w:r>
            <w:instrText xml:space="preserve"> PAGEREF _Toc31304 \h </w:instrText>
          </w:r>
          <w:r>
            <w:fldChar w:fldCharType="separate"/>
          </w:r>
          <w:r>
            <w:t>7</w:t>
          </w:r>
          <w:r>
            <w:fldChar w:fldCharType="end"/>
          </w:r>
          <w:r>
            <w:fldChar w:fldCharType="end"/>
          </w:r>
        </w:p>
        <w:p>
          <w:pPr>
            <w:pStyle w:val="22"/>
            <w:tabs>
              <w:tab w:val="right" w:leader="dot" w:pos="8306"/>
            </w:tabs>
          </w:pPr>
          <w:r>
            <w:fldChar w:fldCharType="begin"/>
          </w:r>
          <w:r>
            <w:instrText xml:space="preserve"> HYPERLINK \l _Toc30796 </w:instrText>
          </w:r>
          <w:r>
            <w:fldChar w:fldCharType="separate"/>
          </w:r>
          <w:r>
            <w:rPr>
              <w:rFonts w:hint="eastAsia" w:ascii="宋体" w:hAnsi="宋体" w:cs="宋体"/>
              <w:szCs w:val="21"/>
            </w:rPr>
            <w:t>第三章  采购需求及政府采购合同（拟签订的合同文本）</w:t>
          </w:r>
          <w:r>
            <w:tab/>
          </w:r>
          <w:r>
            <w:fldChar w:fldCharType="begin"/>
          </w:r>
          <w:r>
            <w:instrText xml:space="preserve"> PAGEREF _Toc30796 \h </w:instrText>
          </w:r>
          <w:r>
            <w:fldChar w:fldCharType="separate"/>
          </w:r>
          <w:r>
            <w:t>15</w:t>
          </w:r>
          <w:r>
            <w:fldChar w:fldCharType="end"/>
          </w:r>
          <w:r>
            <w:fldChar w:fldCharType="end"/>
          </w:r>
        </w:p>
        <w:p>
          <w:pPr>
            <w:pStyle w:val="22"/>
            <w:tabs>
              <w:tab w:val="right" w:leader="dot" w:pos="8306"/>
            </w:tabs>
          </w:pPr>
          <w:r>
            <w:fldChar w:fldCharType="begin"/>
          </w:r>
          <w:r>
            <w:instrText xml:space="preserve"> HYPERLINK \l _Toc26750 </w:instrText>
          </w:r>
          <w:r>
            <w:fldChar w:fldCharType="separate"/>
          </w:r>
          <w:r>
            <w:rPr>
              <w:rFonts w:hint="eastAsia" w:ascii="宋体" w:hAnsi="宋体" w:cs="宋体"/>
              <w:szCs w:val="28"/>
            </w:rPr>
            <w:t>第四章  评标方法和标准</w:t>
          </w:r>
          <w:r>
            <w:rPr>
              <w:rFonts w:hint="eastAsia" w:ascii="宋体" w:hAnsi="宋体"/>
              <w:szCs w:val="28"/>
            </w:rPr>
            <w:t>（主要部分）</w:t>
          </w:r>
          <w:r>
            <w:tab/>
          </w:r>
          <w:r>
            <w:fldChar w:fldCharType="begin"/>
          </w:r>
          <w:r>
            <w:instrText xml:space="preserve"> PAGEREF _Toc26750 \h </w:instrText>
          </w:r>
          <w:r>
            <w:fldChar w:fldCharType="separate"/>
          </w:r>
          <w:r>
            <w:t>35</w:t>
          </w:r>
          <w:r>
            <w:fldChar w:fldCharType="end"/>
          </w:r>
          <w:r>
            <w:fldChar w:fldCharType="end"/>
          </w:r>
        </w:p>
        <w:p>
          <w:pPr>
            <w:pStyle w:val="23"/>
            <w:tabs>
              <w:tab w:val="right" w:leader="dot" w:pos="8306"/>
            </w:tabs>
          </w:pPr>
          <w:r>
            <w:fldChar w:fldCharType="begin"/>
          </w:r>
          <w:r>
            <w:instrText xml:space="preserve"> HYPERLINK \l _Toc194 </w:instrText>
          </w:r>
          <w:r>
            <w:fldChar w:fldCharType="separate"/>
          </w:r>
          <w:r>
            <w:rPr>
              <w:rFonts w:hint="eastAsia" w:asciiTheme="minorEastAsia" w:hAnsiTheme="minorEastAsia" w:eastAsiaTheme="minorEastAsia" w:cstheme="minorEastAsia"/>
              <w:szCs w:val="21"/>
            </w:rPr>
            <w:t>一、评标方法</w:t>
          </w:r>
          <w:r>
            <w:tab/>
          </w:r>
          <w:r>
            <w:fldChar w:fldCharType="begin"/>
          </w:r>
          <w:r>
            <w:instrText xml:space="preserve"> PAGEREF _Toc194 \h </w:instrText>
          </w:r>
          <w:r>
            <w:fldChar w:fldCharType="separate"/>
          </w:r>
          <w:r>
            <w:t>35</w:t>
          </w:r>
          <w:r>
            <w:fldChar w:fldCharType="end"/>
          </w:r>
          <w:r>
            <w:fldChar w:fldCharType="end"/>
          </w:r>
        </w:p>
        <w:p>
          <w:pPr>
            <w:pStyle w:val="23"/>
            <w:tabs>
              <w:tab w:val="right" w:leader="dot" w:pos="8306"/>
            </w:tabs>
          </w:pPr>
          <w:r>
            <w:fldChar w:fldCharType="begin"/>
          </w:r>
          <w:r>
            <w:instrText xml:space="preserve"> HYPERLINK \l _Toc23296 </w:instrText>
          </w:r>
          <w:r>
            <w:fldChar w:fldCharType="separate"/>
          </w:r>
          <w:r>
            <w:rPr>
              <w:rFonts w:hint="eastAsia" w:asciiTheme="minorEastAsia" w:hAnsiTheme="minorEastAsia" w:eastAsiaTheme="minorEastAsia" w:cstheme="minorEastAsia"/>
              <w:szCs w:val="21"/>
            </w:rPr>
            <w:t>二、评分标准</w:t>
          </w:r>
          <w:r>
            <w:tab/>
          </w:r>
          <w:r>
            <w:fldChar w:fldCharType="begin"/>
          </w:r>
          <w:r>
            <w:instrText xml:space="preserve"> PAGEREF _Toc23296 \h </w:instrText>
          </w:r>
          <w:r>
            <w:fldChar w:fldCharType="separate"/>
          </w:r>
          <w:r>
            <w:t>36</w:t>
          </w:r>
          <w:r>
            <w:fldChar w:fldCharType="end"/>
          </w:r>
          <w:r>
            <w:fldChar w:fldCharType="end"/>
          </w:r>
        </w:p>
        <w:p>
          <w:pPr>
            <w:pStyle w:val="22"/>
            <w:tabs>
              <w:tab w:val="right" w:leader="dot" w:pos="8306"/>
            </w:tabs>
          </w:pPr>
          <w:r>
            <w:fldChar w:fldCharType="begin"/>
          </w:r>
          <w:r>
            <w:instrText xml:space="preserve"> HYPERLINK \l _Toc22933 </w:instrText>
          </w:r>
          <w:r>
            <w:fldChar w:fldCharType="separate"/>
          </w:r>
          <w:r>
            <w:rPr>
              <w:rFonts w:hint="eastAsia" w:ascii="宋体" w:hAnsi="宋体" w:cs="宋体"/>
              <w:szCs w:val="28"/>
            </w:rPr>
            <w:t>第五章  投标（响应）文件格式</w:t>
          </w:r>
          <w:r>
            <w:tab/>
          </w:r>
          <w:r>
            <w:fldChar w:fldCharType="begin"/>
          </w:r>
          <w:r>
            <w:instrText xml:space="preserve"> PAGEREF _Toc22933 \h </w:instrText>
          </w:r>
          <w:r>
            <w:fldChar w:fldCharType="separate"/>
          </w:r>
          <w:r>
            <w:t>38</w:t>
          </w:r>
          <w:r>
            <w:fldChar w:fldCharType="end"/>
          </w:r>
          <w:r>
            <w:fldChar w:fldCharType="end"/>
          </w:r>
        </w:p>
        <w:p>
          <w:pPr>
            <w:pStyle w:val="23"/>
            <w:tabs>
              <w:tab w:val="right" w:leader="dot" w:pos="8306"/>
            </w:tabs>
          </w:pPr>
          <w:r>
            <w:fldChar w:fldCharType="begin"/>
          </w:r>
          <w:r>
            <w:instrText xml:space="preserve"> HYPERLINK \l _Toc4761 </w:instrText>
          </w:r>
          <w:r>
            <w:fldChar w:fldCharType="separate"/>
          </w:r>
          <w:r>
            <w:rPr>
              <w:rFonts w:hint="eastAsia" w:asciiTheme="minorEastAsia" w:hAnsiTheme="minorEastAsia" w:eastAsiaTheme="minorEastAsia" w:cstheme="minorEastAsia"/>
              <w:szCs w:val="21"/>
            </w:rPr>
            <w:t>投标（响应）文件目录</w:t>
          </w:r>
          <w:r>
            <w:tab/>
          </w:r>
          <w:r>
            <w:fldChar w:fldCharType="begin"/>
          </w:r>
          <w:r>
            <w:instrText xml:space="preserve"> PAGEREF _Toc4761 \h </w:instrText>
          </w:r>
          <w:r>
            <w:fldChar w:fldCharType="separate"/>
          </w:r>
          <w:r>
            <w:t>39</w:t>
          </w:r>
          <w:r>
            <w:fldChar w:fldCharType="end"/>
          </w:r>
          <w:r>
            <w:fldChar w:fldCharType="end"/>
          </w:r>
        </w:p>
        <w:p>
          <w:pPr>
            <w:pStyle w:val="23"/>
            <w:tabs>
              <w:tab w:val="right" w:leader="dot" w:pos="8306"/>
            </w:tabs>
          </w:pPr>
          <w:r>
            <w:fldChar w:fldCharType="begin"/>
          </w:r>
          <w:r>
            <w:instrText xml:space="preserve"> HYPERLINK \l _Toc29495 </w:instrText>
          </w:r>
          <w:r>
            <w:fldChar w:fldCharType="separate"/>
          </w:r>
          <w:r>
            <w:rPr>
              <w:rFonts w:hint="eastAsia" w:asciiTheme="minorEastAsia" w:hAnsiTheme="minorEastAsia" w:eastAsiaTheme="minorEastAsia" w:cstheme="minorEastAsia"/>
              <w:bCs/>
              <w:szCs w:val="21"/>
            </w:rPr>
            <w:t>一、报价一览表(报价表)（格式）</w:t>
          </w:r>
          <w:r>
            <w:tab/>
          </w:r>
          <w:r>
            <w:fldChar w:fldCharType="begin"/>
          </w:r>
          <w:r>
            <w:instrText xml:space="preserve"> PAGEREF _Toc29495 \h </w:instrText>
          </w:r>
          <w:r>
            <w:fldChar w:fldCharType="separate"/>
          </w:r>
          <w:r>
            <w:t>40</w:t>
          </w:r>
          <w:r>
            <w:fldChar w:fldCharType="end"/>
          </w:r>
          <w:r>
            <w:fldChar w:fldCharType="end"/>
          </w:r>
        </w:p>
        <w:p>
          <w:pPr>
            <w:pStyle w:val="23"/>
            <w:tabs>
              <w:tab w:val="right" w:leader="dot" w:pos="8306"/>
            </w:tabs>
          </w:pPr>
          <w:r>
            <w:fldChar w:fldCharType="begin"/>
          </w:r>
          <w:r>
            <w:instrText xml:space="preserve"> HYPERLINK \l _Toc28814 </w:instrText>
          </w:r>
          <w:r>
            <w:fldChar w:fldCharType="separate"/>
          </w:r>
          <w:r>
            <w:rPr>
              <w:rFonts w:hint="eastAsia" w:asciiTheme="minorEastAsia" w:hAnsiTheme="minorEastAsia" w:eastAsiaTheme="minorEastAsia" w:cstheme="minorEastAsia"/>
              <w:szCs w:val="21"/>
            </w:rPr>
            <w:t>二、供应商的资格证明文件</w:t>
          </w:r>
          <w:r>
            <w:tab/>
          </w:r>
          <w:r>
            <w:fldChar w:fldCharType="begin"/>
          </w:r>
          <w:r>
            <w:instrText xml:space="preserve"> PAGEREF _Toc28814 \h </w:instrText>
          </w:r>
          <w:r>
            <w:fldChar w:fldCharType="separate"/>
          </w:r>
          <w:r>
            <w:t>41</w:t>
          </w:r>
          <w:r>
            <w:fldChar w:fldCharType="end"/>
          </w:r>
          <w:r>
            <w:fldChar w:fldCharType="end"/>
          </w:r>
        </w:p>
        <w:p>
          <w:pPr>
            <w:pStyle w:val="16"/>
            <w:tabs>
              <w:tab w:val="right" w:leader="dot" w:pos="8306"/>
            </w:tabs>
          </w:pPr>
          <w:r>
            <w:fldChar w:fldCharType="begin"/>
          </w:r>
          <w:r>
            <w:instrText xml:space="preserve"> HYPERLINK \l _Toc5225 </w:instrText>
          </w:r>
          <w:r>
            <w:fldChar w:fldCharType="separate"/>
          </w:r>
          <w:r>
            <w:rPr>
              <w:rFonts w:hint="eastAsia" w:ascii="宋体" w:hAnsi="宋体" w:cs="宋体"/>
              <w:kern w:val="0"/>
              <w:szCs w:val="21"/>
            </w:rPr>
            <w:t>供应商承诺书（格式）</w:t>
          </w:r>
          <w:r>
            <w:tab/>
          </w:r>
          <w:r>
            <w:fldChar w:fldCharType="begin"/>
          </w:r>
          <w:r>
            <w:instrText xml:space="preserve"> PAGEREF _Toc5225 \h </w:instrText>
          </w:r>
          <w:r>
            <w:fldChar w:fldCharType="separate"/>
          </w:r>
          <w:r>
            <w:t>43</w:t>
          </w:r>
          <w:r>
            <w:fldChar w:fldCharType="end"/>
          </w:r>
          <w:r>
            <w:fldChar w:fldCharType="end"/>
          </w:r>
        </w:p>
        <w:p>
          <w:pPr>
            <w:pStyle w:val="23"/>
            <w:tabs>
              <w:tab w:val="right" w:leader="dot" w:pos="8306"/>
            </w:tabs>
          </w:pPr>
          <w:r>
            <w:fldChar w:fldCharType="begin"/>
          </w:r>
          <w:r>
            <w:instrText xml:space="preserve"> HYPERLINK \l _Toc10468 </w:instrText>
          </w:r>
          <w:r>
            <w:fldChar w:fldCharType="separate"/>
          </w:r>
          <w:r>
            <w:rPr>
              <w:rFonts w:hint="eastAsia" w:hAnsi="宋体" w:cs="宋体"/>
              <w:szCs w:val="21"/>
            </w:rPr>
            <w:t>三、法定代表人授权委托书(格式）</w:t>
          </w:r>
          <w:r>
            <w:tab/>
          </w:r>
          <w:r>
            <w:fldChar w:fldCharType="begin"/>
          </w:r>
          <w:r>
            <w:instrText xml:space="preserve"> PAGEREF _Toc10468 \h </w:instrText>
          </w:r>
          <w:r>
            <w:fldChar w:fldCharType="separate"/>
          </w:r>
          <w:r>
            <w:t>44</w:t>
          </w:r>
          <w:r>
            <w:fldChar w:fldCharType="end"/>
          </w:r>
          <w:r>
            <w:fldChar w:fldCharType="end"/>
          </w:r>
        </w:p>
        <w:p>
          <w:pPr>
            <w:pStyle w:val="23"/>
            <w:tabs>
              <w:tab w:val="right" w:leader="dot" w:pos="8306"/>
            </w:tabs>
          </w:pPr>
          <w:r>
            <w:fldChar w:fldCharType="begin"/>
          </w:r>
          <w:r>
            <w:instrText xml:space="preserve"> HYPERLINK \l _Toc12350 </w:instrText>
          </w:r>
          <w:r>
            <w:fldChar w:fldCharType="separate"/>
          </w:r>
          <w:r>
            <w:rPr>
              <w:rFonts w:hint="eastAsia" w:ascii="宋体" w:hAnsi="宋体" w:cs="宋体"/>
              <w:szCs w:val="21"/>
            </w:rPr>
            <w:t>四、投标（响应）书（格式）</w:t>
          </w:r>
          <w:r>
            <w:tab/>
          </w:r>
          <w:r>
            <w:fldChar w:fldCharType="begin"/>
          </w:r>
          <w:r>
            <w:instrText xml:space="preserve"> PAGEREF _Toc12350 \h </w:instrText>
          </w:r>
          <w:r>
            <w:fldChar w:fldCharType="separate"/>
          </w:r>
          <w:r>
            <w:t>45</w:t>
          </w:r>
          <w:r>
            <w:fldChar w:fldCharType="end"/>
          </w:r>
          <w:r>
            <w:fldChar w:fldCharType="end"/>
          </w:r>
        </w:p>
        <w:p>
          <w:pPr>
            <w:pStyle w:val="23"/>
            <w:tabs>
              <w:tab w:val="right" w:leader="dot" w:pos="8306"/>
            </w:tabs>
          </w:pPr>
          <w:r>
            <w:fldChar w:fldCharType="begin"/>
          </w:r>
          <w:r>
            <w:instrText xml:space="preserve"> HYPERLINK \l _Toc15615 </w:instrText>
          </w:r>
          <w:r>
            <w:fldChar w:fldCharType="separate"/>
          </w:r>
          <w:r>
            <w:rPr>
              <w:rFonts w:hint="eastAsia" w:ascii="宋体" w:hAnsi="宋体"/>
              <w:szCs w:val="28"/>
            </w:rPr>
            <w:t>五、盐城市政府采购事前信用承诺书（格式）</w:t>
          </w:r>
          <w:r>
            <w:tab/>
          </w:r>
          <w:r>
            <w:fldChar w:fldCharType="begin"/>
          </w:r>
          <w:r>
            <w:instrText xml:space="preserve"> PAGEREF _Toc15615 \h </w:instrText>
          </w:r>
          <w:r>
            <w:fldChar w:fldCharType="separate"/>
          </w:r>
          <w:r>
            <w:t>47</w:t>
          </w:r>
          <w:r>
            <w:fldChar w:fldCharType="end"/>
          </w:r>
          <w:r>
            <w:fldChar w:fldCharType="end"/>
          </w:r>
        </w:p>
        <w:p>
          <w:pPr>
            <w:pStyle w:val="16"/>
            <w:tabs>
              <w:tab w:val="right" w:leader="dot" w:pos="8306"/>
            </w:tabs>
          </w:pPr>
          <w:r>
            <w:fldChar w:fldCharType="begin"/>
          </w:r>
          <w:r>
            <w:instrText xml:space="preserve"> HYPERLINK \l _Toc6843 </w:instrText>
          </w:r>
          <w:r>
            <w:fldChar w:fldCharType="separate"/>
          </w:r>
          <w:r>
            <w:rPr>
              <w:rFonts w:hint="eastAsia" w:ascii="新宋体" w:hAnsi="新宋体" w:eastAsia="新宋体"/>
              <w:szCs w:val="20"/>
            </w:rPr>
            <w:t>工程量清单</w:t>
          </w:r>
          <w:r>
            <w:tab/>
          </w:r>
          <w:r>
            <w:fldChar w:fldCharType="begin"/>
          </w:r>
          <w:r>
            <w:instrText xml:space="preserve"> PAGEREF _Toc6843 \h </w:instrText>
          </w:r>
          <w:r>
            <w:fldChar w:fldCharType="separate"/>
          </w:r>
          <w:r>
            <w:t>51</w:t>
          </w:r>
          <w:r>
            <w:fldChar w:fldCharType="end"/>
          </w:r>
          <w:r>
            <w:fldChar w:fldCharType="end"/>
          </w:r>
        </w:p>
        <w:p>
          <w:pPr>
            <w:pStyle w:val="16"/>
            <w:tabs>
              <w:tab w:val="right" w:leader="dot" w:pos="8306"/>
            </w:tabs>
          </w:pPr>
          <w:r>
            <w:fldChar w:fldCharType="begin"/>
          </w:r>
          <w:r>
            <w:instrText xml:space="preserve"> HYPERLINK \l _Toc28732 </w:instrText>
          </w:r>
          <w:r>
            <w:fldChar w:fldCharType="separate"/>
          </w:r>
          <w:r>
            <w:rPr>
              <w:rFonts w:hint="eastAsia" w:ascii="宋体" w:cs="宋体"/>
              <w:szCs w:val="28"/>
            </w:rPr>
            <w:t>八、技术规格（采购需求）偏离表</w:t>
          </w:r>
          <w:r>
            <w:tab/>
          </w:r>
          <w:r>
            <w:fldChar w:fldCharType="begin"/>
          </w:r>
          <w:r>
            <w:instrText xml:space="preserve"> PAGEREF _Toc28732 \h </w:instrText>
          </w:r>
          <w:r>
            <w:fldChar w:fldCharType="separate"/>
          </w:r>
          <w:r>
            <w:t>52</w:t>
          </w:r>
          <w:r>
            <w:fldChar w:fldCharType="end"/>
          </w:r>
          <w:r>
            <w:fldChar w:fldCharType="end"/>
          </w:r>
        </w:p>
        <w:p>
          <w:pPr>
            <w:pStyle w:val="23"/>
            <w:tabs>
              <w:tab w:val="right" w:leader="dot" w:pos="8306"/>
            </w:tabs>
          </w:pPr>
          <w:r>
            <w:fldChar w:fldCharType="begin"/>
          </w:r>
          <w:r>
            <w:instrText xml:space="preserve"> HYPERLINK \l _Toc29582 </w:instrText>
          </w:r>
          <w:r>
            <w:fldChar w:fldCharType="separate"/>
          </w:r>
          <w:r>
            <w:rPr>
              <w:rFonts w:hint="eastAsia" w:ascii="宋体" w:hAnsi="宋体" w:cs="宋体"/>
              <w:szCs w:val="28"/>
            </w:rPr>
            <w:t>九、拟投入本项目人员一览表</w:t>
          </w:r>
          <w:r>
            <w:tab/>
          </w:r>
          <w:r>
            <w:fldChar w:fldCharType="begin"/>
          </w:r>
          <w:r>
            <w:instrText xml:space="preserve"> PAGEREF _Toc29582 \h </w:instrText>
          </w:r>
          <w:r>
            <w:fldChar w:fldCharType="separate"/>
          </w:r>
          <w:r>
            <w:t>53</w:t>
          </w:r>
          <w:r>
            <w:fldChar w:fldCharType="end"/>
          </w:r>
          <w:r>
            <w:fldChar w:fldCharType="end"/>
          </w:r>
        </w:p>
        <w:p>
          <w:pPr>
            <w:pStyle w:val="16"/>
            <w:tabs>
              <w:tab w:val="right" w:leader="dot" w:pos="8306"/>
            </w:tabs>
          </w:pPr>
          <w:r>
            <w:fldChar w:fldCharType="begin"/>
          </w:r>
          <w:r>
            <w:instrText xml:space="preserve"> HYPERLINK \l _Toc11846 </w:instrText>
          </w:r>
          <w:r>
            <w:fldChar w:fldCharType="separate"/>
          </w:r>
          <w:r>
            <w:rPr>
              <w:rFonts w:hint="eastAsia"/>
            </w:rPr>
            <w:t>投标人基本情况表</w:t>
          </w:r>
          <w:r>
            <w:tab/>
          </w:r>
          <w:r>
            <w:fldChar w:fldCharType="begin"/>
          </w:r>
          <w:r>
            <w:instrText xml:space="preserve"> PAGEREF _Toc11846 \h </w:instrText>
          </w:r>
          <w:r>
            <w:fldChar w:fldCharType="separate"/>
          </w:r>
          <w:r>
            <w:t>54</w:t>
          </w:r>
          <w:r>
            <w:fldChar w:fldCharType="end"/>
          </w:r>
          <w:r>
            <w:fldChar w:fldCharType="end"/>
          </w:r>
        </w:p>
        <w:p>
          <w:pPr>
            <w:pStyle w:val="16"/>
            <w:tabs>
              <w:tab w:val="right" w:leader="dot" w:pos="8306"/>
            </w:tabs>
          </w:pPr>
          <w:r>
            <w:fldChar w:fldCharType="begin"/>
          </w:r>
          <w:r>
            <w:instrText xml:space="preserve"> HYPERLINK \l _Toc32646 </w:instrText>
          </w:r>
          <w:r>
            <w:fldChar w:fldCharType="separate"/>
          </w:r>
          <w:r>
            <w:rPr>
              <w:rFonts w:hint="eastAsia"/>
            </w:rPr>
            <w:t>投标人近年完成的类似项目情况表</w:t>
          </w:r>
          <w:r>
            <w:tab/>
          </w:r>
          <w:r>
            <w:fldChar w:fldCharType="begin"/>
          </w:r>
          <w:r>
            <w:instrText xml:space="preserve"> PAGEREF _Toc32646 \h </w:instrText>
          </w:r>
          <w:r>
            <w:fldChar w:fldCharType="separate"/>
          </w:r>
          <w:r>
            <w:t>55</w:t>
          </w:r>
          <w:r>
            <w:fldChar w:fldCharType="end"/>
          </w:r>
          <w:r>
            <w:fldChar w:fldCharType="end"/>
          </w:r>
        </w:p>
        <w:p>
          <w:pPr>
            <w:pStyle w:val="16"/>
            <w:tabs>
              <w:tab w:val="right" w:leader="dot" w:pos="8306"/>
            </w:tabs>
          </w:pPr>
          <w:r>
            <w:fldChar w:fldCharType="begin"/>
          </w:r>
          <w:r>
            <w:instrText xml:space="preserve"> HYPERLINK \l _Toc22843 </w:instrText>
          </w:r>
          <w:r>
            <w:fldChar w:fldCharType="separate"/>
          </w:r>
          <w:r>
            <w:rPr>
              <w:rFonts w:hint="eastAsia"/>
            </w:rPr>
            <w:t>项目经理简历表</w:t>
          </w:r>
          <w:r>
            <w:tab/>
          </w:r>
          <w:r>
            <w:fldChar w:fldCharType="begin"/>
          </w:r>
          <w:r>
            <w:instrText xml:space="preserve"> PAGEREF _Toc22843 \h </w:instrText>
          </w:r>
          <w:r>
            <w:fldChar w:fldCharType="separate"/>
          </w:r>
          <w:r>
            <w:t>56</w:t>
          </w:r>
          <w:r>
            <w:fldChar w:fldCharType="end"/>
          </w:r>
          <w:r>
            <w:fldChar w:fldCharType="end"/>
          </w:r>
        </w:p>
        <w:p>
          <w:pPr>
            <w:pStyle w:val="23"/>
            <w:tabs>
              <w:tab w:val="right" w:leader="dot" w:pos="8306"/>
            </w:tabs>
          </w:pPr>
          <w:r>
            <w:fldChar w:fldCharType="begin"/>
          </w:r>
          <w:r>
            <w:instrText xml:space="preserve"> HYPERLINK \l _Toc11948 </w:instrText>
          </w:r>
          <w:r>
            <w:fldChar w:fldCharType="separate"/>
          </w:r>
          <w:r>
            <w:rPr>
              <w:rFonts w:hint="eastAsia" w:ascii="宋体" w:hAnsi="宋体" w:cs="宋体"/>
              <w:szCs w:val="28"/>
            </w:rPr>
            <w:t>十、</w:t>
          </w:r>
          <w:r>
            <w:rPr>
              <w:rFonts w:hint="eastAsia" w:ascii="宋体" w:hAnsi="宋体"/>
              <w:szCs w:val="28"/>
            </w:rPr>
            <w:t>投标（响应）文件的</w:t>
          </w:r>
          <w:r>
            <w:rPr>
              <w:rFonts w:hint="eastAsia" w:ascii="宋体" w:hAnsi="宋体" w:cs="宋体"/>
              <w:szCs w:val="28"/>
            </w:rPr>
            <w:t>其它内容</w:t>
          </w:r>
          <w:r>
            <w:tab/>
          </w:r>
          <w:r>
            <w:fldChar w:fldCharType="begin"/>
          </w:r>
          <w:r>
            <w:instrText xml:space="preserve"> PAGEREF _Toc11948 \h </w:instrText>
          </w:r>
          <w:r>
            <w:fldChar w:fldCharType="separate"/>
          </w:r>
          <w:r>
            <w:t>58</w:t>
          </w:r>
          <w:r>
            <w:fldChar w:fldCharType="end"/>
          </w:r>
          <w:r>
            <w:fldChar w:fldCharType="end"/>
          </w:r>
        </w:p>
        <w:p>
          <w:pPr>
            <w:sectPr>
              <w:pgSz w:w="11906" w:h="16838"/>
              <w:pgMar w:top="1440" w:right="1800" w:bottom="1440" w:left="1800" w:header="851" w:footer="992" w:gutter="0"/>
              <w:cols w:space="425" w:num="1"/>
              <w:docGrid w:type="lines" w:linePitch="312" w:charSpace="0"/>
            </w:sectPr>
          </w:pPr>
          <w:r>
            <w:fldChar w:fldCharType="end"/>
          </w:r>
        </w:p>
      </w:sdtContent>
    </w:sdt>
    <w:p>
      <w:pPr>
        <w:numPr>
          <w:ilvl w:val="0"/>
          <w:numId w:val="1"/>
        </w:numPr>
        <w:spacing w:line="480" w:lineRule="auto"/>
        <w:jc w:val="center"/>
        <w:outlineLvl w:val="0"/>
        <w:rPr>
          <w:rFonts w:ascii="宋体" w:hAnsi="宋体" w:cs="宋体"/>
          <w:b/>
          <w:sz w:val="32"/>
          <w:szCs w:val="21"/>
        </w:rPr>
      </w:pPr>
      <w:bookmarkStart w:id="0" w:name="_Toc12241"/>
      <w:bookmarkStart w:id="1" w:name="_Toc14568"/>
      <w:r>
        <w:rPr>
          <w:rFonts w:hint="eastAsia" w:ascii="宋体" w:hAnsi="宋体" w:cs="宋体"/>
          <w:b/>
          <w:sz w:val="32"/>
          <w:szCs w:val="21"/>
        </w:rPr>
        <w:t>采购公告</w:t>
      </w:r>
      <w:bookmarkEnd w:id="0"/>
      <w:bookmarkEnd w:id="1"/>
    </w:p>
    <w:p>
      <w:pPr>
        <w:spacing w:line="336" w:lineRule="auto"/>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盐城市携手阳光集中采购代理有限公司（本次采购可简称：携手阳光公司）受采购人的委托，根据《中华人民共和国政府采购法》等有关规定，现对</w:t>
      </w:r>
      <w:r>
        <w:rPr>
          <w:rFonts w:hint="eastAsia" w:ascii="宋体" w:hAnsi="宋体"/>
          <w:szCs w:val="21"/>
        </w:rPr>
        <w:t>下列项目</w:t>
      </w:r>
      <w:r>
        <w:rPr>
          <w:rFonts w:hint="eastAsia" w:ascii="宋体" w:hAnsi="宋体" w:cs="宋体"/>
          <w:szCs w:val="21"/>
        </w:rPr>
        <w:t>进行</w:t>
      </w:r>
      <w:r>
        <w:rPr>
          <w:rFonts w:hint="eastAsia" w:ascii="宋体" w:hAnsi="宋体" w:cs="宋体"/>
          <w:u w:val="single"/>
        </w:rPr>
        <w:t>竞争性磋商</w:t>
      </w:r>
      <w:r>
        <w:rPr>
          <w:rFonts w:hint="eastAsia" w:ascii="宋体" w:hAnsi="宋体" w:cs="宋体"/>
        </w:rPr>
        <w:t>采购</w:t>
      </w:r>
      <w:r>
        <w:rPr>
          <w:rFonts w:hint="eastAsia" w:ascii="宋体" w:hAnsi="宋体" w:cs="宋体"/>
          <w:szCs w:val="21"/>
        </w:rPr>
        <w:t>，欢迎</w:t>
      </w:r>
      <w:r>
        <w:rPr>
          <w:rFonts w:hint="eastAsia" w:ascii="宋体" w:hAnsi="宋体" w:cs="宋体"/>
        </w:rPr>
        <w:t>潜在供应商</w:t>
      </w:r>
      <w:r>
        <w:rPr>
          <w:rFonts w:hint="eastAsia" w:ascii="宋体" w:hAnsi="宋体" w:cs="宋体"/>
          <w:szCs w:val="21"/>
        </w:rPr>
        <w:t>参加。</w:t>
      </w:r>
    </w:p>
    <w:p>
      <w:pPr>
        <w:pBdr>
          <w:top w:val="single" w:color="auto" w:sz="4" w:space="1"/>
          <w:left w:val="single" w:color="auto" w:sz="4" w:space="4"/>
          <w:bottom w:val="single" w:color="auto" w:sz="4" w:space="1"/>
          <w:right w:val="single" w:color="auto" w:sz="4" w:space="4"/>
        </w:pBdr>
        <w:spacing w:line="336" w:lineRule="auto"/>
        <w:ind w:firstLine="422" w:firstLineChars="200"/>
        <w:jc w:val="center"/>
        <w:rPr>
          <w:rFonts w:ascii="宋体" w:hAnsi="宋体"/>
          <w:b/>
          <w:szCs w:val="21"/>
        </w:rPr>
      </w:pPr>
      <w:r>
        <w:rPr>
          <w:rFonts w:hint="eastAsia" w:ascii="宋体" w:hAnsi="宋体"/>
          <w:b/>
          <w:szCs w:val="21"/>
        </w:rPr>
        <w:t>项目概况</w:t>
      </w:r>
    </w:p>
    <w:p>
      <w:pPr>
        <w:pBdr>
          <w:top w:val="single" w:color="auto" w:sz="4" w:space="1"/>
          <w:left w:val="single" w:color="auto" w:sz="4" w:space="4"/>
          <w:bottom w:val="single" w:color="auto" w:sz="4" w:space="1"/>
          <w:right w:val="single" w:color="auto" w:sz="4" w:space="4"/>
        </w:pBdr>
        <w:spacing w:line="336" w:lineRule="auto"/>
        <w:ind w:firstLine="420" w:firstLineChars="200"/>
        <w:rPr>
          <w:rFonts w:ascii="宋体" w:hAnsi="宋体"/>
          <w:szCs w:val="21"/>
        </w:rPr>
      </w:pPr>
      <w:r>
        <w:rPr>
          <w:rFonts w:hint="eastAsia" w:ascii="宋体" w:hAnsi="宋体" w:cs="宋体"/>
          <w:szCs w:val="21"/>
          <w:u w:val="single"/>
        </w:rPr>
        <w:t>江苏医药职业学院司法鉴定所法医物证鉴定实验室改造项目</w:t>
      </w:r>
      <w:r>
        <w:rPr>
          <w:rFonts w:hint="eastAsia" w:ascii="宋体" w:hAnsi="宋体"/>
          <w:szCs w:val="21"/>
        </w:rPr>
        <w:t>的潜在供应商应在</w:t>
      </w:r>
      <w:r>
        <w:rPr>
          <w:rFonts w:hint="eastAsia" w:ascii="宋体" w:hAnsi="宋体"/>
          <w:szCs w:val="21"/>
          <w:u w:val="single"/>
        </w:rPr>
        <w:t>盐城市府西路华邦国际西厦A区（东）302室</w:t>
      </w:r>
      <w:r>
        <w:rPr>
          <w:rFonts w:hint="eastAsia" w:ascii="宋体" w:hAnsi="宋体"/>
          <w:szCs w:val="21"/>
        </w:rPr>
        <w:t>获取采购文件，并于</w:t>
      </w:r>
      <w:r>
        <w:rPr>
          <w:rFonts w:hint="eastAsia" w:ascii="宋体" w:hAnsi="宋体" w:cs="宋体"/>
          <w:b/>
          <w:bCs/>
          <w:szCs w:val="21"/>
          <w:u w:val="single"/>
        </w:rPr>
        <w:t>2023年</w:t>
      </w:r>
      <w:r>
        <w:rPr>
          <w:rFonts w:hint="eastAsia" w:ascii="宋体" w:hAnsi="宋体" w:cs="宋体"/>
          <w:b/>
          <w:bCs/>
          <w:szCs w:val="21"/>
          <w:u w:val="single"/>
          <w:lang w:val="en-US" w:eastAsia="zh-CN"/>
        </w:rPr>
        <w:t>8</w:t>
      </w:r>
      <w:r>
        <w:rPr>
          <w:rFonts w:hint="eastAsia" w:ascii="宋体" w:hAnsi="宋体" w:cs="宋体"/>
          <w:b/>
          <w:bCs/>
          <w:szCs w:val="21"/>
          <w:u w:val="single"/>
        </w:rPr>
        <w:t>月</w:t>
      </w:r>
      <w:r>
        <w:rPr>
          <w:rFonts w:hint="eastAsia" w:ascii="宋体" w:hAnsi="宋体" w:cs="宋体"/>
          <w:b/>
          <w:bCs/>
          <w:szCs w:val="21"/>
          <w:u w:val="single"/>
          <w:lang w:val="en-US" w:eastAsia="zh-CN"/>
        </w:rPr>
        <w:t>15</w:t>
      </w:r>
      <w:r>
        <w:rPr>
          <w:rFonts w:hint="eastAsia" w:ascii="宋体" w:hAnsi="宋体" w:cs="宋体"/>
          <w:b/>
          <w:bCs/>
          <w:szCs w:val="21"/>
          <w:u w:val="single"/>
        </w:rPr>
        <w:t>日</w:t>
      </w:r>
      <w:r>
        <w:rPr>
          <w:rFonts w:hint="eastAsia" w:ascii="宋体" w:hAnsi="宋体" w:cs="宋体"/>
          <w:b/>
          <w:bCs/>
          <w:szCs w:val="21"/>
          <w:u w:val="single"/>
          <w:lang w:val="en-US" w:eastAsia="zh-CN"/>
        </w:rPr>
        <w:t>15</w:t>
      </w:r>
      <w:r>
        <w:rPr>
          <w:rFonts w:hint="eastAsia" w:ascii="宋体" w:hAnsi="宋体" w:cs="宋体"/>
          <w:b/>
          <w:bCs/>
          <w:szCs w:val="21"/>
          <w:u w:val="single"/>
        </w:rPr>
        <w:t>点</w:t>
      </w:r>
      <w:r>
        <w:rPr>
          <w:rFonts w:hint="eastAsia" w:ascii="宋体" w:hAnsi="宋体" w:cs="宋体"/>
          <w:b/>
          <w:bCs/>
          <w:szCs w:val="21"/>
          <w:u w:val="single"/>
          <w:lang w:val="en-US" w:eastAsia="zh-CN"/>
        </w:rPr>
        <w:t>00</w:t>
      </w:r>
      <w:r>
        <w:rPr>
          <w:rFonts w:hint="eastAsia" w:ascii="宋体" w:hAnsi="宋体" w:cs="宋体"/>
          <w:b/>
          <w:bCs/>
          <w:szCs w:val="21"/>
          <w:u w:val="single"/>
        </w:rPr>
        <w:t>分</w:t>
      </w:r>
      <w:r>
        <w:rPr>
          <w:rFonts w:hint="eastAsia" w:ascii="宋体" w:hAnsi="宋体" w:cs="宋体"/>
          <w:szCs w:val="21"/>
          <w:u w:val="single"/>
        </w:rPr>
        <w:t>（</w:t>
      </w:r>
      <w:r>
        <w:rPr>
          <w:rFonts w:hint="eastAsia" w:ascii="宋体" w:hAnsi="宋体"/>
          <w:bCs/>
          <w:szCs w:val="21"/>
        </w:rPr>
        <w:t>北京时间）</w:t>
      </w:r>
      <w:r>
        <w:rPr>
          <w:rFonts w:hint="eastAsia" w:ascii="宋体" w:hAnsi="宋体" w:cs="宋体"/>
          <w:szCs w:val="21"/>
        </w:rPr>
        <w:t>前</w:t>
      </w:r>
      <w:r>
        <w:rPr>
          <w:rFonts w:hint="eastAsia" w:ascii="宋体" w:hAnsi="宋体" w:cs="宋体"/>
          <w:bCs/>
        </w:rPr>
        <w:t>提交响应文件</w:t>
      </w:r>
      <w:r>
        <w:rPr>
          <w:rFonts w:hint="eastAsia" w:ascii="宋体" w:hAnsi="宋体"/>
          <w:szCs w:val="21"/>
        </w:rPr>
        <w:t>。</w:t>
      </w:r>
    </w:p>
    <w:p>
      <w:pPr>
        <w:spacing w:line="276" w:lineRule="auto"/>
        <w:outlineLvl w:val="1"/>
        <w:rPr>
          <w:rFonts w:ascii="宋体" w:hAnsi="宋体" w:cs="宋体"/>
          <w:b/>
        </w:rPr>
      </w:pPr>
      <w:bookmarkStart w:id="2" w:name="_Toc24498"/>
      <w:bookmarkStart w:id="3" w:name="_Toc7502"/>
      <w:bookmarkStart w:id="4" w:name="_Toc107916278"/>
      <w:bookmarkStart w:id="5" w:name="_Toc27868"/>
      <w:bookmarkStart w:id="6" w:name="_Toc28359089"/>
      <w:bookmarkStart w:id="7" w:name="_Toc35393629"/>
      <w:bookmarkStart w:id="8" w:name="_Toc6205"/>
      <w:bookmarkStart w:id="9" w:name="_Toc35393798"/>
      <w:bookmarkStart w:id="10" w:name="_Toc28359012"/>
      <w:bookmarkStart w:id="11" w:name="_Toc35393800"/>
      <w:bookmarkStart w:id="12" w:name="_Toc28359014"/>
      <w:bookmarkStart w:id="13" w:name="_Toc28359091"/>
      <w:bookmarkStart w:id="14" w:name="_Toc35393631"/>
      <w:r>
        <w:rPr>
          <w:rFonts w:hint="eastAsia" w:ascii="宋体" w:hAnsi="宋体" w:cs="宋体"/>
          <w:b/>
        </w:rPr>
        <w:t>一、项目基本情况</w:t>
      </w:r>
      <w:bookmarkEnd w:id="2"/>
      <w:bookmarkEnd w:id="3"/>
      <w:bookmarkEnd w:id="4"/>
      <w:bookmarkEnd w:id="5"/>
      <w:bookmarkEnd w:id="6"/>
      <w:bookmarkEnd w:id="7"/>
      <w:bookmarkEnd w:id="8"/>
      <w:bookmarkEnd w:id="9"/>
      <w:bookmarkEnd w:id="10"/>
    </w:p>
    <w:p>
      <w:pPr>
        <w:spacing w:line="276" w:lineRule="auto"/>
        <w:ind w:firstLine="420" w:firstLineChars="200"/>
        <w:rPr>
          <w:rFonts w:ascii="宋体" w:hAnsi="宋体" w:cs="宋体"/>
          <w:szCs w:val="21"/>
        </w:rPr>
      </w:pPr>
      <w:bookmarkStart w:id="15" w:name="_Toc31034"/>
      <w:r>
        <w:rPr>
          <w:rFonts w:hint="eastAsia" w:ascii="宋体" w:hAnsi="宋体" w:cs="宋体"/>
          <w:szCs w:val="21"/>
        </w:rPr>
        <w:t>1.项目编号：SY202</w:t>
      </w:r>
      <w:r>
        <w:rPr>
          <w:rFonts w:ascii="宋体" w:hAnsi="宋体" w:cs="宋体"/>
          <w:szCs w:val="21"/>
        </w:rPr>
        <w:t>3-0</w:t>
      </w:r>
      <w:r>
        <w:rPr>
          <w:rFonts w:hint="eastAsia" w:ascii="宋体" w:hAnsi="宋体" w:cs="宋体"/>
          <w:szCs w:val="21"/>
          <w:lang w:val="en-US" w:eastAsia="zh-CN"/>
        </w:rPr>
        <w:t>33</w:t>
      </w:r>
      <w:r>
        <w:rPr>
          <w:rFonts w:ascii="宋体" w:hAnsi="宋体" w:cs="宋体"/>
          <w:szCs w:val="21"/>
        </w:rPr>
        <w:t>-GC-JC</w:t>
      </w:r>
      <w:bookmarkEnd w:id="15"/>
      <w:r>
        <w:rPr>
          <w:rFonts w:hint="eastAsia" w:ascii="宋体" w:hAnsi="宋体" w:cs="宋体"/>
          <w:szCs w:val="21"/>
        </w:rPr>
        <w:t xml:space="preserve"> </w:t>
      </w:r>
    </w:p>
    <w:p>
      <w:pPr>
        <w:ind w:firstLine="420" w:firstLineChars="200"/>
        <w:jc w:val="left"/>
        <w:rPr>
          <w:rFonts w:ascii="宋体" w:hAnsi="宋体" w:cs="宋体"/>
          <w:szCs w:val="21"/>
        </w:rPr>
      </w:pPr>
      <w:r>
        <w:rPr>
          <w:rFonts w:hint="eastAsia" w:ascii="宋体" w:hAnsi="宋体" w:cs="宋体"/>
          <w:szCs w:val="21"/>
        </w:rPr>
        <w:t>2.项目名称：江苏医药职业学院司法鉴定所法医物证鉴定实验室改造项目</w:t>
      </w:r>
    </w:p>
    <w:p>
      <w:pPr>
        <w:spacing w:line="276" w:lineRule="auto"/>
        <w:ind w:firstLine="420" w:firstLineChars="200"/>
        <w:rPr>
          <w:rFonts w:ascii="宋体" w:hAnsi="宋体" w:cs="宋体"/>
          <w:szCs w:val="21"/>
        </w:rPr>
      </w:pPr>
      <w:r>
        <w:rPr>
          <w:rFonts w:hint="eastAsia" w:ascii="宋体" w:hAnsi="宋体" w:cs="宋体"/>
          <w:szCs w:val="21"/>
        </w:rPr>
        <w:t>3.预算（最高限价）：</w:t>
      </w:r>
      <w:r>
        <w:rPr>
          <w:rFonts w:hint="eastAsia" w:ascii="宋体" w:hAnsi="宋体" w:cs="宋体"/>
          <w:szCs w:val="21"/>
          <w:u w:val="single"/>
        </w:rPr>
        <w:t>60</w:t>
      </w:r>
      <w:r>
        <w:rPr>
          <w:rFonts w:hint="eastAsia" w:ascii="宋体" w:hAnsi="宋体" w:cs="宋体"/>
          <w:szCs w:val="21"/>
        </w:rPr>
        <w:t>万元；采购人不接收高于最高限价的投标报价，投标报价高于最高限价的视为无效标书。</w:t>
      </w:r>
    </w:p>
    <w:p>
      <w:pPr>
        <w:spacing w:line="276" w:lineRule="auto"/>
        <w:ind w:firstLine="420" w:firstLineChars="200"/>
        <w:jc w:val="left"/>
        <w:rPr>
          <w:rFonts w:ascii="宋体" w:hAnsi="宋体" w:cs="宋体"/>
          <w:szCs w:val="21"/>
        </w:rPr>
      </w:pPr>
      <w:bookmarkStart w:id="16" w:name="_Toc6317"/>
      <w:r>
        <w:rPr>
          <w:rFonts w:ascii="宋体" w:hAnsi="宋体" w:cs="宋体"/>
          <w:szCs w:val="21"/>
        </w:rPr>
        <w:t>4</w:t>
      </w:r>
      <w:r>
        <w:rPr>
          <w:rFonts w:hint="eastAsia" w:ascii="宋体" w:hAnsi="宋体" w:cs="宋体"/>
          <w:szCs w:val="21"/>
        </w:rPr>
        <w:t>.采购方式：竞争性磋商</w:t>
      </w:r>
      <w:bookmarkEnd w:id="16"/>
    </w:p>
    <w:p>
      <w:pPr>
        <w:spacing w:line="276" w:lineRule="auto"/>
        <w:ind w:firstLine="417" w:firstLineChars="199"/>
        <w:jc w:val="left"/>
        <w:rPr>
          <w:rFonts w:ascii="宋体" w:hAnsi="宋体" w:cs="宋体"/>
          <w:szCs w:val="21"/>
        </w:rPr>
      </w:pPr>
      <w:r>
        <w:rPr>
          <w:rFonts w:ascii="宋体" w:hAnsi="宋体" w:cs="宋体"/>
          <w:szCs w:val="21"/>
        </w:rPr>
        <w:t>5</w:t>
      </w:r>
      <w:r>
        <w:rPr>
          <w:rFonts w:hint="eastAsia" w:ascii="宋体" w:hAnsi="宋体" w:cs="宋体"/>
          <w:szCs w:val="21"/>
        </w:rPr>
        <w:t>.采购需求：本项目为司法鉴定所法医物证鉴定实验室改造项目，建筑面积约106平米。改造内容包含实验室原有墙、顶、地面、家具拆除；新建洁净保温围护结构、电气、暖通、给排水等二次深化设计及施工安装。具体项目内容详见技术要求。原实验环境中的家具需要保护性拆除，部分家具需要利旧安装，</w:t>
      </w:r>
      <w:r>
        <w:rPr>
          <w:rFonts w:hint="eastAsia" w:ascii="宋体" w:hAnsi="宋体" w:cs="宋体"/>
          <w:b/>
          <w:bCs/>
          <w:szCs w:val="21"/>
        </w:rPr>
        <w:t>详见磋商文件需求部分及工程量清单等。</w:t>
      </w:r>
    </w:p>
    <w:p>
      <w:pPr>
        <w:spacing w:line="276"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.工程保修期：</w:t>
      </w:r>
      <w:r>
        <w:rPr>
          <w:rFonts w:hint="eastAsia" w:ascii="宋体" w:hAnsi="宋体" w:cs="宋体"/>
          <w:szCs w:val="21"/>
          <w:u w:val="single"/>
        </w:rPr>
        <w:t>贰年</w:t>
      </w:r>
      <w:r>
        <w:rPr>
          <w:rFonts w:hint="eastAsia" w:ascii="宋体" w:hAnsi="宋体" w:cs="宋体"/>
          <w:szCs w:val="21"/>
        </w:rPr>
        <w:t>（质保期自验收合格之日起算）。</w:t>
      </w:r>
    </w:p>
    <w:p>
      <w:pPr>
        <w:spacing w:line="276" w:lineRule="auto"/>
        <w:ind w:firstLine="420" w:firstLineChars="200"/>
        <w:rPr>
          <w:rFonts w:hint="eastAsia" w:ascii="宋体" w:hAnsi="宋体" w:cs="宋体"/>
          <w:szCs w:val="21"/>
        </w:rPr>
      </w:pPr>
      <w:bookmarkStart w:id="17" w:name="_Toc10205"/>
      <w:r>
        <w:rPr>
          <w:rFonts w:hint="eastAsia" w:ascii="宋体" w:hAnsi="宋体" w:cs="宋体"/>
          <w:szCs w:val="21"/>
        </w:rPr>
        <w:t>7.工程期限：</w:t>
      </w:r>
      <w:bookmarkEnd w:id="17"/>
      <w:r>
        <w:rPr>
          <w:rFonts w:hint="eastAsia" w:ascii="宋体" w:hAnsi="宋体" w:cs="宋体"/>
          <w:szCs w:val="21"/>
        </w:rPr>
        <w:t>合同签订后30天内完成工程建设及设备安装调试。</w:t>
      </w:r>
    </w:p>
    <w:p>
      <w:pPr>
        <w:spacing w:line="276" w:lineRule="auto"/>
        <w:ind w:firstLine="422" w:firstLineChars="200"/>
      </w:pPr>
      <w:r>
        <w:rPr>
          <w:rFonts w:hint="eastAsia" w:ascii="宋体" w:hAnsi="宋体"/>
          <w:b/>
          <w:bCs/>
        </w:rPr>
        <w:t>本项目</w:t>
      </w:r>
      <w:r>
        <w:rPr>
          <w:rFonts w:hint="eastAsia" w:ascii="宋体" w:hAnsi="宋体"/>
          <w:b/>
          <w:bCs/>
          <w:u w:val="single"/>
        </w:rPr>
        <w:t>不接受</w:t>
      </w:r>
      <w:r>
        <w:rPr>
          <w:rFonts w:hint="eastAsia" w:ascii="宋体" w:hAnsi="宋体"/>
          <w:b/>
          <w:bCs/>
        </w:rPr>
        <w:t>联合体投标</w:t>
      </w:r>
      <w:r>
        <w:rPr>
          <w:rFonts w:ascii="宋体" w:hAnsi="宋体"/>
          <w:b/>
          <w:bCs/>
        </w:rPr>
        <w:t>,</w:t>
      </w:r>
      <w:r>
        <w:rPr>
          <w:rFonts w:hint="eastAsia" w:ascii="宋体" w:hAnsi="宋体"/>
          <w:b/>
          <w:bCs/>
        </w:rPr>
        <w:t>不得</w:t>
      </w:r>
      <w:r>
        <w:rPr>
          <w:rFonts w:hint="eastAsia" w:ascii="宋体" w:hAnsi="宋体"/>
          <w:b/>
          <w:bCs/>
          <w:szCs w:val="21"/>
        </w:rPr>
        <w:t>转包、分包本项目。</w:t>
      </w:r>
    </w:p>
    <w:p>
      <w:pPr>
        <w:spacing w:line="276" w:lineRule="auto"/>
        <w:outlineLvl w:val="1"/>
        <w:rPr>
          <w:rFonts w:ascii="宋体" w:hAnsi="宋体" w:cs="宋体"/>
          <w:b/>
        </w:rPr>
      </w:pPr>
      <w:bookmarkStart w:id="18" w:name="_Toc23590"/>
      <w:bookmarkStart w:id="19" w:name="_Toc19951"/>
      <w:bookmarkStart w:id="20" w:name="_Toc16243"/>
      <w:bookmarkStart w:id="21" w:name="_Toc107916279"/>
      <w:bookmarkStart w:id="22" w:name="_Toc8548"/>
      <w:r>
        <w:rPr>
          <w:rFonts w:hint="eastAsia" w:ascii="宋体" w:hAnsi="宋体" w:cs="宋体"/>
          <w:b/>
        </w:rPr>
        <w:t>二、申请人（</w:t>
      </w:r>
      <w:r>
        <w:rPr>
          <w:rFonts w:hint="eastAsia" w:ascii="宋体" w:hAnsi="宋体" w:cs="宋体"/>
          <w:b/>
          <w:kern w:val="0"/>
          <w:szCs w:val="21"/>
        </w:rPr>
        <w:t>供应商）</w:t>
      </w:r>
      <w:r>
        <w:rPr>
          <w:rFonts w:hint="eastAsia" w:ascii="宋体" w:hAnsi="宋体" w:cs="宋体"/>
          <w:b/>
        </w:rPr>
        <w:t>的资格要求</w:t>
      </w:r>
      <w:r>
        <w:rPr>
          <w:rFonts w:hint="eastAsia" w:ascii="宋体" w:hAnsi="宋体"/>
          <w:b/>
          <w:szCs w:val="21"/>
        </w:rPr>
        <w:t>（具体证明材料见响应文件格式）</w:t>
      </w:r>
      <w:r>
        <w:rPr>
          <w:rFonts w:hint="eastAsia" w:ascii="宋体" w:hAnsi="宋体" w:cs="宋体"/>
          <w:b/>
        </w:rPr>
        <w:t>：</w:t>
      </w:r>
      <w:bookmarkEnd w:id="18"/>
      <w:bookmarkEnd w:id="19"/>
      <w:bookmarkEnd w:id="20"/>
      <w:bookmarkEnd w:id="21"/>
      <w:bookmarkEnd w:id="22"/>
    </w:p>
    <w:p>
      <w:pPr>
        <w:spacing w:line="276" w:lineRule="auto"/>
        <w:ind w:firstLine="420" w:firstLineChars="200"/>
        <w:rPr>
          <w:rFonts w:ascii="宋体" w:hAnsi="宋体" w:cs="宋体"/>
          <w:szCs w:val="21"/>
        </w:rPr>
      </w:pPr>
      <w:r>
        <w:rPr>
          <w:rFonts w:hint="eastAsia" w:ascii="宋体" w:hAnsi="宋体" w:cs="宋体"/>
          <w:szCs w:val="21"/>
        </w:rPr>
        <w:t>1.满足《中华人民共和国政府采购法》第二十二条规定，并提供下列材料：</w:t>
      </w:r>
    </w:p>
    <w:p>
      <w:pPr>
        <w:spacing w:line="276" w:lineRule="auto"/>
        <w:ind w:firstLine="420" w:firstLineChars="200"/>
        <w:rPr>
          <w:rFonts w:ascii="宋体" w:hAnsi="宋体" w:cs="宋体"/>
          <w:szCs w:val="21"/>
        </w:rPr>
      </w:pPr>
      <w:r>
        <w:rPr>
          <w:rFonts w:hint="eastAsia" w:ascii="宋体" w:hAnsi="宋体" w:cs="宋体"/>
          <w:szCs w:val="21"/>
        </w:rPr>
        <w:t>1.1具有独立承担民事责任的能力；</w:t>
      </w:r>
    </w:p>
    <w:p>
      <w:pPr>
        <w:spacing w:line="276" w:lineRule="auto"/>
        <w:ind w:firstLine="420" w:firstLineChars="200"/>
        <w:rPr>
          <w:rFonts w:ascii="宋体" w:hAnsi="宋体" w:cs="宋体"/>
          <w:szCs w:val="21"/>
        </w:rPr>
      </w:pPr>
      <w:r>
        <w:rPr>
          <w:rFonts w:hint="eastAsia" w:ascii="宋体" w:hAnsi="宋体" w:cs="宋体"/>
          <w:szCs w:val="21"/>
        </w:rPr>
        <w:t>1.2具有良好的商业信誉和健全的财务会计制度；</w:t>
      </w:r>
    </w:p>
    <w:p>
      <w:pPr>
        <w:spacing w:line="276" w:lineRule="auto"/>
        <w:ind w:firstLine="420" w:firstLineChars="200"/>
        <w:rPr>
          <w:rFonts w:ascii="宋体" w:hAnsi="宋体" w:cs="宋体"/>
          <w:szCs w:val="21"/>
        </w:rPr>
      </w:pPr>
      <w:r>
        <w:rPr>
          <w:rFonts w:hint="eastAsia" w:ascii="宋体" w:hAnsi="宋体" w:cs="宋体"/>
          <w:szCs w:val="21"/>
        </w:rPr>
        <w:t>1.3具有履行合同所必需的设备和专业技术能力；</w:t>
      </w:r>
    </w:p>
    <w:p>
      <w:pPr>
        <w:spacing w:line="276" w:lineRule="auto"/>
        <w:ind w:firstLine="420" w:firstLineChars="200"/>
        <w:rPr>
          <w:rFonts w:ascii="宋体" w:hAnsi="宋体" w:cs="宋体"/>
          <w:szCs w:val="21"/>
        </w:rPr>
      </w:pPr>
      <w:r>
        <w:rPr>
          <w:rFonts w:hint="eastAsia" w:ascii="宋体" w:hAnsi="宋体" w:cs="宋体"/>
          <w:szCs w:val="21"/>
        </w:rPr>
        <w:t>1.4有依法缴纳税收和社会保障资金的良好记录；</w:t>
      </w:r>
    </w:p>
    <w:p>
      <w:pPr>
        <w:spacing w:line="276" w:lineRule="auto"/>
        <w:ind w:firstLine="420" w:firstLineChars="200"/>
        <w:rPr>
          <w:rFonts w:ascii="宋体" w:hAnsi="宋体" w:cs="宋体"/>
          <w:szCs w:val="21"/>
        </w:rPr>
      </w:pPr>
      <w:r>
        <w:rPr>
          <w:rFonts w:hint="eastAsia" w:ascii="宋体" w:hAnsi="宋体" w:cs="宋体"/>
          <w:szCs w:val="21"/>
        </w:rPr>
        <w:t>1.5参加政府采购活动前三年内，在经营活动中没有重大违法记录。</w:t>
      </w:r>
    </w:p>
    <w:p>
      <w:pPr>
        <w:spacing w:line="276" w:lineRule="auto"/>
        <w:ind w:firstLine="420" w:firstLineChars="200"/>
        <w:rPr>
          <w:rFonts w:ascii="宋体" w:hAnsi="宋体" w:cs="宋体"/>
          <w:szCs w:val="21"/>
        </w:rPr>
      </w:pPr>
      <w:bookmarkStart w:id="23" w:name="_Toc23154"/>
      <w:r>
        <w:rPr>
          <w:rFonts w:hint="eastAsia" w:ascii="宋体" w:hAnsi="宋体" w:cs="宋体"/>
          <w:szCs w:val="21"/>
        </w:rPr>
        <w:t>1.6法律、行政法规规定的其他条件。</w:t>
      </w:r>
      <w:bookmarkEnd w:id="23"/>
    </w:p>
    <w:p>
      <w:pPr>
        <w:spacing w:line="276" w:lineRule="auto"/>
        <w:ind w:firstLine="420" w:firstLineChars="200"/>
        <w:rPr>
          <w:rFonts w:ascii="宋体" w:hAnsi="宋体" w:cs="宋体"/>
          <w:b/>
          <w:bCs/>
          <w:color w:val="auto"/>
          <w:szCs w:val="21"/>
        </w:rPr>
      </w:pPr>
      <w:r>
        <w:rPr>
          <w:rFonts w:hint="eastAsia" w:ascii="宋体" w:hAnsi="宋体" w:cs="宋体"/>
          <w:szCs w:val="21"/>
        </w:rPr>
        <w:t>2.落实政府采购政策需满足的资格要求：</w:t>
      </w:r>
      <w:r>
        <w:rPr>
          <w:rFonts w:hint="eastAsia" w:ascii="宋体" w:hAnsi="宋体" w:cs="宋体"/>
          <w:b/>
          <w:bCs/>
          <w:color w:val="auto"/>
          <w:szCs w:val="21"/>
        </w:rPr>
        <w:t>根据苏财购〔2020〕52号文件精神，本项目专门面向中小企业采购。中小企业划分标准见《工业和信息化部、国家统计局、国家发展和改革委员会、财政部关于印发中小企业划型标准规定的通知》（工信部联企业〔2011〕300号）（所属行业：建筑业）。</w:t>
      </w:r>
    </w:p>
    <w:p>
      <w:pPr>
        <w:widowControl/>
        <w:spacing w:line="360" w:lineRule="auto"/>
        <w:ind w:firstLine="472" w:firstLineChars="225"/>
        <w:jc w:val="left"/>
        <w:rPr>
          <w:rFonts w:ascii="宋体" w:hAnsi="宋体"/>
          <w:color w:val="auto"/>
          <w:szCs w:val="21"/>
        </w:rPr>
      </w:pPr>
      <w:r>
        <w:rPr>
          <w:rFonts w:hint="eastAsia" w:ascii="宋体" w:hAnsi="宋体"/>
          <w:color w:val="auto"/>
          <w:szCs w:val="21"/>
        </w:rPr>
        <w:t>3.本项目的特定资格要求：</w:t>
      </w:r>
    </w:p>
    <w:p>
      <w:pPr>
        <w:spacing w:line="276" w:lineRule="auto"/>
        <w:ind w:firstLine="422" w:firstLineChars="200"/>
        <w:rPr>
          <w:rFonts w:ascii="宋体" w:hAnsi="宋体" w:cs="宋体"/>
          <w:b/>
          <w:bCs/>
          <w:color w:val="auto"/>
          <w:szCs w:val="21"/>
        </w:rPr>
      </w:pPr>
      <w:r>
        <w:rPr>
          <w:rFonts w:hint="eastAsia" w:ascii="宋体" w:hAnsi="宋体" w:cs="宋体"/>
          <w:b/>
          <w:bCs/>
          <w:color w:val="auto"/>
          <w:szCs w:val="21"/>
        </w:rPr>
        <w:t>3.1具有建设行政主管部门核发的建筑机电安装专业承包资质</w:t>
      </w:r>
      <w:r>
        <w:rPr>
          <w:rFonts w:hint="eastAsia" w:ascii="宋体" w:hAnsi="宋体" w:cs="宋体"/>
          <w:b/>
          <w:bCs/>
          <w:color w:val="auto"/>
          <w:szCs w:val="21"/>
          <w:lang w:eastAsia="zh-CN"/>
        </w:rPr>
        <w:t>三</w:t>
      </w:r>
      <w:r>
        <w:rPr>
          <w:rFonts w:hint="eastAsia" w:ascii="宋体" w:hAnsi="宋体" w:cs="宋体"/>
          <w:b/>
          <w:bCs/>
          <w:color w:val="auto"/>
          <w:szCs w:val="21"/>
        </w:rPr>
        <w:t>级及以上资质</w:t>
      </w:r>
      <w:r>
        <w:rPr>
          <w:rFonts w:ascii="宋体" w:hAnsi="宋体" w:cs="宋体"/>
          <w:b/>
          <w:bCs/>
          <w:color w:val="auto"/>
          <w:szCs w:val="21"/>
        </w:rPr>
        <w:t>，并具有</w:t>
      </w:r>
      <w:r>
        <w:rPr>
          <w:rFonts w:hint="eastAsia" w:ascii="宋体" w:hAnsi="宋体" w:cs="宋体"/>
          <w:b/>
          <w:bCs/>
          <w:color w:val="auto"/>
          <w:szCs w:val="21"/>
        </w:rPr>
        <w:t>有效期内</w:t>
      </w:r>
      <w:r>
        <w:rPr>
          <w:rFonts w:ascii="宋体" w:hAnsi="宋体" w:cs="宋体"/>
          <w:b/>
          <w:bCs/>
          <w:color w:val="auto"/>
          <w:szCs w:val="21"/>
        </w:rPr>
        <w:t>安全生产许可证</w:t>
      </w:r>
      <w:r>
        <w:rPr>
          <w:rFonts w:hint="eastAsia" w:ascii="宋体" w:hAnsi="宋体" w:cs="宋体"/>
          <w:b/>
          <w:bCs/>
          <w:color w:val="auto"/>
          <w:szCs w:val="21"/>
        </w:rPr>
        <w:t>；</w:t>
      </w:r>
    </w:p>
    <w:p>
      <w:pPr>
        <w:spacing w:line="276" w:lineRule="auto"/>
        <w:ind w:firstLine="422" w:firstLineChars="200"/>
        <w:rPr>
          <w:rFonts w:ascii="宋体" w:hAnsi="宋体"/>
          <w:color w:val="auto"/>
          <w:szCs w:val="21"/>
        </w:rPr>
      </w:pPr>
      <w:r>
        <w:rPr>
          <w:rFonts w:hint="eastAsia" w:ascii="宋体" w:hAnsi="宋体" w:cs="宋体"/>
          <w:b/>
          <w:bCs/>
          <w:color w:val="auto"/>
          <w:szCs w:val="21"/>
        </w:rPr>
        <w:t>3.2项目负责人资格要求：建筑工程注册建造师二级或机电工程专业注册建造师二级，并具有安全生产考核合格证(B证)，且无在建工程；拟派项目负责人须为在职职工（在职职工不包括离、退休返聘人员），须提供近三个月以来任意一个月为其缴纳的社保证明。</w:t>
      </w:r>
    </w:p>
    <w:p>
      <w:pPr>
        <w:spacing w:line="276" w:lineRule="auto"/>
        <w:ind w:firstLine="422" w:firstLineChars="200"/>
        <w:jc w:val="left"/>
        <w:outlineLvl w:val="1"/>
        <w:rPr>
          <w:rFonts w:ascii="宋体" w:hAnsi="宋体" w:cs="宋体"/>
          <w:b/>
        </w:rPr>
      </w:pPr>
      <w:bookmarkStart w:id="24" w:name="_Toc8281"/>
      <w:bookmarkStart w:id="25" w:name="_Toc3080"/>
      <w:r>
        <w:rPr>
          <w:rFonts w:hint="eastAsia" w:ascii="宋体" w:hAnsi="宋体" w:cs="宋体"/>
          <w:b/>
        </w:rPr>
        <w:t>三、获取采购文件</w:t>
      </w:r>
      <w:bookmarkEnd w:id="11"/>
      <w:bookmarkEnd w:id="12"/>
      <w:bookmarkEnd w:id="13"/>
      <w:bookmarkEnd w:id="14"/>
      <w:bookmarkEnd w:id="24"/>
      <w:bookmarkEnd w:id="25"/>
    </w:p>
    <w:p>
      <w:pPr>
        <w:spacing w:line="276" w:lineRule="auto"/>
        <w:ind w:firstLine="422" w:firstLineChars="200"/>
        <w:rPr>
          <w:rFonts w:ascii="宋体" w:hAnsi="宋体" w:cs="宋体"/>
          <w:u w:val="single"/>
        </w:rPr>
      </w:pPr>
      <w:r>
        <w:rPr>
          <w:rFonts w:hint="eastAsia" w:ascii="宋体" w:hAnsi="宋体" w:cs="宋体"/>
          <w:b/>
          <w:bCs/>
          <w:u w:val="single"/>
        </w:rPr>
        <w:t>时间：2023年</w:t>
      </w:r>
      <w:r>
        <w:rPr>
          <w:rFonts w:hint="eastAsia" w:ascii="宋体" w:hAnsi="宋体" w:cs="宋体"/>
          <w:b/>
          <w:bCs/>
          <w:u w:val="single"/>
          <w:lang w:val="en-US" w:eastAsia="zh-CN"/>
        </w:rPr>
        <w:t>8</w:t>
      </w:r>
      <w:r>
        <w:rPr>
          <w:rFonts w:hint="eastAsia" w:ascii="宋体" w:hAnsi="宋体" w:cs="宋体"/>
          <w:b/>
          <w:bCs/>
          <w:u w:val="single"/>
        </w:rPr>
        <w:t>月</w:t>
      </w:r>
      <w:r>
        <w:rPr>
          <w:rFonts w:hint="eastAsia" w:ascii="宋体" w:hAnsi="宋体" w:cs="宋体"/>
          <w:b/>
          <w:bCs/>
          <w:u w:val="single"/>
          <w:lang w:val="en-US" w:eastAsia="zh-CN"/>
        </w:rPr>
        <w:t>07</w:t>
      </w:r>
      <w:r>
        <w:rPr>
          <w:rFonts w:hint="eastAsia" w:ascii="宋体" w:hAnsi="宋体" w:cs="宋体"/>
          <w:b/>
          <w:bCs/>
          <w:u w:val="single"/>
        </w:rPr>
        <w:t>日至2023年</w:t>
      </w:r>
      <w:r>
        <w:rPr>
          <w:rFonts w:hint="eastAsia" w:ascii="宋体" w:hAnsi="宋体" w:cs="宋体"/>
          <w:b/>
          <w:bCs/>
          <w:u w:val="single"/>
          <w:lang w:val="en-US" w:eastAsia="zh-CN"/>
        </w:rPr>
        <w:t>8</w:t>
      </w:r>
      <w:r>
        <w:rPr>
          <w:rFonts w:hint="eastAsia" w:ascii="宋体" w:hAnsi="宋体" w:cs="宋体"/>
          <w:b/>
          <w:bCs/>
          <w:u w:val="single"/>
        </w:rPr>
        <w:t>月</w:t>
      </w:r>
      <w:r>
        <w:rPr>
          <w:rFonts w:hint="eastAsia" w:ascii="宋体" w:hAnsi="宋体" w:cs="宋体"/>
          <w:b/>
          <w:bCs/>
          <w:u w:val="single"/>
          <w:lang w:val="en-US" w:eastAsia="zh-CN"/>
        </w:rPr>
        <w:t>11</w:t>
      </w:r>
      <w:r>
        <w:rPr>
          <w:rFonts w:hint="eastAsia" w:ascii="宋体" w:hAnsi="宋体" w:cs="宋体"/>
          <w:b/>
          <w:bCs/>
          <w:u w:val="single"/>
        </w:rPr>
        <w:t>日</w:t>
      </w:r>
      <w:r>
        <w:rPr>
          <w:rFonts w:hint="eastAsia" w:ascii="宋体" w:hAnsi="宋体" w:cs="宋体"/>
          <w:b/>
          <w:bCs/>
          <w:szCs w:val="21"/>
          <w:u w:val="single"/>
        </w:rPr>
        <w:t>（发售时间每个工作日的9时至12时，15时至18时）</w:t>
      </w:r>
    </w:p>
    <w:p>
      <w:pPr>
        <w:spacing w:line="276" w:lineRule="auto"/>
        <w:ind w:firstLine="420" w:firstLineChars="200"/>
        <w:rPr>
          <w:rFonts w:ascii="宋体" w:hAnsi="宋体" w:cs="宋体"/>
          <w:u w:val="single"/>
        </w:rPr>
      </w:pPr>
      <w:r>
        <w:rPr>
          <w:rFonts w:hint="eastAsia" w:ascii="宋体" w:hAnsi="宋体" w:cs="宋体"/>
          <w:u w:val="single"/>
        </w:rPr>
        <w:t>地点：</w:t>
      </w:r>
      <w:r>
        <w:rPr>
          <w:rFonts w:hint="eastAsia" w:ascii="宋体" w:hAnsi="宋体"/>
          <w:szCs w:val="21"/>
          <w:u w:val="single"/>
        </w:rPr>
        <w:t>盐城市府西路华邦国际西厦A区（东）302室</w:t>
      </w:r>
    </w:p>
    <w:p>
      <w:pPr>
        <w:spacing w:line="276" w:lineRule="auto"/>
        <w:ind w:firstLine="422" w:firstLineChars="200"/>
        <w:rPr>
          <w:rFonts w:ascii="宋体" w:hAnsi="宋体" w:cs="宋体"/>
          <w:szCs w:val="21"/>
        </w:rPr>
      </w:pPr>
      <w:bookmarkStart w:id="26" w:name="_Toc28359015"/>
      <w:bookmarkStart w:id="27" w:name="_Toc28359092"/>
      <w:bookmarkStart w:id="28" w:name="_Toc35393801"/>
      <w:bookmarkStart w:id="29" w:name="_Toc35393632"/>
      <w:r>
        <w:rPr>
          <w:rFonts w:hint="eastAsia" w:ascii="宋体" w:hAnsi="宋体" w:cs="宋体"/>
          <w:b/>
          <w:bCs/>
          <w:szCs w:val="21"/>
        </w:rPr>
        <w:t>方式：现场发售</w:t>
      </w:r>
      <w:r>
        <w:rPr>
          <w:rFonts w:hint="eastAsia" w:ascii="宋体" w:hAnsi="宋体" w:cs="宋体"/>
          <w:szCs w:val="21"/>
        </w:rPr>
        <w:t>；投标人凭加盖公章的《供应商联系信息表》（见公告附件）、营业执照（复印件即可）到携手阳光公司领购（地址见本公告。注:未领购的任何单位或个人没有参与权以及相关知情权）</w:t>
      </w:r>
    </w:p>
    <w:p>
      <w:pPr>
        <w:spacing w:line="276" w:lineRule="auto"/>
        <w:ind w:firstLine="420" w:firstLineChars="200"/>
        <w:rPr>
          <w:rFonts w:ascii="宋体" w:hAnsi="宋体"/>
          <w:szCs w:val="21"/>
        </w:rPr>
      </w:pPr>
      <w:r>
        <w:rPr>
          <w:rFonts w:hint="eastAsia" w:ascii="宋体" w:hAnsi="宋体"/>
          <w:szCs w:val="21"/>
        </w:rPr>
        <w:t>售价：</w:t>
      </w:r>
      <w:r>
        <w:rPr>
          <w:rFonts w:hint="eastAsia" w:ascii="宋体" w:hAnsi="宋体"/>
          <w:szCs w:val="21"/>
          <w:lang w:val="en-US" w:eastAsia="zh-CN"/>
        </w:rPr>
        <w:t>5</w:t>
      </w:r>
      <w:r>
        <w:rPr>
          <w:rFonts w:hint="eastAsia" w:ascii="宋体" w:hAnsi="宋体"/>
          <w:szCs w:val="21"/>
        </w:rPr>
        <w:t>00元，售后不退；交纳方式：现金、支付宝（18662096009）等</w:t>
      </w:r>
    </w:p>
    <w:bookmarkEnd w:id="26"/>
    <w:bookmarkEnd w:id="27"/>
    <w:bookmarkEnd w:id="28"/>
    <w:bookmarkEnd w:id="29"/>
    <w:p>
      <w:pPr>
        <w:spacing w:line="276" w:lineRule="auto"/>
        <w:outlineLvl w:val="1"/>
        <w:rPr>
          <w:rFonts w:ascii="宋体" w:hAnsi="宋体"/>
          <w:b/>
          <w:szCs w:val="22"/>
        </w:rPr>
      </w:pPr>
      <w:bookmarkStart w:id="30" w:name="_Toc28359082"/>
      <w:bookmarkStart w:id="31" w:name="_Toc28359005"/>
      <w:bookmarkStart w:id="32" w:name="_Toc14338"/>
      <w:bookmarkStart w:id="33" w:name="_Toc35393793"/>
      <w:bookmarkStart w:id="34" w:name="_Toc35393624"/>
      <w:bookmarkStart w:id="35" w:name="_Toc28462"/>
      <w:bookmarkStart w:id="36" w:name="_Toc28359093"/>
      <w:bookmarkStart w:id="37" w:name="_Toc28359016"/>
      <w:bookmarkStart w:id="38" w:name="_Toc35393633"/>
      <w:bookmarkStart w:id="39" w:name="_Toc35393802"/>
      <w:bookmarkStart w:id="40" w:name="_Toc35393626"/>
      <w:bookmarkStart w:id="41" w:name="_Toc35393795"/>
      <w:bookmarkStart w:id="42" w:name="_Toc35393804"/>
      <w:bookmarkStart w:id="43" w:name="_Toc35393635"/>
      <w:r>
        <w:rPr>
          <w:rFonts w:hint="eastAsia" w:ascii="宋体" w:hAnsi="宋体"/>
          <w:b/>
          <w:szCs w:val="22"/>
        </w:rPr>
        <w:t>四、提交投标文件</w:t>
      </w:r>
      <w:bookmarkEnd w:id="30"/>
      <w:bookmarkEnd w:id="31"/>
      <w:r>
        <w:rPr>
          <w:rFonts w:hint="eastAsia" w:ascii="宋体" w:hAnsi="宋体"/>
          <w:b/>
          <w:szCs w:val="22"/>
        </w:rPr>
        <w:t>截止时间（</w:t>
      </w:r>
      <w:r>
        <w:rPr>
          <w:rFonts w:hint="eastAsia" w:ascii="宋体" w:hAnsi="宋体" w:cs="宋体"/>
          <w:b/>
          <w:kern w:val="0"/>
          <w:szCs w:val="21"/>
        </w:rPr>
        <w:t>投标截止时间）</w:t>
      </w:r>
      <w:r>
        <w:rPr>
          <w:rFonts w:hint="eastAsia" w:ascii="宋体" w:hAnsi="宋体"/>
          <w:b/>
          <w:szCs w:val="22"/>
        </w:rPr>
        <w:t>、开标时间和地点</w:t>
      </w:r>
      <w:bookmarkEnd w:id="32"/>
      <w:bookmarkEnd w:id="33"/>
      <w:bookmarkEnd w:id="34"/>
      <w:bookmarkEnd w:id="35"/>
    </w:p>
    <w:p>
      <w:pPr>
        <w:spacing w:line="276" w:lineRule="auto"/>
        <w:ind w:firstLine="422" w:firstLineChars="200"/>
        <w:rPr>
          <w:rFonts w:ascii="宋体" w:hAnsi="宋体" w:cs="宋体"/>
          <w:b/>
          <w:bCs/>
          <w:u w:val="single"/>
        </w:rPr>
      </w:pPr>
      <w:r>
        <w:rPr>
          <w:rFonts w:hint="eastAsia" w:ascii="宋体" w:hAnsi="宋体" w:cs="宋体"/>
          <w:b/>
          <w:bCs/>
          <w:u w:val="single"/>
        </w:rPr>
        <w:t>时间：2023年</w:t>
      </w:r>
      <w:r>
        <w:rPr>
          <w:rFonts w:hint="eastAsia" w:ascii="宋体" w:hAnsi="宋体" w:cs="宋体"/>
          <w:b/>
          <w:bCs/>
          <w:u w:val="single"/>
          <w:lang w:val="en-US" w:eastAsia="zh-CN"/>
        </w:rPr>
        <w:t>8</w:t>
      </w:r>
      <w:r>
        <w:rPr>
          <w:rFonts w:hint="eastAsia" w:ascii="宋体" w:hAnsi="宋体" w:cs="宋体"/>
          <w:b/>
          <w:bCs/>
          <w:u w:val="single"/>
        </w:rPr>
        <w:t>月</w:t>
      </w:r>
      <w:r>
        <w:rPr>
          <w:rFonts w:hint="eastAsia" w:ascii="宋体" w:hAnsi="宋体" w:cs="宋体"/>
          <w:b/>
          <w:bCs/>
          <w:u w:val="single"/>
          <w:lang w:val="en-US" w:eastAsia="zh-CN"/>
        </w:rPr>
        <w:t>15</w:t>
      </w:r>
      <w:r>
        <w:rPr>
          <w:rFonts w:hint="eastAsia" w:ascii="宋体" w:hAnsi="宋体" w:cs="宋体"/>
          <w:b/>
          <w:bCs/>
          <w:u w:val="single"/>
        </w:rPr>
        <w:t>日</w:t>
      </w:r>
      <w:r>
        <w:rPr>
          <w:rFonts w:hint="eastAsia" w:ascii="宋体" w:hAnsi="宋体" w:cs="宋体"/>
          <w:b/>
          <w:bCs/>
          <w:u w:val="single"/>
          <w:lang w:val="en-US" w:eastAsia="zh-CN"/>
        </w:rPr>
        <w:t>15</w:t>
      </w:r>
      <w:r>
        <w:rPr>
          <w:rFonts w:hint="eastAsia" w:ascii="宋体" w:hAnsi="宋体" w:cs="宋体"/>
          <w:b/>
          <w:bCs/>
          <w:u w:val="single"/>
        </w:rPr>
        <w:t>点</w:t>
      </w:r>
      <w:r>
        <w:rPr>
          <w:rFonts w:hint="eastAsia" w:ascii="宋体" w:hAnsi="宋体" w:cs="宋体"/>
          <w:b/>
          <w:bCs/>
          <w:u w:val="single"/>
          <w:lang w:val="en-US" w:eastAsia="zh-CN"/>
        </w:rPr>
        <w:t>00</w:t>
      </w:r>
      <w:r>
        <w:rPr>
          <w:rFonts w:hint="eastAsia" w:ascii="宋体" w:hAnsi="宋体" w:cs="宋体"/>
          <w:b/>
          <w:bCs/>
          <w:u w:val="single"/>
        </w:rPr>
        <w:t>分（北京时间）（逾期送达的为无效文件）</w:t>
      </w:r>
    </w:p>
    <w:p>
      <w:pPr>
        <w:spacing w:line="276" w:lineRule="auto"/>
        <w:ind w:firstLine="422" w:firstLineChars="200"/>
        <w:outlineLvl w:val="1"/>
        <w:rPr>
          <w:rFonts w:asciiTheme="minorEastAsia" w:hAnsiTheme="minorEastAsia" w:eastAsiaTheme="minorEastAsia" w:cstheme="minorEastAsia"/>
          <w:szCs w:val="21"/>
        </w:rPr>
      </w:pPr>
      <w:bookmarkStart w:id="44" w:name="_Toc3784"/>
      <w:bookmarkStart w:id="45" w:name="_Toc24400"/>
      <w:r>
        <w:rPr>
          <w:rFonts w:hint="eastAsia" w:ascii="宋体" w:hAnsi="宋体" w:cs="宋体"/>
          <w:b/>
          <w:bCs/>
          <w:u w:val="single"/>
        </w:rPr>
        <w:t>地点：盐城市府西路华邦国际西厦A区（东）302室</w:t>
      </w:r>
      <w:r>
        <w:rPr>
          <w:rFonts w:hint="eastAsia" w:ascii="宋体" w:hAnsi="宋体" w:cs="宋体"/>
          <w:b/>
          <w:bCs/>
          <w:u w:val="single"/>
          <w:lang w:eastAsia="zh-CN"/>
        </w:rPr>
        <w:t>。</w:t>
      </w:r>
      <w:bookmarkEnd w:id="44"/>
    </w:p>
    <w:p>
      <w:pPr>
        <w:numPr>
          <w:ilvl w:val="0"/>
          <w:numId w:val="2"/>
        </w:numPr>
        <w:spacing w:line="276" w:lineRule="auto"/>
        <w:outlineLvl w:val="1"/>
        <w:rPr>
          <w:rFonts w:ascii="宋体" w:hAnsi="宋体" w:cs="宋体"/>
          <w:b/>
          <w:u w:val="single"/>
        </w:rPr>
      </w:pPr>
      <w:bookmarkStart w:id="46" w:name="_Toc32283"/>
      <w:r>
        <w:rPr>
          <w:rFonts w:hint="eastAsia" w:ascii="宋体" w:hAnsi="宋体" w:cs="宋体"/>
          <w:b/>
          <w:bCs/>
          <w:u w:val="single"/>
        </w:rPr>
        <w:t>开启</w:t>
      </w:r>
      <w:bookmarkEnd w:id="36"/>
      <w:bookmarkEnd w:id="37"/>
      <w:bookmarkEnd w:id="38"/>
      <w:bookmarkEnd w:id="39"/>
      <w:r>
        <w:rPr>
          <w:rFonts w:hint="eastAsia" w:ascii="宋体" w:hAnsi="宋体" w:cs="宋体"/>
          <w:b/>
          <w:bCs/>
          <w:u w:val="single"/>
        </w:rPr>
        <w:t>时间：2</w:t>
      </w:r>
      <w:r>
        <w:rPr>
          <w:rFonts w:hint="eastAsia" w:ascii="宋体" w:hAnsi="宋体" w:cs="宋体"/>
          <w:b/>
          <w:u w:val="single"/>
        </w:rPr>
        <w:t>023年</w:t>
      </w:r>
      <w:r>
        <w:rPr>
          <w:rFonts w:hint="eastAsia" w:ascii="宋体" w:hAnsi="宋体" w:cs="宋体"/>
          <w:b/>
          <w:u w:val="single"/>
          <w:lang w:val="en-US" w:eastAsia="zh-CN"/>
        </w:rPr>
        <w:t>8</w:t>
      </w:r>
      <w:r>
        <w:rPr>
          <w:rFonts w:hint="eastAsia" w:ascii="宋体" w:hAnsi="宋体" w:cs="宋体"/>
          <w:b/>
          <w:u w:val="single"/>
        </w:rPr>
        <w:t>月</w:t>
      </w:r>
      <w:r>
        <w:rPr>
          <w:rFonts w:hint="eastAsia" w:ascii="宋体" w:hAnsi="宋体" w:cs="宋体"/>
          <w:b/>
          <w:u w:val="single"/>
          <w:lang w:val="en-US" w:eastAsia="zh-CN"/>
        </w:rPr>
        <w:t>15</w:t>
      </w:r>
      <w:r>
        <w:rPr>
          <w:rFonts w:hint="eastAsia" w:ascii="宋体" w:hAnsi="宋体" w:cs="宋体"/>
          <w:b/>
          <w:u w:val="single"/>
        </w:rPr>
        <w:t>日</w:t>
      </w:r>
      <w:r>
        <w:rPr>
          <w:rFonts w:hint="eastAsia" w:ascii="宋体" w:hAnsi="宋体" w:cs="宋体"/>
          <w:b/>
          <w:u w:val="single"/>
          <w:lang w:val="en-US" w:eastAsia="zh-CN"/>
        </w:rPr>
        <w:t>15</w:t>
      </w:r>
      <w:r>
        <w:rPr>
          <w:rFonts w:hint="eastAsia" w:ascii="宋体" w:hAnsi="宋体" w:cs="宋体"/>
          <w:b/>
          <w:u w:val="single"/>
        </w:rPr>
        <w:t>点</w:t>
      </w:r>
      <w:r>
        <w:rPr>
          <w:rFonts w:hint="eastAsia" w:ascii="宋体" w:hAnsi="宋体" w:cs="宋体"/>
          <w:b/>
          <w:u w:val="single"/>
          <w:lang w:val="en-US" w:eastAsia="zh-CN"/>
        </w:rPr>
        <w:t>00</w:t>
      </w:r>
      <w:r>
        <w:rPr>
          <w:rFonts w:hint="eastAsia" w:ascii="宋体" w:hAnsi="宋体" w:cs="宋体"/>
          <w:b/>
          <w:u w:val="single"/>
        </w:rPr>
        <w:t>分</w:t>
      </w:r>
      <w:r>
        <w:rPr>
          <w:rFonts w:hint="eastAsia" w:ascii="宋体" w:hAnsi="宋体" w:cs="宋体"/>
          <w:b/>
          <w:bCs/>
          <w:u w:val="single"/>
        </w:rPr>
        <w:t>（北京时间）</w:t>
      </w:r>
      <w:r>
        <w:rPr>
          <w:rFonts w:hint="eastAsia" w:ascii="宋体" w:hAnsi="宋体" w:cs="宋体"/>
          <w:b/>
          <w:u w:val="single"/>
        </w:rPr>
        <w:t>（逾期送达的为无效文件）</w:t>
      </w:r>
      <w:bookmarkEnd w:id="45"/>
      <w:bookmarkEnd w:id="46"/>
    </w:p>
    <w:p>
      <w:pPr>
        <w:spacing w:line="276" w:lineRule="auto"/>
        <w:ind w:firstLine="422" w:firstLineChars="200"/>
        <w:outlineLvl w:val="1"/>
        <w:rPr>
          <w:rFonts w:hint="eastAsia" w:ascii="宋体" w:hAnsi="宋体" w:eastAsia="宋体" w:cs="宋体"/>
          <w:b/>
          <w:bCs/>
          <w:u w:val="single"/>
          <w:lang w:eastAsia="zh-CN"/>
        </w:rPr>
      </w:pPr>
      <w:bookmarkStart w:id="47" w:name="_Toc11883"/>
      <w:r>
        <w:rPr>
          <w:rFonts w:hint="eastAsia" w:ascii="宋体" w:hAnsi="宋体" w:cs="宋体"/>
          <w:b/>
          <w:bCs/>
          <w:u w:val="single"/>
        </w:rPr>
        <w:t>地</w:t>
      </w:r>
      <w:r>
        <w:rPr>
          <w:rFonts w:hint="eastAsia" w:ascii="宋体" w:hAnsi="宋体" w:cs="宋体"/>
          <w:b/>
          <w:u w:val="single"/>
        </w:rPr>
        <w:t>点：盐城市府西路华邦国际西厦A区（东）302室</w:t>
      </w:r>
      <w:r>
        <w:rPr>
          <w:rFonts w:hint="eastAsia" w:ascii="宋体" w:hAnsi="宋体" w:cs="宋体"/>
          <w:b/>
          <w:u w:val="single"/>
          <w:lang w:eastAsia="zh-CN"/>
        </w:rPr>
        <w:t>。</w:t>
      </w:r>
      <w:bookmarkEnd w:id="47"/>
    </w:p>
    <w:p>
      <w:pPr>
        <w:spacing w:line="336" w:lineRule="auto"/>
        <w:rPr>
          <w:rFonts w:ascii="宋体" w:hAnsi="宋体"/>
          <w:b/>
          <w:bCs/>
          <w:szCs w:val="21"/>
        </w:rPr>
      </w:pPr>
      <w:r>
        <w:rPr>
          <w:rFonts w:hint="eastAsia" w:ascii="宋体" w:hAnsi="宋体" w:cs="宋体"/>
          <w:b/>
        </w:rPr>
        <w:t>六、</w:t>
      </w:r>
      <w:r>
        <w:rPr>
          <w:rFonts w:hint="eastAsia" w:ascii="宋体" w:hAnsi="宋体"/>
          <w:b/>
          <w:bCs/>
          <w:szCs w:val="21"/>
        </w:rPr>
        <w:t>保证金（磋商保证金）</w:t>
      </w:r>
    </w:p>
    <w:p>
      <w:pPr>
        <w:spacing w:line="336" w:lineRule="auto"/>
        <w:ind w:firstLine="422" w:firstLineChars="200"/>
        <w:rPr>
          <w:b/>
          <w:bCs/>
        </w:rPr>
      </w:pPr>
      <w:r>
        <w:rPr>
          <w:rFonts w:hint="eastAsia" w:ascii="宋体" w:hAnsi="宋体" w:cs="宋体"/>
          <w:b/>
          <w:bCs/>
          <w:szCs w:val="21"/>
          <w:shd w:val="clear" w:color="auto" w:fill="FFFFFF"/>
        </w:rPr>
        <w:t>保证金数额：</w:t>
      </w:r>
      <w:r>
        <w:rPr>
          <w:rFonts w:hint="eastAsia" w:ascii="宋体" w:hAnsi="宋体" w:cs="宋体"/>
          <w:b/>
          <w:bCs/>
          <w:szCs w:val="21"/>
          <w:u w:val="single"/>
          <w:shd w:val="clear" w:color="auto" w:fill="FFFFFF"/>
        </w:rPr>
        <w:t>1万元</w:t>
      </w:r>
      <w:r>
        <w:rPr>
          <w:rFonts w:hint="eastAsia" w:ascii="宋体" w:hAnsi="宋体" w:cs="宋体"/>
          <w:b/>
          <w:bCs/>
          <w:szCs w:val="21"/>
          <w:shd w:val="clear" w:color="auto" w:fill="FFFFFF"/>
        </w:rPr>
        <w:t>；</w:t>
      </w:r>
      <w:r>
        <w:rPr>
          <w:rFonts w:hint="eastAsia" w:ascii="宋体" w:hAnsi="宋体" w:cs="宋体"/>
          <w:kern w:val="0"/>
        </w:rPr>
        <w:t>【</w:t>
      </w:r>
      <w:r>
        <w:rPr>
          <w:rFonts w:hint="eastAsia" w:ascii="宋体" w:hAnsi="宋体" w:cs="宋体"/>
          <w:b/>
          <w:bCs/>
          <w:szCs w:val="21"/>
          <w:shd w:val="clear" w:color="auto" w:fill="FFFFFF"/>
        </w:rPr>
        <w:t>报名截止时间前（建议在获取采购文件时交纳）</w:t>
      </w:r>
      <w:r>
        <w:rPr>
          <w:rFonts w:hint="eastAsia" w:ascii="宋体" w:hAnsi="宋体" w:cs="宋体"/>
          <w:kern w:val="0"/>
        </w:rPr>
        <w:t>】</w:t>
      </w:r>
    </w:p>
    <w:p>
      <w:pPr>
        <w:spacing w:line="336" w:lineRule="auto"/>
        <w:ind w:firstLine="420" w:firstLineChars="200"/>
        <w:rPr>
          <w:rFonts w:ascii="宋体" w:hAnsi="宋体"/>
        </w:rPr>
      </w:pPr>
      <w:r>
        <w:rPr>
          <w:rFonts w:hint="eastAsia" w:ascii="宋体" w:hAnsi="宋体"/>
        </w:rPr>
        <w:t>保证金形式：电汇、转账等非现金方</w:t>
      </w:r>
      <w:r>
        <w:rPr>
          <w:rFonts w:hint="eastAsia" w:ascii="宋体" w:hAnsi="宋体" w:cs="宋体"/>
          <w:kern w:val="0"/>
        </w:rPr>
        <w:t>式</w:t>
      </w:r>
    </w:p>
    <w:p>
      <w:pPr>
        <w:spacing w:line="336" w:lineRule="auto"/>
        <w:ind w:firstLine="420" w:firstLineChars="200"/>
        <w:rPr>
          <w:rFonts w:ascii="宋体" w:hAnsi="宋体"/>
        </w:rPr>
      </w:pPr>
      <w:r>
        <w:rPr>
          <w:rFonts w:hint="eastAsia" w:ascii="宋体" w:hAnsi="宋体"/>
        </w:rPr>
        <w:t>保证金收款人：开户名：盐城市携手阳光集中采购代理有限公司</w:t>
      </w:r>
    </w:p>
    <w:p>
      <w:pPr>
        <w:spacing w:line="336" w:lineRule="auto"/>
        <w:ind w:firstLine="420" w:firstLineChars="200"/>
      </w:pPr>
      <w:r>
        <w:rPr>
          <w:rFonts w:hint="eastAsia" w:ascii="宋体" w:hAnsi="宋体"/>
        </w:rPr>
        <w:t>开户行：中国民生银行盐城分行    帐  号：608565566</w:t>
      </w:r>
    </w:p>
    <w:p>
      <w:pPr>
        <w:spacing w:line="276" w:lineRule="auto"/>
        <w:outlineLvl w:val="1"/>
        <w:rPr>
          <w:rFonts w:ascii="宋体" w:hAnsi="宋体" w:cs="宋体"/>
          <w:b/>
          <w:bCs/>
        </w:rPr>
      </w:pPr>
      <w:bookmarkStart w:id="48" w:name="_Toc10386"/>
      <w:bookmarkStart w:id="49" w:name="_Toc24423"/>
      <w:r>
        <w:rPr>
          <w:rFonts w:hint="eastAsia" w:ascii="宋体" w:hAnsi="宋体" w:cs="宋体"/>
          <w:b/>
        </w:rPr>
        <w:t>七、公告期限</w:t>
      </w:r>
      <w:r>
        <w:rPr>
          <w:rFonts w:hint="eastAsia" w:ascii="宋体" w:hAnsi="宋体" w:cs="宋体"/>
          <w:b/>
          <w:bCs/>
        </w:rPr>
        <w:t>：</w:t>
      </w:r>
      <w:bookmarkEnd w:id="48"/>
      <w:bookmarkEnd w:id="49"/>
    </w:p>
    <w:p>
      <w:pPr>
        <w:spacing w:line="276" w:lineRule="auto"/>
        <w:ind w:firstLine="420" w:firstLineChars="200"/>
        <w:rPr>
          <w:rFonts w:ascii="宋体" w:hAnsi="宋体" w:cs="宋体"/>
        </w:rPr>
      </w:pPr>
      <w:r>
        <w:rPr>
          <w:rFonts w:hint="eastAsia" w:ascii="宋体" w:hAnsi="宋体" w:cs="宋体"/>
          <w:kern w:val="0"/>
        </w:rPr>
        <w:t>自本公告发布之日起3个工作日</w:t>
      </w:r>
      <w:r>
        <w:rPr>
          <w:rFonts w:hint="eastAsia" w:ascii="宋体" w:hAnsi="宋体" w:cs="宋体"/>
          <w:color w:val="000000" w:themeColor="text1"/>
          <w:szCs w:val="21"/>
          <w14:textFill>
            <w14:solidFill>
              <w14:schemeClr w14:val="tx1"/>
            </w14:solidFill>
          </w14:textFill>
        </w:rPr>
        <w:t>（“江苏医药职业学院网站”）</w:t>
      </w:r>
    </w:p>
    <w:p>
      <w:pPr>
        <w:spacing w:line="276" w:lineRule="auto"/>
        <w:outlineLvl w:val="1"/>
        <w:rPr>
          <w:rFonts w:ascii="宋体" w:hAnsi="宋体" w:cs="宋体"/>
          <w:b/>
        </w:rPr>
      </w:pPr>
      <w:bookmarkStart w:id="50" w:name="_Toc18186"/>
      <w:bookmarkStart w:id="51" w:name="_Toc22030"/>
      <w:r>
        <w:rPr>
          <w:rFonts w:hint="eastAsia" w:ascii="宋体" w:hAnsi="宋体"/>
          <w:b/>
          <w:bCs/>
        </w:rPr>
        <w:t>八、</w:t>
      </w:r>
      <w:r>
        <w:rPr>
          <w:rFonts w:hint="eastAsia" w:ascii="宋体" w:hAnsi="宋体" w:cs="宋体"/>
          <w:b/>
        </w:rPr>
        <w:t>凡对本次采购提出询问，请按以下方式联系</w:t>
      </w:r>
      <w:bookmarkEnd w:id="50"/>
      <w:bookmarkEnd w:id="51"/>
    </w:p>
    <w:bookmarkEnd w:id="40"/>
    <w:bookmarkEnd w:id="41"/>
    <w:p>
      <w:pPr>
        <w:spacing w:line="276" w:lineRule="auto"/>
        <w:ind w:firstLine="420" w:firstLineChars="200"/>
        <w:rPr>
          <w:rFonts w:ascii="宋体" w:hAnsi="宋体" w:cs="宋体"/>
          <w:szCs w:val="21"/>
        </w:rPr>
      </w:pPr>
      <w:bookmarkStart w:id="52" w:name="_Toc17030"/>
      <w:bookmarkStart w:id="53" w:name="_Toc28359008"/>
      <w:bookmarkStart w:id="54" w:name="_Toc28359085"/>
      <w:bookmarkStart w:id="55" w:name="_Toc35393627"/>
      <w:bookmarkStart w:id="56" w:name="_Toc35393796"/>
      <w:r>
        <w:rPr>
          <w:rFonts w:hint="eastAsia" w:ascii="宋体" w:hAnsi="宋体" w:cs="宋体"/>
          <w:szCs w:val="21"/>
        </w:rPr>
        <w:t>1.项目</w:t>
      </w:r>
      <w:r>
        <w:rPr>
          <w:rFonts w:ascii="宋体" w:hAnsi="宋体" w:cs="宋体"/>
          <w:szCs w:val="21"/>
        </w:rPr>
        <w:t>联系方式</w:t>
      </w:r>
      <w:r>
        <w:rPr>
          <w:rFonts w:hint="eastAsia" w:ascii="宋体" w:hAnsi="宋体" w:cs="宋体"/>
          <w:szCs w:val="21"/>
        </w:rPr>
        <w:t>：</w:t>
      </w:r>
      <w:bookmarkEnd w:id="52"/>
    </w:p>
    <w:p>
      <w:pPr>
        <w:spacing w:line="276"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项目联系人：胡老师；电话：15161973030；</w:t>
      </w:r>
    </w:p>
    <w:p>
      <w:pPr>
        <w:spacing w:line="276" w:lineRule="auto"/>
        <w:ind w:firstLine="420" w:firstLineChars="200"/>
        <w:rPr>
          <w:rFonts w:ascii="宋体" w:hAnsi="宋体" w:cs="宋体"/>
          <w:szCs w:val="21"/>
        </w:rPr>
      </w:pPr>
      <w:bookmarkStart w:id="57" w:name="_Toc11334"/>
      <w:r>
        <w:rPr>
          <w:rFonts w:hint="eastAsia" w:ascii="宋体" w:hAnsi="宋体" w:cs="宋体"/>
          <w:szCs w:val="21"/>
        </w:rPr>
        <w:t>2.采购人信息：江苏医药职业学院；</w:t>
      </w:r>
      <w:bookmarkEnd w:id="57"/>
    </w:p>
    <w:p>
      <w:pPr>
        <w:spacing w:line="276" w:lineRule="auto"/>
        <w:ind w:firstLine="630" w:firstLineChars="300"/>
        <w:rPr>
          <w:rFonts w:ascii="宋体" w:hAnsi="宋体" w:cs="宋体"/>
          <w:szCs w:val="21"/>
        </w:rPr>
      </w:pPr>
      <w:r>
        <w:rPr>
          <w:rFonts w:hint="eastAsia" w:ascii="宋体" w:hAnsi="宋体" w:cs="宋体"/>
          <w:szCs w:val="21"/>
        </w:rPr>
        <w:t>地址：盐城市解放南路283号行政楼208室；（邮编224005）</w:t>
      </w:r>
    </w:p>
    <w:p>
      <w:pPr>
        <w:spacing w:line="276" w:lineRule="auto"/>
        <w:ind w:firstLine="630" w:firstLineChars="300"/>
        <w:rPr>
          <w:rFonts w:ascii="宋体" w:hAnsi="宋体" w:cs="宋体"/>
          <w:szCs w:val="21"/>
        </w:rPr>
      </w:pPr>
      <w:r>
        <w:rPr>
          <w:rFonts w:hint="eastAsia" w:ascii="宋体" w:hAnsi="宋体" w:cs="宋体"/>
          <w:szCs w:val="21"/>
        </w:rPr>
        <w:t>联系方式：刘老师；电话：0515-88550311；</w:t>
      </w:r>
    </w:p>
    <w:p>
      <w:pPr>
        <w:spacing w:line="276" w:lineRule="auto"/>
        <w:ind w:firstLine="420" w:firstLineChars="200"/>
        <w:rPr>
          <w:rFonts w:ascii="宋体" w:hAnsi="宋体"/>
          <w:szCs w:val="21"/>
        </w:rPr>
      </w:pPr>
      <w:bookmarkStart w:id="58" w:name="_Toc16446"/>
      <w:r>
        <w:rPr>
          <w:rFonts w:hint="eastAsia" w:ascii="宋体" w:hAnsi="宋体"/>
          <w:szCs w:val="21"/>
        </w:rPr>
        <w:t>3.</w:t>
      </w:r>
      <w:r>
        <w:rPr>
          <w:rFonts w:hint="eastAsia" w:ascii="宋体" w:hAnsi="宋体" w:cs="宋体"/>
          <w:szCs w:val="21"/>
        </w:rPr>
        <w:t>采购代理机构信息</w:t>
      </w:r>
      <w:r>
        <w:rPr>
          <w:rFonts w:hint="eastAsia" w:ascii="宋体" w:hAnsi="宋体"/>
          <w:szCs w:val="21"/>
        </w:rPr>
        <w:t>：盐城市携手阳光集中采购代理有限公司；</w:t>
      </w:r>
      <w:bookmarkEnd w:id="58"/>
    </w:p>
    <w:p>
      <w:pPr>
        <w:spacing w:line="276" w:lineRule="auto"/>
        <w:ind w:firstLine="630" w:firstLineChars="300"/>
        <w:rPr>
          <w:rFonts w:ascii="宋体" w:hAnsi="宋体"/>
          <w:szCs w:val="21"/>
        </w:rPr>
      </w:pPr>
      <w:r>
        <w:rPr>
          <w:rFonts w:hint="eastAsia" w:ascii="宋体" w:hAnsi="宋体"/>
          <w:szCs w:val="21"/>
        </w:rPr>
        <w:t>联系方式：施工；电话：13270072015；</w:t>
      </w:r>
    </w:p>
    <w:p>
      <w:pPr>
        <w:spacing w:line="276" w:lineRule="auto"/>
        <w:ind w:firstLine="630" w:firstLineChars="300"/>
        <w:rPr>
          <w:rFonts w:ascii="宋体" w:hAnsi="宋体"/>
          <w:szCs w:val="21"/>
          <w:u w:val="single"/>
        </w:rPr>
      </w:pPr>
      <w:r>
        <w:rPr>
          <w:rFonts w:hint="eastAsia" w:ascii="宋体" w:hAnsi="宋体"/>
          <w:bCs/>
        </w:rPr>
        <w:t>邮箱：xsyg005@163.com（邮箱不接受报名）</w:t>
      </w:r>
      <w:r>
        <w:rPr>
          <w:rFonts w:hint="eastAsia" w:ascii="宋体" w:hAnsi="宋体"/>
          <w:bCs/>
          <w:szCs w:val="21"/>
        </w:rPr>
        <w:t>；</w:t>
      </w:r>
    </w:p>
    <w:p>
      <w:pPr>
        <w:spacing w:line="276" w:lineRule="auto"/>
        <w:ind w:firstLine="630" w:firstLineChars="300"/>
        <w:rPr>
          <w:rFonts w:ascii="宋体" w:hAnsi="宋体"/>
          <w:szCs w:val="21"/>
        </w:rPr>
      </w:pPr>
      <w:r>
        <w:rPr>
          <w:rFonts w:hint="eastAsia" w:ascii="宋体" w:hAnsi="宋体"/>
          <w:szCs w:val="21"/>
        </w:rPr>
        <w:t>地址：盐城市府西路华邦国际西厦A区（东）302室（邮编224000）</w:t>
      </w:r>
    </w:p>
    <w:p>
      <w:pPr>
        <w:spacing w:line="276" w:lineRule="auto"/>
        <w:ind w:firstLine="630" w:firstLineChars="300"/>
        <w:rPr>
          <w:rFonts w:ascii="宋体" w:hAnsi="宋体"/>
          <w:szCs w:val="21"/>
        </w:rPr>
      </w:pPr>
      <w:r>
        <w:rPr>
          <w:rFonts w:hint="eastAsia" w:ascii="宋体" w:hAnsi="宋体"/>
          <w:szCs w:val="21"/>
        </w:rPr>
        <w:t>对项目需求部分的询问、质疑请向项目联系人提出，由项目联系人负责答复；对项目采购文件其它部分的询问、质疑向采购代理机构提出。</w:t>
      </w:r>
    </w:p>
    <w:p>
      <w:pPr>
        <w:spacing w:line="276" w:lineRule="auto"/>
        <w:rPr>
          <w:b/>
          <w:bCs/>
          <w:lang w:val="zh-TW"/>
        </w:rPr>
      </w:pPr>
      <w:bookmarkStart w:id="59" w:name="_Toc13469"/>
      <w:r>
        <w:rPr>
          <w:rFonts w:hint="eastAsia" w:ascii="宋体" w:hAnsi="宋体"/>
          <w:b/>
        </w:rPr>
        <w:t>九、其他补充事宜</w:t>
      </w:r>
      <w:bookmarkEnd w:id="59"/>
    </w:p>
    <w:p>
      <w:pPr>
        <w:widowControl/>
        <w:shd w:val="clear" w:color="auto" w:fill="FFFFFF"/>
        <w:spacing w:line="276" w:lineRule="auto"/>
        <w:ind w:firstLine="420"/>
        <w:rPr>
          <w:rFonts w:ascii="微软雅黑" w:hAnsi="微软雅黑" w:eastAsia="微软雅黑" w:cs="微软雅黑"/>
          <w:color w:val="000000" w:themeColor="text1"/>
          <w:szCs w:val="21"/>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本项目鼓励供应商开展信用担保（0515-88285999）、扶持不发达地区等政府采购政策。</w:t>
      </w:r>
    </w:p>
    <w:p>
      <w:pPr>
        <w:widowControl/>
        <w:shd w:val="clear" w:color="auto" w:fill="FFFFFF"/>
        <w:spacing w:line="276"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本项目使用时间：北京时间，24小时制；货币单位：人民币；</w:t>
      </w:r>
      <w:bookmarkEnd w:id="42"/>
      <w:bookmarkEnd w:id="43"/>
      <w:bookmarkEnd w:id="53"/>
      <w:bookmarkEnd w:id="54"/>
      <w:bookmarkEnd w:id="55"/>
      <w:bookmarkEnd w:id="56"/>
    </w:p>
    <w:p>
      <w:pPr>
        <w:spacing w:line="276" w:lineRule="auto"/>
        <w:jc w:val="right"/>
        <w:rPr>
          <w:rFonts w:ascii="宋体" w:hAnsi="宋体" w:cs="宋体"/>
          <w:szCs w:val="21"/>
        </w:rPr>
      </w:pPr>
    </w:p>
    <w:p>
      <w:pPr>
        <w:widowControl/>
        <w:shd w:val="clear" w:color="auto" w:fill="FFFFFF"/>
        <w:spacing w:line="276" w:lineRule="auto"/>
        <w:ind w:firstLine="420"/>
        <w:rPr>
          <w:rFonts w:ascii="宋体" w:hAnsi="宋体" w:cs="宋体"/>
          <w:szCs w:val="21"/>
        </w:rPr>
      </w:pPr>
      <w:r>
        <w:rPr>
          <w:rFonts w:hint="eastAsia" w:ascii="宋体" w:hAnsi="宋体" w:cs="宋体"/>
          <w:color w:val="000000" w:themeColor="text1"/>
          <w:kern w:val="0"/>
          <w:szCs w:val="21"/>
          <w:shd w:val="clear" w:color="auto" w:fill="FFFFFF"/>
          <w14:textFill>
            <w14:solidFill>
              <w14:schemeClr w14:val="tx1"/>
            </w14:solidFill>
          </w14:textFill>
        </w:rPr>
        <w:t>附件：《供应商联系信息表》、《采购需求》</w:t>
      </w:r>
    </w:p>
    <w:p>
      <w:pPr>
        <w:spacing w:line="276" w:lineRule="auto"/>
        <w:jc w:val="both"/>
        <w:rPr>
          <w:rFonts w:hint="eastAsia" w:ascii="宋体" w:hAnsi="宋体" w:cs="宋体"/>
          <w:szCs w:val="21"/>
        </w:rPr>
      </w:pPr>
    </w:p>
    <w:p>
      <w:pPr>
        <w:spacing w:line="276" w:lineRule="auto"/>
        <w:jc w:val="right"/>
        <w:rPr>
          <w:rFonts w:ascii="宋体" w:hAnsi="宋体" w:cs="宋体"/>
          <w:szCs w:val="21"/>
        </w:rPr>
      </w:pPr>
      <w:r>
        <w:rPr>
          <w:rFonts w:hint="eastAsia" w:ascii="宋体" w:hAnsi="宋体" w:cs="宋体"/>
          <w:szCs w:val="21"/>
        </w:rPr>
        <w:t>盐城市携手阳光集中采购代理有限公司</w:t>
      </w:r>
    </w:p>
    <w:p>
      <w:pPr>
        <w:spacing w:line="276" w:lineRule="auto"/>
        <w:ind w:right="840"/>
        <w:jc w:val="right"/>
        <w:rPr>
          <w:rFonts w:ascii="宋体" w:hAnsi="宋体" w:cs="宋体"/>
          <w:szCs w:val="21"/>
        </w:rPr>
      </w:pPr>
      <w:r>
        <w:rPr>
          <w:rFonts w:hint="eastAsia" w:ascii="宋体" w:hAnsi="宋体" w:cs="宋体"/>
          <w:szCs w:val="21"/>
        </w:rPr>
        <w:t>2023年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04</w:t>
      </w:r>
      <w:r>
        <w:rPr>
          <w:rFonts w:hint="eastAsia" w:ascii="宋体" w:hAnsi="宋体" w:cs="宋体"/>
          <w:szCs w:val="21"/>
        </w:rPr>
        <w:t>日</w:t>
      </w:r>
      <w:bookmarkStart w:id="60" w:name="_Toc436038460"/>
      <w:bookmarkStart w:id="61" w:name="_Toc16938518"/>
      <w:bookmarkStart w:id="62" w:name="_Toc436039138"/>
      <w:bookmarkStart w:id="63" w:name="_Toc436018347"/>
      <w:bookmarkStart w:id="64" w:name="_Toc120614213"/>
      <w:bookmarkStart w:id="65" w:name="_Toc403987204"/>
      <w:bookmarkStart w:id="66" w:name="_Toc436038399"/>
      <w:bookmarkStart w:id="67" w:name="_Toc436038552"/>
      <w:bookmarkStart w:id="68" w:name="_Toc513029202"/>
      <w:bookmarkStart w:id="69" w:name="_Toc20823274"/>
    </w:p>
    <w:bookmarkEnd w:id="60"/>
    <w:bookmarkEnd w:id="61"/>
    <w:bookmarkEnd w:id="62"/>
    <w:bookmarkEnd w:id="63"/>
    <w:bookmarkEnd w:id="64"/>
    <w:bookmarkEnd w:id="65"/>
    <w:bookmarkEnd w:id="66"/>
    <w:bookmarkEnd w:id="67"/>
    <w:bookmarkEnd w:id="68"/>
    <w:bookmarkEnd w:id="69"/>
    <w:p>
      <w:pPr>
        <w:spacing w:line="480" w:lineRule="auto"/>
        <w:jc w:val="center"/>
        <w:outlineLvl w:val="0"/>
        <w:rPr>
          <w:rFonts w:ascii="宋体" w:hAnsi="宋体" w:cs="宋体"/>
          <w:b/>
          <w:szCs w:val="28"/>
        </w:rPr>
      </w:pPr>
      <w:r>
        <w:rPr>
          <w:rFonts w:hint="eastAsia"/>
        </w:rPr>
        <w:br w:type="page"/>
      </w:r>
      <w:bookmarkStart w:id="70" w:name="_Toc12165"/>
      <w:bookmarkStart w:id="71" w:name="_Toc31304"/>
      <w:r>
        <w:rPr>
          <w:rFonts w:hint="eastAsia" w:ascii="宋体" w:hAnsi="宋体" w:cs="宋体"/>
          <w:b/>
          <w:sz w:val="32"/>
          <w:szCs w:val="21"/>
        </w:rPr>
        <w:t>第二章  供货商须知</w:t>
      </w:r>
      <w:bookmarkEnd w:id="70"/>
      <w:bookmarkEnd w:id="71"/>
    </w:p>
    <w:p>
      <w:pPr>
        <w:spacing w:line="334" w:lineRule="auto"/>
        <w:jc w:val="center"/>
        <w:rPr>
          <w:rFonts w:ascii="宋体" w:hAnsi="宋体" w:cs="宋体"/>
          <w:b/>
          <w:szCs w:val="21"/>
        </w:rPr>
      </w:pPr>
      <w:r>
        <w:rPr>
          <w:rFonts w:hint="eastAsia" w:ascii="宋体" w:hAnsi="宋体" w:cs="宋体"/>
          <w:b/>
          <w:szCs w:val="21"/>
        </w:rPr>
        <w:t>供应商须知资料表</w:t>
      </w:r>
    </w:p>
    <w:p>
      <w:pPr>
        <w:spacing w:line="334" w:lineRule="auto"/>
        <w:ind w:firstLine="316" w:firstLineChars="150"/>
        <w:rPr>
          <w:rFonts w:ascii="宋体" w:hAnsi="宋体" w:cs="宋体"/>
          <w:b/>
          <w:szCs w:val="21"/>
        </w:rPr>
      </w:pPr>
      <w:r>
        <w:rPr>
          <w:rFonts w:hint="eastAsia" w:ascii="宋体" w:hAnsi="宋体" w:cs="宋体"/>
          <w:b/>
          <w:szCs w:val="21"/>
        </w:rPr>
        <w:t>★本表是本采购项目的具体资料，是对供应商须知的具体补充和修改，如有矛盾，应以本资料表为准。</w:t>
      </w:r>
    </w:p>
    <w:tbl>
      <w:tblPr>
        <w:tblStyle w:val="30"/>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8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9" w:hRule="atLeast"/>
        </w:trPr>
        <w:tc>
          <w:tcPr>
            <w:tcW w:w="1418" w:type="dxa"/>
            <w:vAlign w:val="center"/>
          </w:tcPr>
          <w:p>
            <w:pPr>
              <w:spacing w:line="360" w:lineRule="exact"/>
              <w:jc w:val="center"/>
              <w:rPr>
                <w:rFonts w:asciiTheme="minorEastAsia" w:hAnsiTheme="minorEastAsia" w:eastAsiaTheme="minorEastAsia" w:cstheme="minorEastAsia"/>
                <w:b/>
                <w:szCs w:val="21"/>
              </w:rPr>
            </w:pPr>
            <w:bookmarkStart w:id="72" w:name="_Hlt26954907"/>
            <w:bookmarkEnd w:id="72"/>
            <w:bookmarkStart w:id="73" w:name="_Hlt26954810"/>
            <w:bookmarkEnd w:id="73"/>
            <w:bookmarkStart w:id="74" w:name="_Hlt26954824"/>
            <w:bookmarkEnd w:id="74"/>
            <w:bookmarkStart w:id="75" w:name="_Hlt26670330"/>
            <w:bookmarkEnd w:id="75"/>
            <w:bookmarkStart w:id="76" w:name="_Hlt26668836"/>
            <w:bookmarkEnd w:id="76"/>
            <w:r>
              <w:rPr>
                <w:rFonts w:hint="eastAsia" w:asciiTheme="minorEastAsia" w:hAnsiTheme="minorEastAsia" w:eastAsiaTheme="minorEastAsia" w:cstheme="minorEastAsia"/>
                <w:b/>
                <w:szCs w:val="21"/>
              </w:rPr>
              <w:t>条款号/名称</w:t>
            </w:r>
          </w:p>
        </w:tc>
        <w:tc>
          <w:tcPr>
            <w:tcW w:w="8096" w:type="dxa"/>
            <w:vAlign w:val="center"/>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36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说明</w:t>
            </w:r>
          </w:p>
        </w:tc>
        <w:tc>
          <w:tcPr>
            <w:tcW w:w="8096" w:type="dxa"/>
            <w:vAlign w:val="center"/>
          </w:tcPr>
          <w:p>
            <w:pPr>
              <w:spacing w:line="36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江苏医药职业学院是省卫健委直属全日制公办专科层次普通高等学校。本项目预算未达到现时有效的政府采购的限额标准，同时本项目的采购内容也未列入现时有效的集中采购目录，因此，本项目并不属于政府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适用</w:t>
            </w:r>
          </w:p>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法律</w:t>
            </w:r>
          </w:p>
        </w:tc>
        <w:tc>
          <w:tcPr>
            <w:tcW w:w="8096" w:type="dxa"/>
            <w:vAlign w:val="center"/>
          </w:tcPr>
          <w:p>
            <w:pPr>
              <w:spacing w:line="36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本次采购适用于采购人的内控制度（政府采购限额以下项目）。为规范采购活动，携手阳光公司参照政府采购程序组织本次采购活动。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采购文件</w:t>
            </w:r>
          </w:p>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的约束力</w:t>
            </w:r>
          </w:p>
        </w:tc>
        <w:tc>
          <w:tcPr>
            <w:tcW w:w="8096" w:type="dxa"/>
            <w:vAlign w:val="center"/>
          </w:tcPr>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供应商一旦下载了本采购文件并决定参加磋商，即代表供应商已阅读了本采购文件每一条条款，并接受了本采购文件所有的规定和约束。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36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与供应商</w:t>
            </w:r>
          </w:p>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的联系</w:t>
            </w:r>
          </w:p>
        </w:tc>
        <w:tc>
          <w:tcPr>
            <w:tcW w:w="8096" w:type="dxa"/>
            <w:vAlign w:val="center"/>
          </w:tcPr>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法律法规中规定采购人、采购代理机构须以书面形式通知供应商的，为提高政府采购效率，采购人、携手阳光公司可以</w:t>
            </w:r>
            <w:r>
              <w:rPr>
                <w:rFonts w:hint="eastAsia" w:asciiTheme="minorEastAsia" w:hAnsiTheme="minorEastAsia" w:eastAsiaTheme="minorEastAsia" w:cstheme="minorEastAsia"/>
                <w:bCs/>
                <w:spacing w:val="15"/>
                <w:kern w:val="0"/>
                <w:szCs w:val="21"/>
              </w:rPr>
              <w:t>以电子邮件</w:t>
            </w:r>
            <w:r>
              <w:rPr>
                <w:rFonts w:hint="eastAsia" w:asciiTheme="minorEastAsia" w:hAnsiTheme="minorEastAsia" w:eastAsiaTheme="minorEastAsia" w:cstheme="minorEastAsia"/>
                <w:bCs/>
                <w:szCs w:val="21"/>
              </w:rPr>
              <w:t>方式</w:t>
            </w:r>
            <w:r>
              <w:rPr>
                <w:rFonts w:hint="eastAsia" w:asciiTheme="minorEastAsia" w:hAnsiTheme="minorEastAsia" w:eastAsiaTheme="minorEastAsia" w:cstheme="minorEastAsia"/>
                <w:szCs w:val="21"/>
              </w:rPr>
              <w:t>通知供应商（视为书面形式）。</w:t>
            </w:r>
            <w:r>
              <w:rPr>
                <w:rFonts w:hint="eastAsia" w:asciiTheme="minorEastAsia" w:hAnsiTheme="minorEastAsia" w:eastAsiaTheme="minorEastAsia" w:cstheme="minorEastAsia"/>
                <w:bCs/>
                <w:spacing w:val="15"/>
                <w:kern w:val="0"/>
                <w:szCs w:val="21"/>
              </w:rPr>
              <w:t>本项目采购活动中，</w:t>
            </w:r>
            <w:r>
              <w:rPr>
                <w:rFonts w:hint="eastAsia" w:asciiTheme="minorEastAsia" w:hAnsiTheme="minorEastAsia" w:eastAsiaTheme="minorEastAsia" w:cstheme="minorEastAsia"/>
                <w:szCs w:val="21"/>
              </w:rPr>
              <w:t>携手阳光公司的</w:t>
            </w:r>
            <w:r>
              <w:rPr>
                <w:rFonts w:hint="eastAsia" w:asciiTheme="minorEastAsia" w:hAnsiTheme="minorEastAsia" w:eastAsiaTheme="minorEastAsia" w:cstheme="minorEastAsia"/>
                <w:bCs/>
                <w:spacing w:val="15"/>
                <w:kern w:val="0"/>
                <w:szCs w:val="21"/>
              </w:rPr>
              <w:t>电子邮箱以采购公告为准（下同</w:t>
            </w:r>
            <w:r>
              <w:rPr>
                <w:rFonts w:hint="eastAsia" w:asciiTheme="minorEastAsia" w:hAnsiTheme="minorEastAsia" w:eastAsiaTheme="minorEastAsia" w:cstheme="minor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投标有效期</w:t>
            </w:r>
          </w:p>
        </w:tc>
        <w:tc>
          <w:tcPr>
            <w:tcW w:w="8096" w:type="dxa"/>
            <w:vAlign w:val="center"/>
          </w:tcPr>
          <w:p>
            <w:pPr>
              <w:spacing w:line="360" w:lineRule="exact"/>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投标有效期（磋商响应有效期）：提交响应文件截止之日起</w:t>
            </w:r>
            <w:r>
              <w:rPr>
                <w:rFonts w:hint="eastAsia" w:asciiTheme="minorEastAsia" w:hAnsiTheme="minorEastAsia" w:eastAsiaTheme="minorEastAsia" w:cstheme="minorEastAsia"/>
                <w:szCs w:val="21"/>
                <w:u w:val="single"/>
              </w:rPr>
              <w:t>60个日历日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18" w:type="dxa"/>
            <w:vAlign w:val="center"/>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投标（响应）文件份数</w:t>
            </w:r>
          </w:p>
        </w:tc>
        <w:tc>
          <w:tcPr>
            <w:tcW w:w="8096" w:type="dxa"/>
            <w:vAlign w:val="center"/>
          </w:tcPr>
          <w:p>
            <w:pPr>
              <w:spacing w:line="36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投标（响应）文件：正本：1份、副本：4份（建议正本与副本分开封装）</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除上述文件外，还须递交投标（响应）文件电子文档1份</w:t>
            </w:r>
            <w:r>
              <w:rPr>
                <w:rFonts w:hint="eastAsia" w:asciiTheme="minorEastAsia" w:hAnsiTheme="minorEastAsia" w:eastAsiaTheme="minorEastAsia" w:cstheme="minorEastAsia"/>
                <w:b/>
                <w:bCs/>
                <w:szCs w:val="21"/>
              </w:rPr>
              <w:t>（建议U盘）</w:t>
            </w: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履约保证金</w:t>
            </w:r>
          </w:p>
        </w:tc>
        <w:tc>
          <w:tcPr>
            <w:tcW w:w="8096" w:type="dxa"/>
            <w:vAlign w:val="center"/>
          </w:tcPr>
          <w:p>
            <w:pPr>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在签订合同前，中标人需向招标人交纳履约保证金（请将履约保证金汇款凭证发送至QQ邮箱：</w:t>
            </w:r>
            <w:r>
              <w:fldChar w:fldCharType="begin"/>
            </w:r>
            <w:r>
              <w:instrText xml:space="preserve"> HYPERLINK "mailto:532223373@qq.com），具体金额为中标价的5%25。拟中标人应当按照招标人的要求及时、足额缴纳履约保证金，履约保证金待项目验收结束后一次性无息退还。（凭" </w:instrText>
            </w:r>
            <w:r>
              <w:fldChar w:fldCharType="separate"/>
            </w:r>
            <w:r>
              <w:rPr>
                <w:rFonts w:hint="eastAsia"/>
              </w:rPr>
              <w:t>532223373@qq.com），具体金额为中标价的5%。拟中标人应当按照招标人的要求及时、足额缴纳履约保证金，履约保证金待项目验收结束后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rPr>
              <w:fldChar w:fldCharType="end"/>
            </w:r>
            <w:bookmarkStart w:id="77" w:name="_Toc118235408"/>
            <w:r>
              <w:rPr>
                <w:rFonts w:hint="eastAsia" w:asciiTheme="minorEastAsia" w:hAnsiTheme="minorEastAsia" w:eastAsiaTheme="minorEastAsia" w:cstheme="minorEastAsia"/>
                <w:szCs w:val="21"/>
              </w:rPr>
              <w:t>详见：《供货商须知》六、合同签订相关事项。</w:t>
            </w:r>
            <w:bookmarkEnd w:id="7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代理服务费</w:t>
            </w:r>
          </w:p>
        </w:tc>
        <w:tc>
          <w:tcPr>
            <w:tcW w:w="8096" w:type="dxa"/>
            <w:vAlign w:val="center"/>
          </w:tcPr>
          <w:p>
            <w:pPr>
              <w:spacing w:line="36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代理服务费（中标服务费）：本项目的代理服务费由成交供应商承担。</w:t>
            </w:r>
          </w:p>
          <w:p>
            <w:pPr>
              <w:spacing w:line="36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代理服务费收费标准（每个分包）：</w:t>
            </w:r>
            <w:r>
              <w:rPr>
                <w:rFonts w:hint="eastAsia" w:asciiTheme="minorEastAsia" w:hAnsiTheme="minorEastAsia" w:eastAsiaTheme="minorEastAsia" w:cstheme="minorEastAsia"/>
                <w:szCs w:val="21"/>
              </w:rPr>
              <w:t>为方便计算，代理服务费参照原《招标代理服务收费管理暂行办法》（计价格[2002]1980号）</w:t>
            </w:r>
            <w:r>
              <w:rPr>
                <w:rFonts w:hint="eastAsia" w:ascii="宋体" w:hAnsi="宋体"/>
              </w:rPr>
              <w:t>收费标准的40%计取（如低于3000元的，按3000元计取）；</w:t>
            </w:r>
          </w:p>
          <w:p>
            <w:pPr>
              <w:pStyle w:val="2"/>
              <w:spacing w:line="360" w:lineRule="exact"/>
              <w:ind w:left="0" w:leftChars="0"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代理服务费支付形式为：电款、转账等；发票为普通发票。账户信息：开户名：盐城市携手阳光集中采购代理有限公司；开户行：兴业银行盐城分行；账号：402010100100119375）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版权所有</w:t>
            </w:r>
          </w:p>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翻版必究</w:t>
            </w:r>
          </w:p>
        </w:tc>
        <w:tc>
          <w:tcPr>
            <w:tcW w:w="8096" w:type="dxa"/>
            <w:vAlign w:val="center"/>
          </w:tcPr>
          <w:p>
            <w:pPr>
              <w:spacing w:line="360" w:lineRule="exact"/>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携手阳光公司创建之始（2012年），便致力于政府采购业务不断完善和改进。寒窗苦读不易，未经携手阳光公司书面授权，本采购文件内容严禁摘录、引用、传播或用于它处。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CSR</w:t>
            </w:r>
          </w:p>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企业社会责任</w:t>
            </w:r>
          </w:p>
        </w:tc>
        <w:tc>
          <w:tcPr>
            <w:tcW w:w="8096" w:type="dxa"/>
            <w:vAlign w:val="center"/>
          </w:tcPr>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盐城市携手阳光集中采购代理有限公司从成立起，重视社会责任，在第一份招标文件中，就已公开了自己的企业社会责任。</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绿色环保：我们建议供应商响应文件技术部分使用双面打印，以减少纸张的浪费。</w:t>
            </w: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社会公益：我司定期安排拥军拥属以及其它社会公益行为。</w:t>
            </w:r>
          </w:p>
        </w:tc>
      </w:tr>
    </w:tbl>
    <w:p>
      <w:pPr>
        <w:spacing w:line="410" w:lineRule="exact"/>
        <w:jc w:val="center"/>
        <w:rPr>
          <w:rFonts w:ascii="宋体" w:hAnsi="宋体" w:cs="宋体"/>
          <w:b/>
          <w:szCs w:val="21"/>
        </w:rPr>
      </w:pPr>
      <w:bookmarkStart w:id="78" w:name="_Toc24968"/>
      <w:r>
        <w:rPr>
          <w:rFonts w:hint="eastAsia" w:ascii="宋体" w:hAnsi="宋体" w:cs="宋体"/>
          <w:b/>
          <w:szCs w:val="21"/>
        </w:rPr>
        <w:t>（参加竞争性磋商的供应商以下简称“磋商供应商”）</w:t>
      </w:r>
      <w:bookmarkEnd w:id="78"/>
    </w:p>
    <w:p>
      <w:pPr>
        <w:spacing w:line="262" w:lineRule="auto"/>
        <w:jc w:val="center"/>
        <w:outlineLvl w:val="1"/>
        <w:rPr>
          <w:rFonts w:asciiTheme="minorEastAsia" w:hAnsiTheme="minorEastAsia" w:eastAsiaTheme="minorEastAsia" w:cstheme="minorEastAsia"/>
          <w:szCs w:val="21"/>
        </w:rPr>
      </w:pPr>
      <w:bookmarkStart w:id="79" w:name="_Toc118235409"/>
      <w:bookmarkStart w:id="80" w:name="_Toc118275514"/>
      <w:bookmarkStart w:id="81" w:name="_Toc118275554"/>
      <w:bookmarkStart w:id="82" w:name="_Toc118275634"/>
      <w:bookmarkStart w:id="83" w:name="_Toc107916288"/>
      <w:bookmarkStart w:id="84" w:name="_Toc21584"/>
      <w:bookmarkStart w:id="85" w:name="_Toc20027"/>
      <w:r>
        <w:rPr>
          <w:rFonts w:hint="eastAsia" w:asciiTheme="minorEastAsia" w:hAnsiTheme="minorEastAsia" w:eastAsiaTheme="minorEastAsia" w:cstheme="minorEastAsia"/>
          <w:b/>
          <w:bCs/>
          <w:szCs w:val="21"/>
        </w:rPr>
        <w:t>一、</w:t>
      </w:r>
      <w:r>
        <w:rPr>
          <w:rFonts w:hint="eastAsia" w:asciiTheme="minorEastAsia" w:hAnsiTheme="minorEastAsia" w:eastAsiaTheme="minorEastAsia" w:cstheme="minorEastAsia"/>
          <w:b/>
          <w:szCs w:val="21"/>
        </w:rPr>
        <w:t>总则</w:t>
      </w:r>
      <w:bookmarkEnd w:id="79"/>
      <w:bookmarkEnd w:id="80"/>
      <w:bookmarkEnd w:id="81"/>
      <w:bookmarkEnd w:id="82"/>
      <w:bookmarkEnd w:id="83"/>
      <w:bookmarkEnd w:id="84"/>
    </w:p>
    <w:p>
      <w:pPr>
        <w:spacing w:line="262"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bookmarkStart w:id="86" w:name="_Toc5999"/>
      <w:bookmarkStart w:id="87" w:name="_Toc520356144"/>
      <w:bookmarkStart w:id="88" w:name="_Toc515647758"/>
      <w:bookmarkStart w:id="89" w:name="_Toc32189"/>
      <w:bookmarkStart w:id="90" w:name="_Toc32623"/>
      <w:r>
        <w:rPr>
          <w:rFonts w:hint="eastAsia" w:asciiTheme="minorEastAsia" w:hAnsiTheme="minorEastAsia" w:eastAsiaTheme="minorEastAsia" w:cstheme="minorEastAsia"/>
          <w:b/>
          <w:szCs w:val="21"/>
        </w:rPr>
        <w:t>.适用法律、采购方式、采购磋商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1.1本次采购及由此产生的合同受中华人民共和国有关的法律法规制约和保护。</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1.2本次采购方式为：</w:t>
      </w:r>
      <w:r>
        <w:rPr>
          <w:rFonts w:hint="eastAsia" w:asciiTheme="minorEastAsia" w:hAnsiTheme="minorEastAsia" w:eastAsiaTheme="minorEastAsia" w:cstheme="minorEastAsia"/>
          <w:szCs w:val="21"/>
          <w:u w:val="single"/>
        </w:rPr>
        <w:t>磋商</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1.3采购磋商：略，本项目的采购磋商书同</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w:t>
      </w:r>
    </w:p>
    <w:p>
      <w:pPr>
        <w:spacing w:line="262"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2.采购人、采购代理机构及</w:t>
      </w:r>
      <w:bookmarkEnd w:id="86"/>
      <w:bookmarkEnd w:id="87"/>
      <w:bookmarkEnd w:id="88"/>
      <w:bookmarkEnd w:id="89"/>
      <w:bookmarkEnd w:id="90"/>
      <w:r>
        <w:rPr>
          <w:rFonts w:hint="eastAsia" w:asciiTheme="minorEastAsia" w:hAnsiTheme="minorEastAsia" w:eastAsiaTheme="minorEastAsia" w:cstheme="minorEastAsia"/>
          <w:b/>
          <w:szCs w:val="21"/>
        </w:rPr>
        <w:t>供应商</w:t>
      </w:r>
    </w:p>
    <w:p>
      <w:pPr>
        <w:spacing w:line="262"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2.1采购人：本项目的采购人见</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szCs w:val="21"/>
        </w:rPr>
        <w:t>。</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2.2采购代理机构：盐城市携手阳光集中采购代理有限公司（本次采购活动中可简称：携手阳光公司；携手阳光公司的工作人员，可以简称工作人员）</w:t>
      </w:r>
    </w:p>
    <w:p>
      <w:pPr>
        <w:spacing w:line="262"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2.3供应商：是指向采购人提供产品（货物、工程或者服务。下同）的法人、非法人组织或者自然人。</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2.3.1供应商资格条件</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2.3.1.1供应商须符合</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bCs/>
          <w:szCs w:val="21"/>
        </w:rPr>
        <w:t>中</w:t>
      </w:r>
      <w:r>
        <w:rPr>
          <w:rFonts w:hint="eastAsia" w:asciiTheme="minorEastAsia" w:hAnsiTheme="minorEastAsia" w:eastAsiaTheme="minorEastAsia" w:cstheme="minorEastAsia"/>
          <w:szCs w:val="21"/>
        </w:rPr>
        <w:t>申请人（</w:t>
      </w:r>
      <w:r>
        <w:rPr>
          <w:rFonts w:hint="eastAsia" w:asciiTheme="minorEastAsia" w:hAnsiTheme="minorEastAsia" w:eastAsiaTheme="minorEastAsia" w:cstheme="minorEastAsia"/>
          <w:kern w:val="0"/>
          <w:szCs w:val="21"/>
        </w:rPr>
        <w:t>供应商）</w:t>
      </w:r>
      <w:r>
        <w:rPr>
          <w:rFonts w:hint="eastAsia" w:asciiTheme="minorEastAsia" w:hAnsiTheme="minorEastAsia" w:eastAsiaTheme="minorEastAsia" w:cstheme="minorEastAsia"/>
          <w:szCs w:val="21"/>
        </w:rPr>
        <w:t>的资格要求；</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2.3.1.2供应商须以携手阳光公司认可的方式获得了本采购文件；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2.3.1.3单位负责人为同一人或者存在直接控股、管理关系的不同供应商，不得参加同一合同项下的政府采购活动。为本项目提供整体设计、规范编制或者项目管理、监理、检测等服务的供应商，不得再参加本项目的其他采购活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bCs/>
          <w:szCs w:val="21"/>
        </w:rPr>
        <w:t>资金来源、</w:t>
      </w:r>
      <w:r>
        <w:rPr>
          <w:rFonts w:hint="eastAsia" w:asciiTheme="minorEastAsia" w:hAnsiTheme="minorEastAsia" w:eastAsiaTheme="minorEastAsia" w:cstheme="minorEastAsia"/>
          <w:b/>
          <w:szCs w:val="21"/>
        </w:rPr>
        <w:t>采购预算、采购需求</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3.1本项目的采购人已获得足以支付本次采购后所签订的合同项下的资金。</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3.2本项目采购预算</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kern w:val="0"/>
          <w:szCs w:val="21"/>
        </w:rPr>
        <w:t>最高限价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如有）</w:t>
      </w:r>
      <w:r>
        <w:rPr>
          <w:rFonts w:hint="eastAsia" w:asciiTheme="minorEastAsia" w:hAnsiTheme="minorEastAsia" w:eastAsiaTheme="minorEastAsia" w:cstheme="minorEastAsia"/>
          <w:szCs w:val="21"/>
        </w:rPr>
        <w:t>见</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szCs w:val="21"/>
        </w:rPr>
        <w:t>。供应商报价超过采购文件规定的预算金额或者最高限价的，其投标将被认定为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3.3本项目的</w:t>
      </w:r>
      <w:r>
        <w:rPr>
          <w:rFonts w:hint="eastAsia" w:asciiTheme="minorEastAsia" w:hAnsiTheme="minorEastAsia" w:eastAsiaTheme="minorEastAsia" w:cstheme="minorEastAsia"/>
          <w:szCs w:val="21"/>
          <w:u w:val="single"/>
        </w:rPr>
        <w:t>采购需求见本采购文件第3章</w:t>
      </w:r>
      <w:r>
        <w:rPr>
          <w:rFonts w:hint="eastAsia" w:asciiTheme="minorEastAsia" w:hAnsiTheme="minorEastAsia" w:eastAsiaTheme="minorEastAsia" w:cstheme="minorEastAsia"/>
          <w:szCs w:val="21"/>
        </w:rPr>
        <w:t>“采购需求及政府采购合同（拟签订的合同文本）”。</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4.参加政府采购活动费用</w:t>
      </w:r>
    </w:p>
    <w:p>
      <w:pPr>
        <w:spacing w:line="30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不论结果如何，供应商应承担所有与准备和参加本次磋商采购有关的费用。采购人及携手阳光公司在任何情况下均无义务和责任承担这些费用。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5.其它有关说明</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5.1供应商提交的响应文件以及供应商与采购人、携手阳光公司就有关投标的所有来往通知、函件和文件均须使用</w:t>
      </w:r>
      <w:r>
        <w:rPr>
          <w:rFonts w:hint="eastAsia" w:asciiTheme="minorEastAsia" w:hAnsiTheme="minorEastAsia" w:eastAsiaTheme="minorEastAsia" w:cstheme="minorEastAsia"/>
          <w:szCs w:val="21"/>
          <w:u w:val="single"/>
        </w:rPr>
        <w:t>简体中文</w:t>
      </w:r>
      <w:r>
        <w:rPr>
          <w:rFonts w:hint="eastAsia" w:asciiTheme="minorEastAsia" w:hAnsiTheme="minorEastAsia" w:eastAsiaTheme="minorEastAsia" w:cstheme="minorEastAsia"/>
          <w:b/>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5.2采购文件中所称的“以上”、“以下”、“内”、“以内”，包括本数；所称的“不足”，不包括本数。</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5.3如供应商为非法人单位的，“法定代表人”可为自然人本人、经营者本人、负责人。如供应商为自然人的，可由自然人以签字替代盖章。</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5.4本次采购活动（含采购文件）中的产品（货物、服务、工程）包括其相关伴随产品（货物、服务、工程）等为实现采购人采购需要（需求）而涉及的所有产品及事宜。</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5.5★特别说明（约定性条款）：</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获取本采购文件后，应当及时、全面悉知采购文件的全部内容（含采购需求以及需实现的功能或者目标等全部内容。下同）及相关事宜。携手阳光公司不能保证本采购文件无编辑错误，如采购文件中有表述不清或不完整的（包括表述不规范完整或不准确的、界定或形容不清，可多层理解或解释的、未能达到法律规定明确的要求等任何情形），按照</w:t>
      </w:r>
      <w:r>
        <w:rPr>
          <w:rFonts w:hint="eastAsia" w:asciiTheme="minorEastAsia" w:hAnsiTheme="minorEastAsia" w:eastAsiaTheme="minorEastAsia" w:cstheme="minorEastAsia"/>
          <w:b/>
          <w:spacing w:val="15"/>
          <w:kern w:val="0"/>
          <w:szCs w:val="21"/>
        </w:rPr>
        <w:t>提高采购效率，降低纠错成本的原则，请</w:t>
      </w:r>
      <w:r>
        <w:rPr>
          <w:rFonts w:hint="eastAsia" w:asciiTheme="minorEastAsia" w:hAnsiTheme="minorEastAsia" w:eastAsiaTheme="minorEastAsia" w:cstheme="minorEastAsia"/>
          <w:b/>
          <w:szCs w:val="21"/>
        </w:rPr>
        <w:t>供应商在提交响应文件截止之日5日前，以电邮或书面方式（均须加盖公章）向携手阳光公司提出询问或要求进行澄清，以便采购人及时校正。如供应商参加了本项目采购活动，视为供应商对本采购文件无任何异议，并自愿在本项目采购活动中，一切以携手阳光公司理解、解释为准（本采购文件所有的解释权完全归携手阳光公司所有）。因此产生的风险（含响应文件无效）由供应商承担（含过错赔偿）。</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5.6采购文件的约束力</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供应商一旦下载了本采购文件并决定参加投标，即代表供应商接受了本采购文件所有的规定和约束</w:t>
      </w:r>
      <w:bookmarkStart w:id="91" w:name="_Hlt26670354"/>
      <w:bookmarkEnd w:id="91"/>
      <w:bookmarkStart w:id="92" w:name="_Hlt26670348"/>
      <w:bookmarkEnd w:id="92"/>
      <w:bookmarkStart w:id="93" w:name="_Hlt26670345"/>
      <w:bookmarkEnd w:id="93"/>
      <w:bookmarkStart w:id="94" w:name="_Hlt26668969"/>
      <w:bookmarkEnd w:id="94"/>
      <w:bookmarkStart w:id="95" w:name="_Hlt26954830"/>
      <w:bookmarkEnd w:id="95"/>
      <w:bookmarkStart w:id="96" w:name="_Hlt26954828"/>
      <w:bookmarkEnd w:id="96"/>
      <w:bookmarkStart w:id="97" w:name="_Hlt26954832"/>
      <w:bookmarkEnd w:id="97"/>
      <w:bookmarkStart w:id="98" w:name="_Toc14577351"/>
      <w:bookmarkStart w:id="99" w:name="_Toc462564072"/>
      <w:bookmarkStart w:id="100" w:name="_Toc61149553"/>
      <w:bookmarkStart w:id="101" w:name="_Toc513029213"/>
    </w:p>
    <w:p>
      <w:pPr>
        <w:spacing w:line="262" w:lineRule="auto"/>
        <w:ind w:firstLine="422" w:firstLineChars="200"/>
        <w:jc w:val="center"/>
        <w:outlineLvl w:val="1"/>
        <w:rPr>
          <w:rFonts w:asciiTheme="minorEastAsia" w:hAnsiTheme="minorEastAsia" w:eastAsiaTheme="minorEastAsia" w:cstheme="minorEastAsia"/>
          <w:szCs w:val="21"/>
        </w:rPr>
      </w:pPr>
      <w:bookmarkStart w:id="102" w:name="_Toc118275515"/>
      <w:bookmarkStart w:id="103" w:name="_Toc107916289"/>
      <w:bookmarkStart w:id="104" w:name="_Toc118275635"/>
      <w:bookmarkStart w:id="105" w:name="_Toc118235410"/>
      <w:bookmarkStart w:id="106" w:name="_Toc118275555"/>
      <w:bookmarkStart w:id="107" w:name="_Toc19423"/>
      <w:r>
        <w:rPr>
          <w:rFonts w:hint="eastAsia" w:asciiTheme="minorEastAsia" w:hAnsiTheme="minorEastAsia" w:eastAsiaTheme="minorEastAsia" w:cstheme="minorEastAsia"/>
          <w:b/>
          <w:szCs w:val="21"/>
        </w:rPr>
        <w:t>二、采购文件</w:t>
      </w:r>
      <w:bookmarkEnd w:id="102"/>
      <w:bookmarkEnd w:id="103"/>
      <w:bookmarkEnd w:id="104"/>
      <w:bookmarkEnd w:id="105"/>
      <w:bookmarkEnd w:id="106"/>
      <w:bookmarkEnd w:id="107"/>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1.采购文件构成</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1.1采购文件共5章，内容如下：</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第1章  采购公告（采购磋商）</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第2章  供货商须知</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第3章  采购需求及政府采购合同（拟签订的合同文本）</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第4章  评审方法和标准（主要部分）</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第5章  投标（响应）文件格式</w:t>
      </w:r>
    </w:p>
    <w:p>
      <w:pPr>
        <w:spacing w:line="262" w:lineRule="auto"/>
        <w:ind w:left="785" w:leftChars="199" w:hanging="367" w:hanging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请供应商仔细检查采购文件是否齐全，如有缺漏请立即与</w:t>
      </w:r>
      <w:r>
        <w:rPr>
          <w:rFonts w:hint="eastAsia" w:asciiTheme="minorEastAsia" w:hAnsiTheme="minorEastAsia" w:eastAsiaTheme="minorEastAsia" w:cstheme="minorEastAsia"/>
          <w:bCs/>
          <w:szCs w:val="21"/>
        </w:rPr>
        <w:t>携手阳光公司</w:t>
      </w:r>
      <w:r>
        <w:rPr>
          <w:rFonts w:hint="eastAsia" w:asciiTheme="minorEastAsia" w:hAnsiTheme="minorEastAsia" w:eastAsiaTheme="minorEastAsia" w:cstheme="minorEastAsia"/>
          <w:szCs w:val="21"/>
        </w:rPr>
        <w:t>联系。</w:t>
      </w:r>
    </w:p>
    <w:p>
      <w:pPr>
        <w:tabs>
          <w:tab w:val="left" w:pos="0"/>
        </w:tabs>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1.2如本采购文件的前后内容不一致，以最后描述为准。</w:t>
      </w:r>
    </w:p>
    <w:p>
      <w:pPr>
        <w:tabs>
          <w:tab w:val="left" w:pos="0"/>
        </w:tabs>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供应商应认真阅读采购文件所有的事项、格式、条款和技术规范等。如供应商没有按照采购文件要求提交全部资料，或者响应文件没有对采购文件在各方面都做出实质性响应，可能导致其投标（响应）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bookmarkStart w:id="108" w:name="_Toc515904805"/>
      <w:bookmarkStart w:id="109" w:name="_Toc9232"/>
      <w:bookmarkStart w:id="110" w:name="_Toc26044"/>
      <w:bookmarkStart w:id="111" w:name="_Toc1922"/>
    </w:p>
    <w:p>
      <w:pPr>
        <w:tabs>
          <w:tab w:val="left" w:pos="0"/>
        </w:tabs>
        <w:spacing w:line="262"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w:t>
      </w:r>
      <w:r>
        <w:rPr>
          <w:rFonts w:hint="eastAsia" w:asciiTheme="minorEastAsia" w:hAnsiTheme="minorEastAsia" w:eastAsiaTheme="minorEastAsia" w:cstheme="minorEastAsia"/>
          <w:b/>
          <w:szCs w:val="21"/>
        </w:rPr>
        <w:t>采购文件</w:t>
      </w:r>
      <w:r>
        <w:rPr>
          <w:rFonts w:hint="eastAsia" w:asciiTheme="minorEastAsia" w:hAnsiTheme="minorEastAsia" w:eastAsiaTheme="minorEastAsia" w:cstheme="minorEastAsia"/>
          <w:b/>
          <w:bCs/>
          <w:szCs w:val="21"/>
        </w:rPr>
        <w:t>的澄清</w:t>
      </w:r>
      <w:bookmarkEnd w:id="108"/>
      <w:r>
        <w:rPr>
          <w:rFonts w:hint="eastAsia" w:asciiTheme="minorEastAsia" w:hAnsiTheme="minorEastAsia" w:eastAsiaTheme="minorEastAsia" w:cstheme="minorEastAsia"/>
          <w:b/>
          <w:bCs/>
          <w:szCs w:val="21"/>
        </w:rPr>
        <w:t>与修改</w:t>
      </w:r>
      <w:bookmarkEnd w:id="109"/>
      <w:bookmarkEnd w:id="110"/>
      <w:bookmarkEnd w:id="111"/>
    </w:p>
    <w:p>
      <w:pPr>
        <w:spacing w:line="262" w:lineRule="auto"/>
        <w:ind w:firstLine="420" w:firstLineChars="200"/>
        <w:rPr>
          <w:rFonts w:asciiTheme="minorEastAsia" w:hAnsiTheme="minorEastAsia" w:eastAsiaTheme="minorEastAsia" w:cstheme="minorEastAsia"/>
          <w:szCs w:val="21"/>
        </w:rPr>
      </w:pPr>
      <w:bookmarkStart w:id="112" w:name="_Toc515904806"/>
      <w:r>
        <w:rPr>
          <w:rFonts w:hint="eastAsia" w:asciiTheme="minorEastAsia" w:hAnsiTheme="minorEastAsia" w:eastAsiaTheme="minorEastAsia" w:cstheme="minorEastAsia"/>
          <w:szCs w:val="21"/>
        </w:rPr>
        <w:t>2.1为了保证对采购文件的澄清和修改满足法律的时限要求，任何要求对采购文件进行澄清的供应商，均应在提交响应文件截止时间5日前按采购公告中的通讯地址，以书面形式通知采购代理机构（提出询问）。提交响应文件截止之日前，采购人、采购代理机构或者磋商小组可以对已发出的采购文件进行必要的澄清或者修改，澄清或者修改的内容作为采购文件的组成部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2.2澄清或者修改的内容可能影响响应文件编制的，携手阳光公司将以书面形式通知所有购买采购文件的潜在供应商，并对其具有约束力。</w:t>
      </w:r>
      <w:r>
        <w:rPr>
          <w:rFonts w:hint="eastAsia" w:asciiTheme="minorEastAsia" w:hAnsiTheme="minorEastAsia" w:eastAsiaTheme="minorEastAsia" w:cstheme="minorEastAsia"/>
          <w:b/>
          <w:bCs/>
          <w:szCs w:val="21"/>
        </w:rPr>
        <w:t>供应商在收到上述通知后，应及时向采购代理机构回函确认，否视为该供应商已接受</w:t>
      </w:r>
      <w:r>
        <w:rPr>
          <w:rFonts w:hint="eastAsia" w:asciiTheme="minorEastAsia" w:hAnsiTheme="minorEastAsia" w:eastAsiaTheme="minorEastAsia" w:cstheme="minorEastAsia"/>
          <w:szCs w:val="21"/>
        </w:rPr>
        <w:t xml:space="preserve">。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bookmarkStart w:id="113" w:name="_Toc14569"/>
      <w:bookmarkStart w:id="114" w:name="_Toc12448"/>
      <w:bookmarkStart w:id="115" w:name="_Toc25635"/>
      <w:r>
        <w:rPr>
          <w:rFonts w:hint="eastAsia" w:asciiTheme="minorEastAsia" w:hAnsiTheme="minorEastAsia" w:eastAsiaTheme="minorEastAsia" w:cstheme="minorEastAsia"/>
          <w:szCs w:val="21"/>
        </w:rPr>
        <w:t>对没有加盖公章或非实名方式的询问、要求澄清等任何非实名的来函（信息），采购人、携手 阳光公司均有权</w:t>
      </w:r>
      <w:r>
        <w:rPr>
          <w:rFonts w:hint="eastAsia" w:asciiTheme="minorEastAsia" w:hAnsiTheme="minorEastAsia" w:eastAsiaTheme="minorEastAsia" w:cstheme="minorEastAsia"/>
          <w:b/>
          <w:szCs w:val="21"/>
        </w:rPr>
        <w:t>视为与本次采购活动无关而不予接收或受理</w:t>
      </w:r>
      <w:r>
        <w:rPr>
          <w:rFonts w:hint="eastAsia" w:asciiTheme="minorEastAsia" w:hAnsiTheme="minorEastAsia" w:eastAsiaTheme="minorEastAsia" w:cstheme="minorEastAsia"/>
          <w:szCs w:val="21"/>
        </w:rPr>
        <w:t>。采购人、携手阳光公司</w:t>
      </w:r>
      <w:r>
        <w:rPr>
          <w:rFonts w:hint="eastAsia" w:asciiTheme="minorEastAsia" w:hAnsiTheme="minorEastAsia" w:eastAsiaTheme="minorEastAsia" w:cstheme="minorEastAsia"/>
          <w:b/>
          <w:szCs w:val="21"/>
        </w:rPr>
        <w:t>仅对加盖公章的书面形式回复负责</w:t>
      </w:r>
      <w:r>
        <w:rPr>
          <w:rFonts w:hint="eastAsia" w:asciiTheme="minorEastAsia" w:hAnsiTheme="minorEastAsia" w:eastAsiaTheme="minorEastAsia" w:cstheme="minorEastAsia"/>
          <w:szCs w:val="21"/>
        </w:rPr>
        <w:t>，采购人或携手阳光公司不承担电话问答、口头问答等非书面形式回复的有效性。</w:t>
      </w:r>
    </w:p>
    <w:bookmarkEnd w:id="112"/>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3.</w:t>
      </w:r>
      <w:r>
        <w:rPr>
          <w:rFonts w:hint="eastAsia" w:asciiTheme="minorEastAsia" w:hAnsiTheme="minorEastAsia" w:eastAsiaTheme="minorEastAsia" w:cstheme="minorEastAsia"/>
          <w:b/>
          <w:szCs w:val="21"/>
        </w:rPr>
        <w:t xml:space="preserve"> 提交响应文件截止时间</w:t>
      </w:r>
      <w:r>
        <w:rPr>
          <w:rFonts w:hint="eastAsia" w:asciiTheme="minorEastAsia" w:hAnsiTheme="minorEastAsia" w:eastAsiaTheme="minorEastAsia" w:cstheme="minorEastAsia"/>
          <w:b/>
          <w:bCs/>
          <w:szCs w:val="21"/>
        </w:rPr>
        <w:t>的顺延</w:t>
      </w:r>
      <w:bookmarkEnd w:id="113"/>
      <w:bookmarkEnd w:id="114"/>
      <w:bookmarkEnd w:id="115"/>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为使供应商准备投标时有足够的时间对采购文件的澄清或者修改部分进行研究，采购人将依法决定是否顺延提交响应文件截止时间。</w:t>
      </w:r>
    </w:p>
    <w:p>
      <w:pPr>
        <w:spacing w:line="262" w:lineRule="auto"/>
        <w:jc w:val="center"/>
        <w:outlineLvl w:val="1"/>
        <w:rPr>
          <w:rFonts w:asciiTheme="minorEastAsia" w:hAnsiTheme="minorEastAsia" w:eastAsiaTheme="minorEastAsia" w:cstheme="minorEastAsia"/>
          <w:szCs w:val="21"/>
        </w:rPr>
      </w:pPr>
      <w:bookmarkStart w:id="116" w:name="_Toc107916290"/>
      <w:bookmarkStart w:id="117" w:name="_Toc118275516"/>
      <w:bookmarkStart w:id="118" w:name="_Toc118235411"/>
      <w:bookmarkStart w:id="119" w:name="_Toc118275636"/>
      <w:bookmarkStart w:id="120" w:name="_Toc118275556"/>
      <w:bookmarkStart w:id="121" w:name="_Toc29039"/>
      <w:r>
        <w:rPr>
          <w:rFonts w:hint="eastAsia" w:asciiTheme="minorEastAsia" w:hAnsiTheme="minorEastAsia" w:eastAsiaTheme="minorEastAsia" w:cstheme="minorEastAsia"/>
          <w:b/>
          <w:szCs w:val="21"/>
        </w:rPr>
        <w:t>三、</w:t>
      </w:r>
      <w:bookmarkEnd w:id="98"/>
      <w:bookmarkEnd w:id="99"/>
      <w:bookmarkEnd w:id="100"/>
      <w:bookmarkEnd w:id="101"/>
      <w:r>
        <w:rPr>
          <w:rFonts w:hint="eastAsia" w:asciiTheme="minorEastAsia" w:hAnsiTheme="minorEastAsia" w:eastAsiaTheme="minorEastAsia" w:cstheme="minorEastAsia"/>
          <w:b/>
          <w:szCs w:val="21"/>
        </w:rPr>
        <w:t>响应文件编制要求及保证金</w:t>
      </w:r>
      <w:bookmarkEnd w:id="116"/>
      <w:bookmarkEnd w:id="117"/>
      <w:bookmarkEnd w:id="118"/>
      <w:bookmarkEnd w:id="119"/>
      <w:bookmarkEnd w:id="120"/>
      <w:bookmarkEnd w:id="121"/>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1.投标范围及响应文件中标准和计量单位的使用</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1.1如“采购需求”中没有限定，供应商可对采购文件其中某一个或几个采购包进行投标。</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1.2本项目按采购包确定成交供应商。供应商应当对所投采购包中“采购需求”所列的所有内容进行投标，如仅响应某一包中的部分内容，其该包投标将被认定为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1.3无论采购文件是否要求，供应商所投产品均应符合国家强制性标准。除采购文件中有特殊要求外，响应文件中所使用的计量单位，应采用中华人民共和国法定计量单位。</w:t>
      </w:r>
      <w:bookmarkStart w:id="122" w:name="_Ref467306195"/>
      <w:bookmarkStart w:id="123" w:name="_Ref467306676"/>
      <w:bookmarkStart w:id="124" w:name="_Toc516367022"/>
      <w:bookmarkStart w:id="125" w:name="_Toc515647768"/>
      <w:bookmarkStart w:id="126" w:name="_Toc10364"/>
      <w:bookmarkStart w:id="127" w:name="_Toc18692"/>
      <w:bookmarkStart w:id="128" w:name="_Toc520356152"/>
      <w:bookmarkStart w:id="129" w:name="_Toc28307"/>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2.投标</w:t>
      </w:r>
      <w:bookmarkEnd w:id="122"/>
      <w:bookmarkEnd w:id="123"/>
      <w:bookmarkEnd w:id="124"/>
      <w:r>
        <w:rPr>
          <w:rFonts w:hint="eastAsia" w:asciiTheme="minorEastAsia" w:hAnsiTheme="minorEastAsia" w:eastAsiaTheme="minorEastAsia" w:cstheme="minorEastAsia"/>
          <w:b/>
          <w:szCs w:val="21"/>
        </w:rPr>
        <w:t>（响应）文件构成</w:t>
      </w:r>
      <w:bookmarkEnd w:id="125"/>
      <w:bookmarkEnd w:id="126"/>
      <w:bookmarkEnd w:id="127"/>
      <w:bookmarkEnd w:id="128"/>
      <w:bookmarkEnd w:id="129"/>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2.1供应商应完整地按采购文件提供的响应文件格式及要求编写响应文件，响应文件应装订成册，分别密封递交。供应商应承担封装失误产生的任何后果。</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2.2上述文件应按照采购文件规定的格式填写、签署和盖章</w:t>
      </w:r>
      <w:bookmarkStart w:id="130" w:name="_Toc515647769"/>
      <w:bookmarkStart w:id="131" w:name="_Toc13143"/>
      <w:bookmarkStart w:id="132" w:name="_Toc520356153"/>
      <w:bookmarkStart w:id="133" w:name="_Toc10379"/>
      <w:bookmarkStart w:id="134" w:name="_Toc4601"/>
      <w:bookmarkStart w:id="135" w:name="_Toc516367023"/>
      <w:r>
        <w:rPr>
          <w:rFonts w:hint="eastAsia" w:asciiTheme="minorEastAsia" w:hAnsiTheme="minorEastAsia" w:eastAsiaTheme="minorEastAsia" w:cstheme="minorEastAsia"/>
          <w:szCs w:val="21"/>
        </w:rPr>
        <w:t>（法定印章。不包括发票等业务专用章）。</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2.3供应商应当遵循格式规范、便于查找的原则编辑响应文件目录（如：《评分索引表》等）。如响应文件出现目录（含页码）编辑错误、漏页或缺页等情况，后果由供应商承担（含承担</w:t>
      </w:r>
      <w:r>
        <w:rPr>
          <w:rFonts w:hint="eastAsia" w:asciiTheme="minorEastAsia" w:hAnsiTheme="minorEastAsia" w:eastAsiaTheme="minorEastAsia" w:cstheme="minorEastAsia"/>
          <w:b/>
          <w:szCs w:val="21"/>
          <w:shd w:val="clear" w:color="auto" w:fill="FFFFFF"/>
        </w:rPr>
        <w:t>过错赔偿等）</w:t>
      </w:r>
      <w:r>
        <w:rPr>
          <w:rFonts w:hint="eastAsia" w:asciiTheme="minorEastAsia" w:hAnsiTheme="minorEastAsia" w:eastAsiaTheme="minorEastAsia" w:cstheme="minorEastAsia"/>
          <w:b/>
          <w:szCs w:val="21"/>
        </w:rPr>
        <w:t>。</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3.证明投标标的的合格性和符合采购文件规定的技术文件（响应文件）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3.1供应商应提交证明文件，证明其投标内容（产品）符合采购文件规定。该证明文件是投标（响应）文件的一部分。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3.2上款所述的证明文件，可以是文字资料、图纸和数据，它包括：</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3.2.1产品主要技术指标和性能的详细说明；</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3.2.2产品从买方开始使用至采购文件规定的保质期内正常、连续地使用所必须的各项费用价格。</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3.2.3对照采购文件技术规格，逐条说明所提供产品[含其相关伴随产品（货物、服务、工程）等]已对采购文件的技术规格做出了实质性的响应，或申明与技术规格条文的偏差和例外。</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供应商证明材料非简体中文的，供应商须同时提供简体中文翻译说明并加盖公章，否评审人员有权仅按简体中文部分评审。</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3.3</w:t>
      </w:r>
      <w:r>
        <w:rPr>
          <w:rFonts w:hint="eastAsia" w:asciiTheme="minorEastAsia" w:hAnsiTheme="minorEastAsia" w:eastAsiaTheme="minorEastAsia" w:cstheme="minorEastAsia"/>
          <w:b/>
          <w:szCs w:val="21"/>
        </w:rPr>
        <w:t>供应商提交的证明应当证明提供的产品质量和服务均能满足采购文件规定的实质性要求。供应商应当以详细具体的内容证明响应文件响应采购文件。供应商以“完全响应”等简单文字、过度复制采购文件内容等方式（无具体或无实质性内容）进行响应的，其内容按无效处理（不予认可）。</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4.价格构成（报价要求）</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4.1所有投标（报价）均以人民币报价。</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供应商的报价应遵守《中华人民共和国价格法》。同时，根据《中华人民共和国政府采购法》第二条的规定，为保证公平竞争，如有主体投标标的的赠与行为，其投标将被认定为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人也不接受明显不合理或者低于成本的报价（有可能影响商品质量和不能诚信履约的报价。例：主体投标标的低于进价或工资标准低于国家标准等），其投标将被认定为投标无效（视为明显不合理或者低于成本的报价）。</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4.2供应商应按照采购文件规定格式填写报价一览表(报价表)、分项报价表以及相关内容。</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如果报价一览表（报价表）内容与分项报价表内容不一致的，以报价一览表（报价表）内容为准。供应商报价大写金额和小写金额不一致的，以大写金额为准。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在分项报价表上标明投标产品及相关伴随产品（货物、服务、工程）的单价（如适用）和总价。供应商所报的各分项投标单价在合同履行过程中是固定不变的，不得以任何理由予以变更。任何包含价格调整要求的投标，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每种产品只能有一个投标报价，任何有选择的报价将不予接受 (如有备选配件，备选配件的报价不属于有选择的报价)。采购人不接受具有附加条件的报价。</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供应商分项报价表内容应当全面完整，充分体现其报价的组成。</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的，应当考虑：投标货物（包括备品备件、专用工具等）的出厂价（包括已在中国国内的进口货物完税后的仓库交货价、展室交货价或货架交货价），投标货物安装、调试、检验、技术服务和培训费用、货物运至最终目的地的运输费和保险费用以及相关税费等。服务的，应当考虑：知识产权（如有）、人员工资、加班费、设备使用或损耗、技术服务和培训费用、以及相关税费等。工程的，应当按照采购人提供的工程量清单、图纸（如有）等相关资料，并结合勘察情况、国家及地方标准（如：《建设工程工程量清单计价规范》、以及地方住建部门相关规定等）以及相关税费等。</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次采购采用总承包方式，因此供应商的报价应包括全部产品（含其相关伴随产品等）的价格、相关税费以及履行合同产生的所有费用等。采购文件未列明，而供应商认为必需的费用也需列入报价（在合同履行过程中，采购人不再增加任何费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5.保证金（磋商保证金）及供应商过错赔偿（不予退还保证金的情形）</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5.1保证金交纳数额和形式</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保证金交纳数额和形式见</w:t>
      </w:r>
      <w:r>
        <w:rPr>
          <w:rFonts w:hint="eastAsia" w:asciiTheme="minorEastAsia" w:hAnsiTheme="minorEastAsia" w:eastAsiaTheme="minorEastAsia" w:cstheme="minorEastAsia"/>
          <w:b/>
          <w:szCs w:val="21"/>
          <w:u w:val="single"/>
        </w:rPr>
        <w:t>采购公告</w:t>
      </w:r>
      <w:r>
        <w:rPr>
          <w:rFonts w:hint="eastAsia" w:asciiTheme="minorEastAsia" w:hAnsiTheme="minorEastAsia" w:eastAsiaTheme="minorEastAsia" w:cstheme="minorEastAsia"/>
          <w:b/>
          <w:szCs w:val="21"/>
        </w:rPr>
        <w:t>。供应商应当按照采购公告的要求提交（交纳。下同）保证金。供应商未按照采购公告要求提交保证金的，投标（响应）无效。</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5.2成交公告发布后，供应商应及时到携手阳光公司办理退还手续（如：提供账户信息、收据等），否视为因供应商自身原因导致无法及时退还。 </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5.3供应商有下列情形之一的，视为</w:t>
      </w:r>
      <w:r>
        <w:rPr>
          <w:rFonts w:hint="eastAsia" w:asciiTheme="minorEastAsia" w:hAnsiTheme="minorEastAsia" w:eastAsiaTheme="minorEastAsia" w:cstheme="minorEastAsia"/>
          <w:b/>
          <w:szCs w:val="21"/>
          <w:shd w:val="clear" w:color="auto" w:fill="FFFFFF"/>
        </w:rPr>
        <w:t>因</w:t>
      </w:r>
      <w:r>
        <w:rPr>
          <w:rFonts w:hint="eastAsia" w:asciiTheme="minorEastAsia" w:hAnsiTheme="minorEastAsia" w:eastAsiaTheme="minorEastAsia" w:cstheme="minorEastAsia"/>
          <w:b/>
          <w:szCs w:val="21"/>
        </w:rPr>
        <w:t>供应商</w:t>
      </w:r>
      <w:r>
        <w:rPr>
          <w:rFonts w:hint="eastAsia" w:asciiTheme="minorEastAsia" w:hAnsiTheme="minorEastAsia" w:eastAsiaTheme="minorEastAsia" w:cstheme="minorEastAsia"/>
          <w:b/>
          <w:szCs w:val="21"/>
          <w:shd w:val="clear" w:color="auto" w:fill="FFFFFF"/>
        </w:rPr>
        <w:t>过错且造成</w:t>
      </w:r>
      <w:r>
        <w:rPr>
          <w:rFonts w:hint="eastAsia" w:asciiTheme="minorEastAsia" w:hAnsiTheme="minorEastAsia" w:eastAsiaTheme="minorEastAsia" w:cstheme="minorEastAsia"/>
          <w:b/>
          <w:szCs w:val="21"/>
        </w:rPr>
        <w:t>携手阳光公司</w:t>
      </w:r>
      <w:r>
        <w:rPr>
          <w:rFonts w:hint="eastAsia" w:asciiTheme="minorEastAsia" w:hAnsiTheme="minorEastAsia" w:eastAsiaTheme="minorEastAsia" w:cstheme="minorEastAsia"/>
          <w:b/>
          <w:szCs w:val="21"/>
          <w:shd w:val="clear" w:color="auto" w:fill="FFFFFF"/>
        </w:rPr>
        <w:t>相关权益的损害，</w:t>
      </w:r>
      <w:r>
        <w:rPr>
          <w:rFonts w:hint="eastAsia" w:asciiTheme="minorEastAsia" w:hAnsiTheme="minorEastAsia" w:eastAsiaTheme="minorEastAsia" w:cstheme="minorEastAsia"/>
          <w:b/>
          <w:szCs w:val="21"/>
        </w:rPr>
        <w:t>供应商</w:t>
      </w:r>
      <w:r>
        <w:rPr>
          <w:rFonts w:hint="eastAsia" w:asciiTheme="minorEastAsia" w:hAnsiTheme="minorEastAsia" w:eastAsiaTheme="minorEastAsia" w:cstheme="minorEastAsia"/>
          <w:b/>
          <w:szCs w:val="21"/>
          <w:shd w:val="clear" w:color="auto" w:fill="FFFFFF"/>
        </w:rPr>
        <w:t>应当承担侵权责任，</w:t>
      </w:r>
      <w:r>
        <w:rPr>
          <w:rFonts w:hint="eastAsia" w:asciiTheme="minorEastAsia" w:hAnsiTheme="minorEastAsia" w:eastAsiaTheme="minorEastAsia" w:cstheme="minorEastAsia"/>
          <w:b/>
          <w:szCs w:val="21"/>
        </w:rPr>
        <w:t>携手阳光公司有权要求供应商进行损害赔偿（赔偿给携手阳光公司。赔偿标准：预算金额的2%）或保证金不予退还（全额）。</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（1）供应商报名后未参加投标（响应）（提前告知的除外）或在在投标有效期内，撤销投标的；</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（2）因供应商原因（如响应文件目录编写错误等）导致本项目重新评审或重新采购的；</w:t>
      </w:r>
      <w:r>
        <w:rPr>
          <w:rFonts w:hint="eastAsia" w:asciiTheme="minorEastAsia" w:hAnsiTheme="minorEastAsia" w:eastAsiaTheme="minorEastAsia" w:cstheme="minorEastAsia"/>
          <w:b/>
          <w:szCs w:val="21"/>
        </w:rPr>
        <w:t xml:space="preserve">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（3）供应商所提供的有关资料（含质疑材料）不真实或</w:t>
      </w:r>
      <w:r>
        <w:rPr>
          <w:rFonts w:hint="eastAsia" w:asciiTheme="minorEastAsia" w:hAnsiTheme="minorEastAsia" w:eastAsiaTheme="minorEastAsia" w:cstheme="minorEastAsia"/>
          <w:kern w:val="0"/>
          <w:szCs w:val="21"/>
        </w:rPr>
        <w:t>以非法手段取得的；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（4）除因不可抗力或采购文件认可的情形以外，成交供应商不与采购人签订合同的；</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（5）不按本须知的规定缴纳代理服务费的；</w:t>
      </w:r>
    </w:p>
    <w:p>
      <w:pPr>
        <w:spacing w:line="262"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（6）法律、法规及本采购文件规定的其他情况。</w:t>
      </w:r>
    </w:p>
    <w:p>
      <w:pPr>
        <w:spacing w:line="262" w:lineRule="auto"/>
        <w:rPr>
          <w:rFonts w:asciiTheme="minorEastAsia" w:hAnsiTheme="minorEastAsia" w:eastAsiaTheme="minorEastAsia" w:cstheme="minorEastAsia"/>
          <w:b/>
          <w:szCs w:val="21"/>
        </w:rPr>
      </w:pPr>
      <w:bookmarkStart w:id="136" w:name="_Toc32569"/>
      <w:bookmarkStart w:id="137" w:name="_Toc520356157"/>
      <w:bookmarkStart w:id="138" w:name="_Toc515647772"/>
      <w:bookmarkStart w:id="139" w:name="_Toc22901"/>
      <w:r>
        <w:rPr>
          <w:rFonts w:hint="eastAsia" w:asciiTheme="minorEastAsia" w:hAnsiTheme="minorEastAsia" w:eastAsiaTheme="minorEastAsia" w:cstheme="minorEastAsia"/>
          <w:b/>
          <w:szCs w:val="21"/>
        </w:rPr>
        <w:t>6.投标有效期</w:t>
      </w:r>
      <w:bookmarkEnd w:id="136"/>
      <w:bookmarkEnd w:id="137"/>
      <w:bookmarkEnd w:id="138"/>
      <w:bookmarkEnd w:id="139"/>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6.1投标应在</w:t>
      </w:r>
      <w:r>
        <w:rPr>
          <w:rFonts w:hint="eastAsia" w:asciiTheme="minorEastAsia" w:hAnsiTheme="minorEastAsia" w:eastAsiaTheme="minorEastAsia" w:cstheme="minorEastAsia"/>
          <w:szCs w:val="21"/>
          <w:u w:val="single"/>
        </w:rPr>
        <w:t>供应商须知资料表</w:t>
      </w:r>
      <w:r>
        <w:rPr>
          <w:rFonts w:hint="eastAsia" w:asciiTheme="minorEastAsia" w:hAnsiTheme="minorEastAsia" w:eastAsiaTheme="minorEastAsia" w:cstheme="minorEastAsia"/>
          <w:szCs w:val="21"/>
        </w:rPr>
        <w:t>中规定时间内保持有效。投标有效期不满足要求的投标，其投标将被认定为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6.2为保证有充分时间签订合同，采购人或采购代理机构可根据实际情况，在原投标有效期截止之前，要求供应商延长响应文件的有效期，接受该要求的供应商将不会被要求和允许修正其投标。</w:t>
      </w:r>
      <w:bookmarkStart w:id="140" w:name="_Toc17074"/>
      <w:bookmarkStart w:id="141" w:name="_Toc17609"/>
      <w:bookmarkStart w:id="142" w:name="_Toc515647773"/>
      <w:bookmarkStart w:id="143" w:name="_Toc520356158"/>
      <w:bookmarkStart w:id="144" w:name="_Toc493"/>
    </w:p>
    <w:bookmarkEnd w:id="140"/>
    <w:bookmarkEnd w:id="141"/>
    <w:bookmarkEnd w:id="142"/>
    <w:bookmarkEnd w:id="143"/>
    <w:bookmarkEnd w:id="144"/>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7.响应文件的签署及规定</w:t>
      </w:r>
    </w:p>
    <w:p>
      <w:pPr>
        <w:pStyle w:val="17"/>
        <w:spacing w:line="262" w:lineRule="auto"/>
        <w:ind w:firstLine="42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7.1供应商应按</w:t>
      </w:r>
      <w:r>
        <w:rPr>
          <w:rFonts w:hint="eastAsia" w:asciiTheme="minorEastAsia" w:hAnsiTheme="minorEastAsia" w:eastAsiaTheme="minorEastAsia" w:cstheme="minorEastAsia"/>
          <w:sz w:val="21"/>
          <w:szCs w:val="21"/>
          <w:u w:val="single"/>
        </w:rPr>
        <w:t>供应商须知资料表</w:t>
      </w:r>
      <w:r>
        <w:rPr>
          <w:rFonts w:hint="eastAsia" w:asciiTheme="minorEastAsia" w:hAnsiTheme="minorEastAsia" w:eastAsiaTheme="minorEastAsia" w:cstheme="minorEastAsia"/>
          <w:sz w:val="21"/>
          <w:szCs w:val="21"/>
        </w:rPr>
        <w:t>中的规定，准备和递交响应文件正本、副本和电子文档，每份响应文件封皮须清楚地标明“正本”或“副本”。若正本和副本不符，以正本为准。如响应文件未标明或未清楚标准明正本或副本的，所引起的后果由供应商负责（含承担</w:t>
      </w:r>
      <w:r>
        <w:rPr>
          <w:rFonts w:hint="eastAsia" w:asciiTheme="minorEastAsia" w:hAnsiTheme="minorEastAsia" w:eastAsiaTheme="minorEastAsia" w:cstheme="minorEastAsia"/>
          <w:sz w:val="21"/>
          <w:szCs w:val="21"/>
          <w:shd w:val="clear" w:color="auto" w:fill="FFFFFF"/>
        </w:rPr>
        <w:t>过错赔偿）</w:t>
      </w:r>
      <w:r>
        <w:rPr>
          <w:rFonts w:hint="eastAsia" w:asciiTheme="minorEastAsia" w:hAnsiTheme="minorEastAsia" w:eastAsiaTheme="minorEastAsia" w:cstheme="minorEastAsia"/>
          <w:sz w:val="21"/>
          <w:szCs w:val="21"/>
        </w:rPr>
        <w:t>。</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7.2响应文件的正本需打印或用不褪色墨水书写，并由供应商的法定代表人或经其正式委托代理人按采购文件规定在响应文件上签字并加盖单位印章。如对响应文件进行了修改，则应由供应商的法定代表人或其委托代理人在每一修改处签字。响应文件的副本可采用正本的复印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7.3所有响应文件请采用不可拆装的胶订或订书机方式装订。响应文件因字迹潦草、表达不清或装订不当等原因所引起的后果由供应商负责。</w:t>
      </w:r>
    </w:p>
    <w:p>
      <w:pPr>
        <w:spacing w:line="262" w:lineRule="auto"/>
        <w:ind w:firstLine="422" w:firstLineChars="200"/>
        <w:jc w:val="center"/>
        <w:outlineLvl w:val="1"/>
        <w:rPr>
          <w:rFonts w:asciiTheme="minorEastAsia" w:hAnsiTheme="minorEastAsia" w:eastAsiaTheme="minorEastAsia" w:cstheme="minorEastAsia"/>
          <w:b/>
          <w:bCs/>
          <w:szCs w:val="21"/>
        </w:rPr>
      </w:pPr>
      <w:bookmarkStart w:id="145" w:name="_Toc118275557"/>
      <w:bookmarkStart w:id="146" w:name="_Toc118275637"/>
      <w:bookmarkStart w:id="147" w:name="_Toc118275517"/>
      <w:bookmarkStart w:id="148" w:name="_Toc118235412"/>
      <w:bookmarkStart w:id="149" w:name="_Toc107916291"/>
      <w:bookmarkStart w:id="150" w:name="_Toc17522"/>
      <w:r>
        <w:rPr>
          <w:rFonts w:hint="eastAsia" w:asciiTheme="minorEastAsia" w:hAnsiTheme="minorEastAsia" w:eastAsiaTheme="minorEastAsia" w:cstheme="minorEastAsia"/>
          <w:b/>
          <w:bCs/>
          <w:szCs w:val="21"/>
        </w:rPr>
        <w:t>四、响应文件的递交</w:t>
      </w:r>
      <w:r>
        <w:rPr>
          <w:rFonts w:hint="eastAsia" w:asciiTheme="minorEastAsia" w:hAnsiTheme="minorEastAsia" w:eastAsiaTheme="minorEastAsia" w:cstheme="minorEastAsia"/>
          <w:b/>
          <w:szCs w:val="21"/>
        </w:rPr>
        <w:t>及</w:t>
      </w:r>
      <w:r>
        <w:rPr>
          <w:rFonts w:hint="eastAsia" w:asciiTheme="minorEastAsia" w:hAnsiTheme="minorEastAsia" w:eastAsiaTheme="minorEastAsia" w:cstheme="minorEastAsia"/>
          <w:b/>
          <w:bCs/>
          <w:szCs w:val="21"/>
        </w:rPr>
        <w:t>接收</w:t>
      </w:r>
      <w:bookmarkEnd w:id="145"/>
      <w:bookmarkEnd w:id="146"/>
      <w:bookmarkEnd w:id="147"/>
      <w:bookmarkEnd w:id="148"/>
      <w:bookmarkEnd w:id="149"/>
      <w:bookmarkEnd w:id="150"/>
    </w:p>
    <w:p>
      <w:pPr>
        <w:pStyle w:val="9"/>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1.响应文件的密封及递交（</w:t>
      </w:r>
      <w:r>
        <w:rPr>
          <w:rFonts w:hint="eastAsia" w:asciiTheme="minorEastAsia" w:hAnsiTheme="minorEastAsia" w:eastAsiaTheme="minorEastAsia" w:cstheme="minorEastAsia"/>
          <w:b/>
          <w:bCs/>
          <w:szCs w:val="21"/>
        </w:rPr>
        <w:t>接收</w:t>
      </w:r>
      <w:r>
        <w:rPr>
          <w:rFonts w:hint="eastAsia" w:asciiTheme="minorEastAsia" w:hAnsiTheme="minorEastAsia" w:eastAsiaTheme="minorEastAsia" w:cstheme="minorEastAsia"/>
          <w:b/>
          <w:szCs w:val="21"/>
        </w:rPr>
        <w:t>）</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1.1提交响应文件截止时间及地点：</w:t>
      </w:r>
      <w:r>
        <w:rPr>
          <w:rFonts w:hint="eastAsia" w:asciiTheme="minorEastAsia" w:hAnsiTheme="minorEastAsia" w:eastAsiaTheme="minorEastAsia" w:cstheme="minorEastAsia"/>
          <w:szCs w:val="21"/>
        </w:rPr>
        <w:t>提交响应文件截止时间及地点见</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供应商应当在采购文件（</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要求的截止时间前，将响应文件密封（</w:t>
      </w:r>
      <w:r>
        <w:rPr>
          <w:rFonts w:hint="eastAsia" w:asciiTheme="minorEastAsia" w:hAnsiTheme="minorEastAsia" w:eastAsiaTheme="minorEastAsia" w:cstheme="minorEastAsia"/>
          <w:b/>
          <w:szCs w:val="21"/>
        </w:rPr>
        <w:t>无法直接换取即可。但建议密封严实</w:t>
      </w:r>
      <w:r>
        <w:rPr>
          <w:rFonts w:hint="eastAsia" w:asciiTheme="minorEastAsia" w:hAnsiTheme="minorEastAsia" w:eastAsiaTheme="minorEastAsia" w:cstheme="minorEastAsia"/>
          <w:szCs w:val="21"/>
        </w:rPr>
        <w:t>）送达指定地点。在截止时间后送达的响应文件为无效文件，携手阳 光公司等予以拒收。请供应商在密封包装上注明供应商名称、项目名称（编号）等信息，以便携手阳光公司接受。</w:t>
      </w:r>
    </w:p>
    <w:p>
      <w:pPr>
        <w:pStyle w:val="17"/>
        <w:spacing w:line="262" w:lineRule="auto"/>
        <w:ind w:firstLine="420" w:firstLineChars="200"/>
        <w:jc w:val="left"/>
        <w:rPr>
          <w:rFonts w:asciiTheme="minorEastAsia" w:hAnsiTheme="minorEastAsia" w:eastAsiaTheme="minorEastAsia" w:cstheme="minorEastAsia"/>
          <w:sz w:val="21"/>
          <w:szCs w:val="21"/>
        </w:rPr>
      </w:pPr>
      <w:bookmarkStart w:id="151" w:name="_Toc2421"/>
      <w:bookmarkStart w:id="152" w:name="_Toc8324"/>
      <w:bookmarkStart w:id="153" w:name="_Toc518926877"/>
      <w:r>
        <w:rPr>
          <w:rFonts w:hint="eastAsia" w:asciiTheme="minorEastAsia" w:hAnsiTheme="minorEastAsia" w:eastAsiaTheme="minorEastAsia" w:cstheme="minorEastAsia"/>
          <w:sz w:val="21"/>
          <w:szCs w:val="21"/>
        </w:rPr>
        <w:t>1.2采购人和采购代理机构有权按本须知的规定，延迟投标截止时间。在此情况下，采购人、携手阳光公司和供应商受投标截止时间制约的所有权利和义务均应延长至新的截止时间。</w:t>
      </w:r>
    </w:p>
    <w:p>
      <w:pPr>
        <w:pStyle w:val="17"/>
        <w:spacing w:line="262"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1.3采购方对供应商误投或过早启封概不负责。</w:t>
      </w:r>
      <w:r>
        <w:rPr>
          <w:rFonts w:hint="eastAsia" w:asciiTheme="minorEastAsia" w:hAnsiTheme="minorEastAsia" w:eastAsiaTheme="minorEastAsia" w:cstheme="minorEastAsia"/>
          <w:bCs/>
          <w:sz w:val="21"/>
          <w:szCs w:val="21"/>
        </w:rPr>
        <w:t>不论供应商是否成交，</w:t>
      </w:r>
      <w:r>
        <w:rPr>
          <w:rFonts w:hint="eastAsia" w:asciiTheme="minorEastAsia" w:hAnsiTheme="minorEastAsia" w:eastAsiaTheme="minorEastAsia" w:cstheme="minorEastAsia"/>
          <w:sz w:val="21"/>
          <w:szCs w:val="21"/>
        </w:rPr>
        <w:t>响应文件</w:t>
      </w:r>
      <w:r>
        <w:rPr>
          <w:rFonts w:hint="eastAsia" w:asciiTheme="minorEastAsia" w:hAnsiTheme="minorEastAsia" w:eastAsiaTheme="minorEastAsia" w:cstheme="minorEastAsia"/>
          <w:bCs/>
          <w:sz w:val="21"/>
          <w:szCs w:val="21"/>
        </w:rPr>
        <w:t>均不退回。</w:t>
      </w:r>
    </w:p>
    <w:p>
      <w:pPr>
        <w:pStyle w:val="17"/>
        <w:spacing w:line="262" w:lineRule="auto"/>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2.响应文件的修改与撤回</w:t>
      </w:r>
    </w:p>
    <w:p>
      <w:pPr>
        <w:pStyle w:val="17"/>
        <w:spacing w:line="262" w:lineRule="auto"/>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w:t>
      </w:r>
      <w:r>
        <w:rPr>
          <w:rFonts w:hint="eastAsia" w:asciiTheme="minorEastAsia" w:hAnsiTheme="minorEastAsia" w:eastAsiaTheme="minorEastAsia" w:cstheme="minorEastAsia"/>
          <w:sz w:val="21"/>
          <w:szCs w:val="21"/>
        </w:rPr>
        <w:t>2.1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须密封并在提交响应文件截止时间前重新递交）。</w:t>
      </w:r>
    </w:p>
    <w:p>
      <w:pPr>
        <w:pStyle w:val="17"/>
        <w:spacing w:line="262"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bookmarkEnd w:id="151"/>
      <w:bookmarkEnd w:id="152"/>
      <w:bookmarkEnd w:id="153"/>
      <w:r>
        <w:rPr>
          <w:rFonts w:hint="eastAsia" w:asciiTheme="minorEastAsia" w:hAnsiTheme="minorEastAsia" w:eastAsiaTheme="minorEastAsia" w:cstheme="minorEastAsia"/>
          <w:sz w:val="21"/>
          <w:szCs w:val="21"/>
        </w:rPr>
        <w:t>供应商在提交响应文件截止时间后撤回响应文件的，</w:t>
      </w:r>
      <w:r>
        <w:rPr>
          <w:rFonts w:hint="eastAsia" w:asciiTheme="minorEastAsia" w:hAnsiTheme="minorEastAsia" w:eastAsiaTheme="minorEastAsia" w:cstheme="minorEastAsia"/>
          <w:b/>
          <w:sz w:val="21"/>
          <w:szCs w:val="21"/>
        </w:rPr>
        <w:t>供应商须承担</w:t>
      </w:r>
      <w:r>
        <w:rPr>
          <w:rFonts w:hint="eastAsia" w:asciiTheme="minorEastAsia" w:hAnsiTheme="minorEastAsia" w:eastAsiaTheme="minorEastAsia" w:cstheme="minorEastAsia"/>
          <w:b/>
          <w:sz w:val="21"/>
          <w:szCs w:val="21"/>
          <w:shd w:val="clear" w:color="auto" w:fill="FFFFFF"/>
        </w:rPr>
        <w:t>过错赔偿</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bCs/>
          <w:sz w:val="21"/>
          <w:szCs w:val="21"/>
        </w:rPr>
        <w:t xml:space="preserve">   </w:t>
      </w:r>
    </w:p>
    <w:p>
      <w:pPr>
        <w:pStyle w:val="17"/>
        <w:spacing w:line="262" w:lineRule="auto"/>
        <w:ind w:firstLine="420"/>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2.3</w:t>
      </w:r>
      <w:bookmarkEnd w:id="130"/>
      <w:bookmarkEnd w:id="131"/>
      <w:bookmarkEnd w:id="132"/>
      <w:bookmarkEnd w:id="133"/>
      <w:bookmarkEnd w:id="134"/>
      <w:bookmarkEnd w:id="135"/>
      <w:bookmarkStart w:id="154" w:name="_Toc513029224"/>
      <w:bookmarkStart w:id="155" w:name="_Toc14577362"/>
      <w:bookmarkStart w:id="156" w:name="_Toc61149562"/>
      <w:r>
        <w:rPr>
          <w:rFonts w:hint="eastAsia" w:asciiTheme="minorEastAsia" w:hAnsiTheme="minorEastAsia" w:eastAsiaTheme="minorEastAsia" w:cstheme="minorEastAsia"/>
          <w:sz w:val="21"/>
          <w:szCs w:val="21"/>
        </w:rPr>
        <w:t>供应商在提交最后报价之前，可以根据磋商情况退出磋商。但如无正当理由退出且造成在采购过程中符合竞争要求的供应商或者报价未超过采购预算的供应商不足3家的，</w:t>
      </w:r>
      <w:r>
        <w:rPr>
          <w:rFonts w:hint="eastAsia" w:asciiTheme="minorEastAsia" w:hAnsiTheme="minorEastAsia" w:eastAsiaTheme="minorEastAsia" w:cstheme="minorEastAsia"/>
          <w:b/>
          <w:sz w:val="21"/>
          <w:szCs w:val="21"/>
        </w:rPr>
        <w:t>供应商须承担</w:t>
      </w:r>
      <w:r>
        <w:rPr>
          <w:rFonts w:hint="eastAsia" w:asciiTheme="minorEastAsia" w:hAnsiTheme="minorEastAsia" w:eastAsiaTheme="minorEastAsia" w:cstheme="minorEastAsia"/>
          <w:b/>
          <w:sz w:val="21"/>
          <w:szCs w:val="21"/>
          <w:shd w:val="clear" w:color="auto" w:fill="FFFFFF"/>
        </w:rPr>
        <w:t>过错赔偿</w:t>
      </w:r>
      <w:r>
        <w:rPr>
          <w:rFonts w:hint="eastAsia" w:asciiTheme="minorEastAsia" w:hAnsiTheme="minorEastAsia" w:eastAsiaTheme="minorEastAsia" w:cstheme="minorEastAsia"/>
          <w:b/>
          <w:sz w:val="21"/>
          <w:szCs w:val="21"/>
        </w:rPr>
        <w:t>。</w:t>
      </w:r>
    </w:p>
    <w:p>
      <w:pPr>
        <w:pStyle w:val="9"/>
        <w:spacing w:line="240" w:lineRule="exact"/>
        <w:rPr>
          <w:rFonts w:asciiTheme="minorEastAsia" w:hAnsiTheme="minorEastAsia" w:eastAsiaTheme="minorEastAsia" w:cstheme="minorEastAsia"/>
          <w:sz w:val="21"/>
          <w:szCs w:val="21"/>
        </w:rPr>
      </w:pPr>
    </w:p>
    <w:bookmarkEnd w:id="154"/>
    <w:bookmarkEnd w:id="155"/>
    <w:bookmarkEnd w:id="156"/>
    <w:p>
      <w:pPr>
        <w:spacing w:line="262" w:lineRule="auto"/>
        <w:jc w:val="center"/>
        <w:outlineLvl w:val="1"/>
        <w:rPr>
          <w:rFonts w:asciiTheme="minorEastAsia" w:hAnsiTheme="minorEastAsia" w:eastAsiaTheme="minorEastAsia" w:cstheme="minorEastAsia"/>
          <w:szCs w:val="21"/>
        </w:rPr>
      </w:pPr>
      <w:bookmarkStart w:id="157" w:name="_Hlt26954864"/>
      <w:bookmarkEnd w:id="157"/>
      <w:bookmarkStart w:id="158" w:name="_Hlt26954856"/>
      <w:bookmarkEnd w:id="158"/>
      <w:bookmarkStart w:id="159" w:name="_Hlt26670523"/>
      <w:bookmarkEnd w:id="159"/>
      <w:bookmarkStart w:id="160" w:name="_Toc118275518"/>
      <w:bookmarkStart w:id="161" w:name="_Toc118235413"/>
      <w:bookmarkStart w:id="162" w:name="_Toc118275638"/>
      <w:bookmarkStart w:id="163" w:name="_Toc118275558"/>
      <w:bookmarkStart w:id="164" w:name="_Toc107916292"/>
      <w:bookmarkStart w:id="165" w:name="_Toc1795"/>
      <w:r>
        <w:rPr>
          <w:rFonts w:hint="eastAsia" w:asciiTheme="minorEastAsia" w:hAnsiTheme="minorEastAsia" w:eastAsiaTheme="minorEastAsia" w:cstheme="minorEastAsia"/>
          <w:b/>
          <w:szCs w:val="21"/>
        </w:rPr>
        <w:t>五、响应开启、评审程序与评审</w:t>
      </w:r>
      <w:bookmarkEnd w:id="160"/>
      <w:bookmarkEnd w:id="161"/>
      <w:bookmarkEnd w:id="162"/>
      <w:bookmarkEnd w:id="163"/>
      <w:bookmarkEnd w:id="164"/>
      <w:bookmarkEnd w:id="165"/>
      <w:bookmarkStart w:id="166" w:name="_Toc513029230"/>
      <w:bookmarkStart w:id="167" w:name="_Toc16938546"/>
      <w:bookmarkStart w:id="168" w:name="_Toc20823302"/>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bookmarkEnd w:id="166"/>
      <w:bookmarkEnd w:id="167"/>
      <w:bookmarkEnd w:id="168"/>
      <w:r>
        <w:rPr>
          <w:rFonts w:hint="eastAsia" w:asciiTheme="minorEastAsia" w:hAnsiTheme="minorEastAsia" w:eastAsiaTheme="minorEastAsia" w:cstheme="minorEastAsia"/>
          <w:b/>
          <w:szCs w:val="21"/>
        </w:rPr>
        <w:t>.响应</w:t>
      </w:r>
      <w:bookmarkStart w:id="169" w:name="_Toc20823303"/>
      <w:bookmarkStart w:id="170" w:name="_Toc16938547"/>
      <w:bookmarkStart w:id="171" w:name="_Toc513029231"/>
      <w:r>
        <w:rPr>
          <w:rFonts w:hint="eastAsia" w:asciiTheme="minorEastAsia" w:hAnsiTheme="minorEastAsia" w:eastAsiaTheme="minorEastAsia" w:cstheme="minorEastAsia"/>
          <w:b/>
          <w:szCs w:val="21"/>
        </w:rPr>
        <w:t>开启时间及地点</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本项目响应文件开启时间及地点见</w:t>
      </w:r>
      <w:r>
        <w:rPr>
          <w:rFonts w:hint="eastAsia" w:asciiTheme="minorEastAsia" w:hAnsiTheme="minorEastAsia" w:eastAsiaTheme="minorEastAsia" w:cstheme="minorEastAsia"/>
          <w:b/>
          <w:bCs/>
          <w:szCs w:val="21"/>
          <w:u w:val="single"/>
        </w:rPr>
        <w:t>采购公告</w:t>
      </w:r>
      <w:r>
        <w:rPr>
          <w:rFonts w:hint="eastAsia" w:asciiTheme="minorEastAsia" w:hAnsiTheme="minorEastAsia" w:eastAsiaTheme="minorEastAsia" w:cstheme="minorEastAsia"/>
          <w:szCs w:val="21"/>
        </w:rPr>
        <w:t>。</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2.评审小组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2.1评审小组由采购人代表和评审专家共3人以上单数组成，其中评审专家人数不得少于评审小组成员总数的2/3。评审专家应当遵守评审工作纪律，不得泄露评审情况和评审中获悉的商业秘密。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bookmarkEnd w:id="169"/>
      <w:bookmarkEnd w:id="170"/>
      <w:bookmarkEnd w:id="171"/>
      <w:r>
        <w:rPr>
          <w:rFonts w:hint="eastAsia" w:asciiTheme="minorEastAsia" w:hAnsiTheme="minorEastAsia" w:eastAsiaTheme="minorEastAsia" w:cstheme="minorEastAsia"/>
          <w:szCs w:val="21"/>
        </w:rPr>
        <w:t>评审小组成员应当按照客观、公正、审慎的原则，根据采购文件规定的评审程序、评审方法和评审标准进行独立评审。未实质性响应采购文件的响应文件按无效响应处理。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2.3在评审过程中，供应商不得以任何行为影响评审过程，否则其响应文件将被作为无效响应文件。</w:t>
      </w:r>
      <w:bookmarkStart w:id="172" w:name="_Toc16938549"/>
      <w:bookmarkStart w:id="173" w:name="_Toc513029233"/>
      <w:bookmarkStart w:id="174" w:name="_Toc20823305"/>
    </w:p>
    <w:p>
      <w:pPr>
        <w:spacing w:line="247"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3.有效的响应文件</w:t>
      </w:r>
    </w:p>
    <w:bookmarkEnd w:id="172"/>
    <w:bookmarkEnd w:id="173"/>
    <w:bookmarkEnd w:id="174"/>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3.1评审小组在对响应文件的有效性、完整性和响应程度进行审查</w:t>
      </w:r>
      <w:r>
        <w:rPr>
          <w:rFonts w:hint="eastAsia" w:asciiTheme="minorEastAsia" w:hAnsiTheme="minorEastAsia" w:eastAsiaTheme="minorEastAsia" w:cstheme="minorEastAsia"/>
          <w:b/>
          <w:szCs w:val="21"/>
        </w:rPr>
        <w:t>。</w:t>
      </w:r>
    </w:p>
    <w:p>
      <w:pPr>
        <w:spacing w:line="262" w:lineRule="auto"/>
        <w:ind w:firstLine="420" w:firstLineChars="200"/>
        <w:rPr>
          <w:rFonts w:asciiTheme="minorEastAsia" w:hAnsiTheme="minorEastAsia" w:eastAsiaTheme="minorEastAsia" w:cstheme="minorEastAsia"/>
          <w:szCs w:val="21"/>
        </w:rPr>
      </w:pPr>
      <w:bookmarkStart w:id="175" w:name="_Toc513029234"/>
      <w:bookmarkStart w:id="176" w:name="_Toc20823306"/>
      <w:bookmarkStart w:id="177" w:name="_Toc16938550"/>
      <w:r>
        <w:rPr>
          <w:rFonts w:hint="eastAsia" w:asciiTheme="minorEastAsia" w:hAnsiTheme="minorEastAsia" w:eastAsiaTheme="minorEastAsia" w:cstheme="minorEastAsia"/>
          <w:szCs w:val="21"/>
        </w:rPr>
        <w:t>3.2被认定为未实质性响应采购文件的响应文件的情形：</w:t>
      </w:r>
    </w:p>
    <w:p>
      <w:pPr>
        <w:spacing w:line="262" w:lineRule="auto"/>
        <w:ind w:firstLine="420" w:firstLineChars="200"/>
        <w:rPr>
          <w:rFonts w:asciiTheme="minorEastAsia" w:hAnsiTheme="minorEastAsia" w:eastAsiaTheme="minorEastAsia" w:cstheme="minorEastAsia"/>
          <w:szCs w:val="21"/>
        </w:rPr>
      </w:pPr>
      <w:bookmarkStart w:id="178" w:name="_Toc20823304"/>
      <w:bookmarkStart w:id="179" w:name="_Toc513029232"/>
      <w:bookmarkStart w:id="180" w:name="_Toc16938548"/>
      <w:r>
        <w:rPr>
          <w:rFonts w:hint="eastAsia" w:asciiTheme="minorEastAsia" w:hAnsiTheme="minorEastAsia" w:eastAsiaTheme="minorEastAsia" w:cstheme="minorEastAsia"/>
          <w:szCs w:val="21"/>
        </w:rPr>
        <w:t>（1）未按要求交纳保证金的（限要求提交保证金的项目）；</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（2）未按照采购文件规定要求签署、盖章的；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（3）提供的产品质量和服务没有满足采购文件规定的实质性要求的；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（4）评审小组认为供应商的报价明显低于其他通过符合性检查供应商的报价</w:t>
      </w:r>
      <w:r>
        <w:rPr>
          <w:rFonts w:hint="eastAsia" w:asciiTheme="minorEastAsia" w:hAnsiTheme="minorEastAsia" w:eastAsiaTheme="minorEastAsia" w:cstheme="minorEastAsia"/>
          <w:kern w:val="0"/>
          <w:szCs w:val="21"/>
        </w:rPr>
        <w:t>，有可能影响采购质量（例：所投产品品牌档次无可比性或非同一级别的等）或者不能诚信履约的；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（5）不符合法规和采购文件中规定的其他实质性要求的（例：</w:t>
      </w:r>
      <w:r>
        <w:rPr>
          <w:rFonts w:hint="eastAsia" w:asciiTheme="minorEastAsia" w:hAnsiTheme="minorEastAsia" w:eastAsiaTheme="minorEastAsia" w:cstheme="minorEastAsia"/>
          <w:kern w:val="0"/>
          <w:szCs w:val="21"/>
        </w:rPr>
        <w:t>超过预算金额、</w:t>
      </w:r>
      <w:r>
        <w:rPr>
          <w:rFonts w:hint="eastAsia" w:asciiTheme="minorEastAsia" w:hAnsiTheme="minorEastAsia" w:eastAsiaTheme="minorEastAsia" w:cstheme="minorEastAsia"/>
          <w:szCs w:val="21"/>
        </w:rPr>
        <w:t>采用选择性报价等）。</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4.评审过程的澄清</w:t>
      </w:r>
      <w:bookmarkEnd w:id="178"/>
      <w:bookmarkEnd w:id="179"/>
      <w:bookmarkEnd w:id="180"/>
      <w:r>
        <w:rPr>
          <w:rFonts w:hint="eastAsia" w:asciiTheme="minorEastAsia" w:hAnsiTheme="minorEastAsia" w:eastAsiaTheme="minorEastAsia" w:cstheme="minorEastAsia"/>
          <w:b/>
          <w:szCs w:val="21"/>
        </w:rPr>
        <w:t>、说明和更正</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4.1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接到评审小组要求的供应商应派人按评审小组通知的时间和地点做出书面澄清、说明或更正。供应商的澄清、说明或者更正应当由法定代表人或其授权代表签字或者加盖公章。由授权代表签字的，应当附法人授权书。</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 接到评审小组澄清要求的供应商如未按规定做出澄清，其风险由供应商自行承担。</w:t>
      </w:r>
      <w:bookmarkEnd w:id="175"/>
      <w:bookmarkEnd w:id="176"/>
      <w:bookmarkEnd w:id="177"/>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w:t>
      </w:r>
      <w:bookmarkStart w:id="181" w:name="_Toc16938551"/>
      <w:bookmarkStart w:id="182" w:name="_Toc20823307"/>
      <w:bookmarkStart w:id="183" w:name="_Toc513029235"/>
      <w:r>
        <w:rPr>
          <w:rFonts w:hint="eastAsia" w:asciiTheme="minorEastAsia" w:hAnsiTheme="minorEastAsia" w:eastAsiaTheme="minorEastAsia" w:cstheme="minorEastAsia"/>
          <w:b/>
          <w:szCs w:val="21"/>
        </w:rPr>
        <w:t>评审方法、评审标准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5.1评审方法：综合评分法。</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评分法，是指响应文件满足采购文件全部实质性要求且按评审因素的量化指标评审得分最高的供应商为成交候选供应商的评审方法。评审时，评审小组各成员独立对每个有效响应的文件进行评价、打分，然后汇总每个供应商每项评分因素的得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5.2评审标准：略，见本采购文件第4章规定。</w:t>
      </w:r>
    </w:p>
    <w:p>
      <w:pPr>
        <w:spacing w:line="262" w:lineRule="auto"/>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5.3采购人视情执行政府采购政策。具体优先采购办法见采购文件第4章。</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评审小组根据综合评分情况，按照评审得分由高到低顺序推荐成交候选供应商，并编写评审报告。评审得分相同的，按照最后报价由低到高的顺序推荐。评审得分且最后报价相同的，按照技术指标优劣顺序推荐。采购人根据评审小组推荐的成交候选人确定成交供应商（多种并列情形的，采购人将自行确定）。采购人确定成交供应商后，将发布公告或以电子邮件等方式通知所有参加采购的供应商。</w:t>
      </w:r>
    </w:p>
    <w:bookmarkEnd w:id="181"/>
    <w:bookmarkEnd w:id="182"/>
    <w:bookmarkEnd w:id="183"/>
    <w:p>
      <w:pPr>
        <w:spacing w:line="262" w:lineRule="auto"/>
        <w:jc w:val="center"/>
        <w:outlineLvl w:val="1"/>
        <w:rPr>
          <w:rFonts w:asciiTheme="minorEastAsia" w:hAnsiTheme="minorEastAsia" w:eastAsiaTheme="minorEastAsia" w:cstheme="minorEastAsia"/>
          <w:szCs w:val="21"/>
        </w:rPr>
      </w:pPr>
      <w:bookmarkStart w:id="184" w:name="_Toc118235414"/>
      <w:bookmarkStart w:id="185" w:name="_Toc118275639"/>
      <w:bookmarkStart w:id="186" w:name="_Toc107916293"/>
      <w:bookmarkStart w:id="187" w:name="_Toc118275559"/>
      <w:bookmarkStart w:id="188" w:name="_Toc118275519"/>
      <w:bookmarkStart w:id="189" w:name="_Toc14451"/>
      <w:r>
        <w:rPr>
          <w:rFonts w:hint="eastAsia" w:asciiTheme="minorEastAsia" w:hAnsiTheme="minorEastAsia" w:eastAsiaTheme="minorEastAsia" w:cstheme="minorEastAsia"/>
          <w:b/>
          <w:szCs w:val="21"/>
        </w:rPr>
        <w:t>六、合同签订相关事项</w:t>
      </w:r>
      <w:bookmarkEnd w:id="184"/>
      <w:bookmarkEnd w:id="185"/>
      <w:bookmarkEnd w:id="186"/>
      <w:bookmarkEnd w:id="187"/>
      <w:bookmarkEnd w:id="188"/>
      <w:bookmarkEnd w:id="189"/>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 合同草案条款及签订合同</w:t>
      </w:r>
    </w:p>
    <w:p>
      <w:pPr>
        <w:spacing w:line="262" w:lineRule="auto"/>
        <w:ind w:firstLine="432"/>
        <w:rPr>
          <w:rFonts w:asciiTheme="minorEastAsia" w:hAnsiTheme="minorEastAsia" w:eastAsiaTheme="minorEastAsia" w:cstheme="minorEastAsia"/>
          <w:spacing w:val="15"/>
          <w:kern w:val="0"/>
          <w:szCs w:val="21"/>
        </w:rPr>
      </w:pPr>
      <w:r>
        <w:rPr>
          <w:rFonts w:hint="eastAsia" w:asciiTheme="minorEastAsia" w:hAnsiTheme="minorEastAsia" w:eastAsiaTheme="minorEastAsia" w:cstheme="minorEastAsia"/>
          <w:szCs w:val="21"/>
        </w:rPr>
        <w:t>1.l成交供应商确定后，</w:t>
      </w:r>
      <w:r>
        <w:rPr>
          <w:rFonts w:hint="eastAsia" w:asciiTheme="minorEastAsia" w:hAnsiTheme="minorEastAsia" w:eastAsiaTheme="minorEastAsia" w:cstheme="minorEastAsia"/>
          <w:bCs/>
          <w:szCs w:val="21"/>
        </w:rPr>
        <w:t>携手阳光公司</w:t>
      </w:r>
      <w:r>
        <w:rPr>
          <w:rFonts w:hint="eastAsia" w:asciiTheme="minorEastAsia" w:hAnsiTheme="minorEastAsia" w:eastAsiaTheme="minorEastAsia" w:cstheme="minorEastAsia"/>
          <w:szCs w:val="21"/>
        </w:rPr>
        <w:t>将向成交供应商发出成交通知书。</w:t>
      </w:r>
      <w:r>
        <w:rPr>
          <w:rFonts w:hint="eastAsia" w:asciiTheme="minorEastAsia" w:hAnsiTheme="minorEastAsia" w:eastAsiaTheme="minorEastAsia" w:cstheme="minorEastAsia"/>
          <w:spacing w:val="15"/>
          <w:kern w:val="0"/>
          <w:szCs w:val="21"/>
        </w:rPr>
        <w:t>成交供应商应当在成交通知书发出之日起7日内，按照采购文件确定的事项签订政府采购合同。</w:t>
      </w:r>
    </w:p>
    <w:p>
      <w:pPr>
        <w:spacing w:line="262" w:lineRule="auto"/>
        <w:ind w:firstLine="43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1.2合同草案条款（拟签订的合同文本）见采购文件第3章。采购文件、成交供应商的响应文件及采购过程中有关澄清、承诺文件均应为合同的组成部分。</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1.3成交供应商不得将政府采购合同转包。未经采购人同意，成交供应商也不得采取分包的形式履行合同。否则采购人有权终止合同及履约保证金将不予退还。造成损失的，成交供应商应承担赔偿责任。</w:t>
      </w:r>
    </w:p>
    <w:p>
      <w:pPr>
        <w:spacing w:line="262" w:lineRule="auto"/>
        <w:rPr>
          <w:rFonts w:asciiTheme="minorEastAsia" w:hAnsiTheme="minorEastAsia" w:eastAsiaTheme="minorEastAsia" w:cstheme="minorEastAsia"/>
          <w:b/>
          <w:szCs w:val="21"/>
        </w:rPr>
      </w:pPr>
      <w:r>
        <w:rPr>
          <w:rFonts w:asciiTheme="minorEastAsia" w:hAnsiTheme="minorEastAsia" w:eastAsiaTheme="minorEastAsia" w:cstheme="minorEastAsia"/>
          <w:b/>
          <w:szCs w:val="21"/>
        </w:rPr>
        <w:t>2.</w:t>
      </w:r>
      <w:r>
        <w:rPr>
          <w:rFonts w:hint="eastAsia" w:asciiTheme="minorEastAsia" w:hAnsiTheme="minorEastAsia" w:eastAsiaTheme="minorEastAsia" w:cstheme="minorEastAsia"/>
          <w:b/>
          <w:szCs w:val="21"/>
        </w:rPr>
        <w:t>履约保证金</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2.1在签订合同前，中标人需向招标人交纳履约保证金（请将履约保证金汇款凭证发送至QQ邮箱：532223373@qq.com），具体金额为中标价的5%。拟中标人应当按照招标人的要求及时、足额缴纳履约保证金，履约保证金待项目验收结束后一次性无息退还。</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2.2履约保证金专户帐户信息</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单位名称：江苏医药职业学院</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开户行名称：建行盐城市城南支行</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银行帐号：32001735038052500575</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地    址：江苏省盐城市解放南路283号</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电    话：0515-88550311</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2.3如果拟中标人没有在规定的时间内交纳履约保证金，或放弃中标、或被查实存在影响中标结果的违法行为、或其他供应商对招标项目的质疑（投诉）成立、或拒绝遵守招标文件规定、响应承诺，或拒绝签订合同、或虽签署合同但不予履行等，则取消（拟）中标人资格，已经缴纳的履约保证金作为违约金不予退还。</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2.4履约保证金退还：中标人缴纳的履约保证金待项目验收结束后无质量问题一次性无息退还，（凭“保证金请退函”到学校国资处办理退款手续）。如果中标人不履行合同约定的义务，未能完全履行合同规定的义务或其履行不符合合同的约定，招标人有权扣除履约保证金取得补偿。</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2.5履约保证金用以约束成交供应商在合同履行中的行为，弥补合同执行中由于自身行为可能给采购人带来的各种损失（履约保证金将不予退还）。</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3.代理服务费</w:t>
      </w:r>
    </w:p>
    <w:p>
      <w:pPr>
        <w:spacing w:line="262" w:lineRule="auto"/>
        <w:ind w:firstLine="408"/>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3.1</w:t>
      </w:r>
      <w:r>
        <w:rPr>
          <w:rFonts w:hint="eastAsia" w:asciiTheme="minorEastAsia" w:hAnsiTheme="minorEastAsia" w:eastAsiaTheme="minorEastAsia" w:cstheme="minorEastAsia"/>
          <w:bCs/>
          <w:szCs w:val="21"/>
        </w:rPr>
        <w:t>代理服务费收费标准：见</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szCs w:val="21"/>
        </w:rPr>
        <w:t>。</w:t>
      </w:r>
    </w:p>
    <w:p>
      <w:pPr>
        <w:spacing w:line="262" w:lineRule="auto"/>
        <w:ind w:firstLine="40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3.2如</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bCs/>
          <w:szCs w:val="21"/>
        </w:rPr>
        <w:t>规定代理服务费由成交供应商承担的。成交供应商须在领取成交通知书时，按照</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bCs/>
          <w:szCs w:val="21"/>
        </w:rPr>
        <w:t>规定的收费标准向携手阳光公司支付代理服务费（一次性付清）。</w:t>
      </w:r>
      <w:r>
        <w:rPr>
          <w:rFonts w:hint="eastAsia" w:asciiTheme="minorEastAsia" w:hAnsiTheme="minorEastAsia" w:eastAsiaTheme="minorEastAsia" w:cstheme="minorEastAsia"/>
          <w:szCs w:val="21"/>
        </w:rPr>
        <w:t>该费用折算在供应商报价中，不在响应文件中单独列出。</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3.3代理服务费支付形式为：电款、转账等；发票为</w:t>
      </w:r>
      <w:r>
        <w:rPr>
          <w:rFonts w:hint="eastAsia" w:asciiTheme="minorEastAsia" w:hAnsiTheme="minorEastAsia" w:eastAsiaTheme="minorEastAsia" w:cstheme="minorEastAsia"/>
          <w:szCs w:val="21"/>
        </w:rPr>
        <w:t>普通发票。账户信息：开户名：盐城市携手阳光集中采购代理有限公司；开户行：兴业银行盐城分行；账号：402010100100119375）。</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4.成交供应商违约、违规责任</w:t>
      </w:r>
    </w:p>
    <w:p>
      <w:pPr>
        <w:spacing w:line="262" w:lineRule="auto"/>
        <w:ind w:firstLine="420" w:firstLineChars="200"/>
        <w:rPr>
          <w:rFonts w:asciiTheme="minorEastAsia" w:hAnsiTheme="minorEastAsia" w:eastAsiaTheme="minorEastAsia" w:cstheme="minorEastAsia"/>
          <w:spacing w:val="15"/>
          <w:kern w:val="0"/>
          <w:szCs w:val="21"/>
        </w:rPr>
      </w:pPr>
      <w:r>
        <w:rPr>
          <w:rFonts w:hint="eastAsia" w:asciiTheme="minorEastAsia" w:hAnsiTheme="minorEastAsia" w:eastAsiaTheme="minorEastAsia" w:cstheme="minorEastAsia"/>
          <w:szCs w:val="21"/>
        </w:rPr>
        <w:t>4.1</w:t>
      </w:r>
      <w:r>
        <w:rPr>
          <w:rFonts w:hint="eastAsia" w:asciiTheme="minorEastAsia" w:hAnsiTheme="minorEastAsia" w:eastAsiaTheme="minorEastAsia" w:cstheme="minorEastAsia"/>
          <w:spacing w:val="15"/>
          <w:kern w:val="0"/>
          <w:szCs w:val="21"/>
        </w:rPr>
        <w:t>政府采购遵循诚实信用原则。为保证政府采购效率及采购人的合法权益，</w:t>
      </w:r>
      <w:r>
        <w:rPr>
          <w:rFonts w:hint="eastAsia" w:asciiTheme="minorEastAsia" w:hAnsiTheme="minorEastAsia" w:eastAsiaTheme="minorEastAsia" w:cstheme="minorEastAsia"/>
          <w:szCs w:val="21"/>
        </w:rPr>
        <w:t>成交供应商出现违约、违规的，按照有利于采购人的原则处理。即：如采购文件、投标（响应）文件及合同条款约定中对成交供应商有不同违约、违规规定的，按照处罚最高的规定处理（供应商承担）。</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如成交供应商出现下例情况的，采购人或采购代理机构有权拒绝其供应商参加采购代理机构代理的或采购人的各类采购活动（视为没有良好的商业信誉而拒绝参加）：1、未及时与采购人签订合同（放弃成交）；2、未按照采购文件、响应文件及合同条款履行合同的；3、未及时向携手阳光公司支持代理服务费的；4、出现其它违法、违规、违约行为的。以上情节严重的，将报请政府采购监督管理部门进行相应的行政处罚。造成采购人损失的，成交供应商须承担全部赔偿责任，采购人保留诉讼的权利。</w:t>
      </w:r>
      <w:r>
        <w:rPr>
          <w:rFonts w:hint="eastAsia" w:asciiTheme="minorEastAsia" w:hAnsiTheme="minorEastAsia" w:eastAsiaTheme="minorEastAsia" w:cstheme="minorEastAsia"/>
          <w:spacing w:val="15"/>
          <w:kern w:val="0"/>
          <w:szCs w:val="21"/>
        </w:rPr>
        <w:t>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4.3法律法规规定的其它违约、违规责任。</w:t>
      </w:r>
    </w:p>
    <w:p>
      <w:pPr>
        <w:spacing w:line="262" w:lineRule="auto"/>
        <w:ind w:firstLine="422" w:firstLineChars="200"/>
        <w:jc w:val="center"/>
        <w:outlineLvl w:val="1"/>
        <w:rPr>
          <w:rFonts w:asciiTheme="minorEastAsia" w:hAnsiTheme="minorEastAsia" w:eastAsiaTheme="minorEastAsia" w:cstheme="minorEastAsia"/>
          <w:b/>
          <w:szCs w:val="21"/>
        </w:rPr>
      </w:pPr>
      <w:bookmarkStart w:id="190" w:name="_Toc118275560"/>
      <w:bookmarkStart w:id="191" w:name="_Toc107916294"/>
      <w:bookmarkStart w:id="192" w:name="_Toc118235415"/>
      <w:bookmarkStart w:id="193" w:name="_Toc118275520"/>
      <w:bookmarkStart w:id="194" w:name="_Toc118275640"/>
      <w:bookmarkStart w:id="195" w:name="_Toc29934"/>
      <w:r>
        <w:rPr>
          <w:rFonts w:hint="eastAsia" w:asciiTheme="minorEastAsia" w:hAnsiTheme="minorEastAsia" w:eastAsiaTheme="minorEastAsia" w:cstheme="minorEastAsia"/>
          <w:b/>
          <w:szCs w:val="21"/>
        </w:rPr>
        <w:t>七、质疑受理</w:t>
      </w:r>
      <w:bookmarkEnd w:id="190"/>
      <w:bookmarkEnd w:id="191"/>
      <w:bookmarkEnd w:id="192"/>
      <w:bookmarkEnd w:id="193"/>
      <w:bookmarkEnd w:id="194"/>
      <w:bookmarkEnd w:id="195"/>
    </w:p>
    <w:p>
      <w:pPr>
        <w:pStyle w:val="9"/>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szCs w:val="21"/>
        </w:rPr>
      </w:pPr>
      <w:bookmarkStart w:id="196" w:name="_Toc20823309"/>
      <w:bookmarkStart w:id="197" w:name="_Toc513029237"/>
      <w:bookmarkStart w:id="198" w:name="_Toc16938553"/>
      <w:r>
        <w:rPr>
          <w:rFonts w:hint="eastAsia" w:asciiTheme="minorEastAsia" w:hAnsiTheme="minorEastAsia" w:eastAsiaTheme="minorEastAsia" w:cstheme="minorEastAsia"/>
          <w:b/>
          <w:szCs w:val="21"/>
        </w:rPr>
        <w:t>1.质疑受理</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1.1供应商认为采购文件采购过程和成交结果使自己的权益受到损害的，可以在3个工作日内向</w:t>
      </w:r>
      <w:r>
        <w:rPr>
          <w:rFonts w:hint="eastAsia" w:asciiTheme="minorEastAsia" w:hAnsiTheme="minorEastAsia" w:eastAsiaTheme="minorEastAsia" w:cstheme="minorEastAsia"/>
          <w:b/>
          <w:bCs/>
          <w:szCs w:val="21"/>
        </w:rPr>
        <w:t>携手阳光公司（采购人受权接受）</w:t>
      </w:r>
      <w:r>
        <w:rPr>
          <w:rFonts w:hint="eastAsia" w:asciiTheme="minorEastAsia" w:hAnsiTheme="minorEastAsia" w:eastAsiaTheme="minorEastAsia" w:cstheme="minorEastAsia"/>
          <w:b/>
          <w:szCs w:val="21"/>
        </w:rPr>
        <w:t>提出质疑。</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1.2质疑供应商应按照财政部制定的《政府采购质疑函范本》格式（可从财政部官方网站下载）和《政府采购质疑和投诉办法》的要求，在法定质疑期内以书面形式提出质疑，针对同一采购程序环节的质疑应一次性提出。</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超出约定质疑期的、重复提出的、分次提出的或内容、形式不符合《政府采购质疑和投诉办法》的，质疑供应商将依法承担不利后果。</w:t>
      </w:r>
    </w:p>
    <w:p>
      <w:pPr>
        <w:spacing w:line="262" w:lineRule="auto"/>
        <w:ind w:firstLine="422"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b/>
          <w:szCs w:val="21"/>
        </w:rPr>
        <w:t>1.3质疑供应商对采购人、携手阳光公司的答复不满意或者采购人、采购代理机构未在规定的时间内作出答复的，可以在答复期满后3个工作日内向采购人内控管理部门反映（投诉）</w:t>
      </w:r>
      <w:r>
        <w:rPr>
          <w:rFonts w:hint="eastAsia" w:asciiTheme="minorEastAsia" w:hAnsiTheme="minorEastAsia" w:eastAsiaTheme="minorEastAsia" w:cstheme="minorEastAsia"/>
          <w:szCs w:val="21"/>
          <w:shd w:val="clear" w:color="auto" w:fill="FFFFFF"/>
        </w:rPr>
        <w:t>。</w:t>
      </w:r>
    </w:p>
    <w:p>
      <w:pPr>
        <w:pStyle w:val="9"/>
        <w:spacing w:line="240" w:lineRule="exact"/>
        <w:rPr>
          <w:rFonts w:asciiTheme="minorEastAsia" w:hAnsiTheme="minorEastAsia" w:eastAsiaTheme="minorEastAsia" w:cstheme="minorEastAsia"/>
          <w:sz w:val="21"/>
          <w:szCs w:val="21"/>
        </w:rPr>
      </w:pPr>
    </w:p>
    <w:p>
      <w:pPr>
        <w:spacing w:line="262" w:lineRule="auto"/>
        <w:ind w:firstLine="422" w:firstLineChars="200"/>
        <w:jc w:val="center"/>
        <w:outlineLvl w:val="1"/>
        <w:rPr>
          <w:rFonts w:asciiTheme="minorEastAsia" w:hAnsiTheme="minorEastAsia" w:eastAsiaTheme="minorEastAsia" w:cstheme="minorEastAsia"/>
          <w:b/>
          <w:szCs w:val="21"/>
        </w:rPr>
      </w:pPr>
      <w:bookmarkStart w:id="199" w:name="_Toc118235416"/>
      <w:bookmarkStart w:id="200" w:name="_Toc118275641"/>
      <w:bookmarkStart w:id="201" w:name="_Toc107916295"/>
      <w:bookmarkStart w:id="202" w:name="_Toc118275521"/>
      <w:bookmarkStart w:id="203" w:name="_Toc118275561"/>
      <w:bookmarkStart w:id="204" w:name="_Toc22663"/>
      <w:r>
        <w:rPr>
          <w:rFonts w:hint="eastAsia" w:asciiTheme="minorEastAsia" w:hAnsiTheme="minorEastAsia" w:eastAsiaTheme="minorEastAsia" w:cstheme="minorEastAsia"/>
          <w:b/>
          <w:szCs w:val="21"/>
        </w:rPr>
        <w:t>八、终止磋商采购活动</w:t>
      </w:r>
      <w:bookmarkEnd w:id="199"/>
      <w:bookmarkEnd w:id="200"/>
      <w:bookmarkEnd w:id="201"/>
      <w:bookmarkEnd w:id="202"/>
      <w:bookmarkEnd w:id="203"/>
      <w:bookmarkEnd w:id="204"/>
    </w:p>
    <w:p>
      <w:pPr>
        <w:pStyle w:val="9"/>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终止磋商采购活动</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出现下列情形之一的，采购人或者采购代理机构应当终止磋商采购活动，发布项目终止公告并说明原因，重新开展采购活动：</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（1）因情况变化，不再符合规定的磋商采购方式适用情形的；</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bookmarkEnd w:id="196"/>
    <w:bookmarkEnd w:id="197"/>
    <w:bookmarkEnd w:id="198"/>
    <w:p>
      <w:pPr>
        <w:spacing w:line="386"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在采购过程中符合竞争要求的供应商或者报价未超过采购预算的供应商不足3家的，采购人可以终止采购活动，也可以按照“以合理的价格购买数量、质量合适的产品”的原则继续评审。</w:t>
      </w:r>
    </w:p>
    <w:p>
      <w:pPr>
        <w:pStyle w:val="9"/>
        <w:spacing w:line="240" w:lineRule="exact"/>
        <w:rPr>
          <w:rFonts w:asciiTheme="minorEastAsia" w:hAnsiTheme="minorEastAsia" w:eastAsiaTheme="minorEastAsia" w:cstheme="minorEastAsia"/>
          <w:sz w:val="21"/>
          <w:szCs w:val="21"/>
        </w:rPr>
      </w:pPr>
    </w:p>
    <w:p>
      <w:pPr>
        <w:spacing w:line="262" w:lineRule="auto"/>
        <w:jc w:val="center"/>
        <w:outlineLvl w:val="1"/>
        <w:rPr>
          <w:rFonts w:asciiTheme="minorEastAsia" w:hAnsiTheme="minorEastAsia" w:eastAsiaTheme="minorEastAsia" w:cstheme="minorEastAsia"/>
          <w:b/>
          <w:szCs w:val="21"/>
        </w:rPr>
      </w:pPr>
      <w:bookmarkStart w:id="205" w:name="_Toc118235417"/>
      <w:bookmarkStart w:id="206" w:name="_Toc107916296"/>
      <w:bookmarkStart w:id="207" w:name="_Toc118275562"/>
      <w:bookmarkStart w:id="208" w:name="_Toc118275642"/>
      <w:bookmarkStart w:id="209" w:name="_Toc118275522"/>
      <w:bookmarkStart w:id="210" w:name="_Toc74"/>
      <w:r>
        <w:rPr>
          <w:rFonts w:hint="eastAsia" w:asciiTheme="minorEastAsia" w:hAnsiTheme="minorEastAsia" w:eastAsiaTheme="minorEastAsia" w:cstheme="minorEastAsia"/>
          <w:b/>
          <w:szCs w:val="21"/>
        </w:rPr>
        <w:t>九、其他</w:t>
      </w:r>
      <w:bookmarkEnd w:id="205"/>
      <w:bookmarkEnd w:id="206"/>
      <w:bookmarkEnd w:id="207"/>
      <w:bookmarkEnd w:id="208"/>
      <w:bookmarkEnd w:id="209"/>
      <w:bookmarkEnd w:id="210"/>
    </w:p>
    <w:p>
      <w:pPr>
        <w:pStyle w:val="9"/>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1.政府采购履约资金扶持政策</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根据国家扶持中小企业的有关政策，政府采购成交供应商在履约过程中如遇到资金困难，凭成交通知书在相关金融机构办理授信申请。相关事宜向采购代理机构咨询。</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2.解释（定义）及其它：</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本采购文件当中“投标”、“投标人”、“投标文件”、“中标”、“中标人”，分别是指 “参加磋商响应”、“供应商”、“响应文件”、“成交”、“成交供应商”。</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确保响应文件中证明材料的有效性。如证明材料有效性不受其证明材料所注明的时间影响等情形的（例：证书上有效时间已过期，但政策规定向后延期），供应商应当在响应文件中进行说明并提供相关法律依据。如供应商未提供的，评审人员有权仅按自身理解评审（后果由供应商自负）。</w:t>
      </w:r>
    </w:p>
    <w:p>
      <w:pPr>
        <w:spacing w:line="262" w:lineRule="auto"/>
        <w:ind w:firstLine="422" w:firstLineChars="200"/>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本采购文件仅限于政府采购参加人参加本次政府采购活动使用。版权所有（2021.4版），未经携手阳光公司书面授权，本采购文件内容严禁摘录、引用、传播或用于它处。</w:t>
      </w:r>
    </w:p>
    <w:p>
      <w:pPr>
        <w:pStyle w:val="29"/>
        <w:ind w:firstLine="640"/>
        <w:rPr>
          <w:rFonts w:hint="eastAsia"/>
        </w:rPr>
      </w:pPr>
    </w:p>
    <w:p>
      <w:pPr>
        <w:rPr>
          <w:rFonts w:hint="eastAsia"/>
        </w:rPr>
      </w:pPr>
    </w:p>
    <w:p>
      <w:pPr>
        <w:pStyle w:val="29"/>
        <w:ind w:firstLine="640"/>
      </w:pPr>
    </w:p>
    <w:p>
      <w:pPr>
        <w:spacing w:line="480" w:lineRule="auto"/>
        <w:jc w:val="center"/>
        <w:rPr>
          <w:rFonts w:ascii="宋体" w:hAnsi="宋体" w:cs="宋体"/>
          <w:b/>
          <w:color w:val="000000"/>
          <w:sz w:val="32"/>
          <w:szCs w:val="21"/>
        </w:rPr>
      </w:pPr>
    </w:p>
    <w:p>
      <w:pPr>
        <w:spacing w:line="480" w:lineRule="auto"/>
        <w:jc w:val="center"/>
        <w:outlineLvl w:val="0"/>
        <w:rPr>
          <w:rFonts w:ascii="宋体" w:hAnsi="宋体" w:cs="宋体"/>
          <w:b/>
          <w:color w:val="000000"/>
          <w:sz w:val="32"/>
          <w:szCs w:val="21"/>
        </w:rPr>
      </w:pPr>
      <w:bookmarkStart w:id="211" w:name="_Toc30796"/>
      <w:r>
        <w:rPr>
          <w:rFonts w:hint="eastAsia" w:ascii="宋体" w:hAnsi="宋体" w:cs="宋体"/>
          <w:b/>
          <w:color w:val="000000"/>
          <w:sz w:val="32"/>
          <w:szCs w:val="21"/>
        </w:rPr>
        <w:t>第三章  采购需求及政府采购合同（拟签订的合同文本）</w:t>
      </w:r>
      <w:bookmarkEnd w:id="85"/>
      <w:bookmarkEnd w:id="211"/>
    </w:p>
    <w:p>
      <w:pPr>
        <w:spacing w:line="360" w:lineRule="auto"/>
        <w:ind w:left="420"/>
        <w:jc w:val="center"/>
        <w:outlineLvl w:val="1"/>
        <w:rPr>
          <w:rFonts w:ascii="宋体" w:hAnsi="宋体"/>
          <w:szCs w:val="21"/>
        </w:rPr>
      </w:pPr>
      <w:bookmarkStart w:id="212" w:name="_Toc107916298"/>
      <w:bookmarkStart w:id="213" w:name="_Toc29192"/>
      <w:bookmarkStart w:id="214" w:name="_Toc19866"/>
      <w:r>
        <w:rPr>
          <w:rFonts w:hint="eastAsia" w:ascii="宋体" w:hAnsi="宋体"/>
          <w:b/>
          <w:szCs w:val="21"/>
        </w:rPr>
        <w:t>采购需求</w:t>
      </w:r>
      <w:bookmarkEnd w:id="212"/>
      <w:r>
        <w:rPr>
          <w:rFonts w:hint="eastAsia" w:ascii="宋体" w:hAnsi="宋体" w:cs="宋体"/>
          <w:b/>
          <w:bCs/>
          <w:szCs w:val="21"/>
        </w:rPr>
        <w:t>采购需求及</w:t>
      </w:r>
      <w:r>
        <w:rPr>
          <w:rFonts w:hint="eastAsia" w:ascii="宋体" w:hAnsi="宋体"/>
          <w:b/>
          <w:szCs w:val="21"/>
        </w:rPr>
        <w:t>政府采购合同</w:t>
      </w:r>
      <w:r>
        <w:rPr>
          <w:rFonts w:hint="eastAsia" w:ascii="宋体" w:hAnsi="宋体" w:cs="宋体"/>
          <w:b/>
          <w:bCs/>
          <w:szCs w:val="21"/>
        </w:rPr>
        <w:t>前附表</w:t>
      </w:r>
      <w:bookmarkEnd w:id="213"/>
      <w:bookmarkEnd w:id="214"/>
    </w:p>
    <w:p>
      <w:pPr>
        <w:spacing w:line="480" w:lineRule="auto"/>
        <w:ind w:left="420"/>
        <w:jc w:val="center"/>
        <w:rPr>
          <w:rFonts w:ascii="宋体" w:hAnsi="宋体"/>
          <w:b/>
        </w:rPr>
      </w:pPr>
      <w:r>
        <w:rPr>
          <w:rFonts w:hint="eastAsia" w:ascii="宋体" w:hAnsi="宋体"/>
          <w:b/>
        </w:rPr>
        <w:t>★本表是</w:t>
      </w:r>
      <w:r>
        <w:rPr>
          <w:rFonts w:hint="eastAsia" w:ascii="宋体" w:hAnsi="宋体" w:cs="宋体"/>
          <w:b/>
          <w:bCs/>
          <w:szCs w:val="21"/>
        </w:rPr>
        <w:t>采购需求及</w:t>
      </w:r>
      <w:r>
        <w:rPr>
          <w:rFonts w:hint="eastAsia" w:ascii="宋体" w:hAnsi="宋体"/>
          <w:b/>
          <w:szCs w:val="21"/>
        </w:rPr>
        <w:t>政府采购合同</w:t>
      </w:r>
      <w:r>
        <w:rPr>
          <w:rFonts w:hint="eastAsia" w:ascii="宋体" w:hAnsi="宋体"/>
          <w:b/>
        </w:rPr>
        <w:t>相关内容的</w:t>
      </w:r>
      <w:r>
        <w:rPr>
          <w:rFonts w:ascii="宋体" w:hAnsi="宋体"/>
          <w:b/>
        </w:rPr>
        <w:t>说明和补充</w:t>
      </w:r>
      <w:r>
        <w:rPr>
          <w:rFonts w:hint="eastAsia" w:ascii="宋体" w:hAnsi="宋体"/>
          <w:b/>
        </w:rPr>
        <w:t>，如有矛盾，应以本表为准。</w:t>
      </w:r>
    </w:p>
    <w:tbl>
      <w:tblPr>
        <w:tblStyle w:val="30"/>
        <w:tblW w:w="10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02"/>
        <w:gridCol w:w="71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2902" w:type="dxa"/>
            <w:noWrap/>
            <w:vAlign w:val="center"/>
          </w:tcPr>
          <w:p>
            <w:pPr>
              <w:spacing w:line="276" w:lineRule="auto"/>
              <w:jc w:val="center"/>
              <w:rPr>
                <w:rFonts w:ascii="宋体" w:hAnsi="宋体"/>
                <w:b/>
              </w:rPr>
            </w:pPr>
            <w:r>
              <w:rPr>
                <w:rFonts w:hint="eastAsia" w:ascii="宋体" w:hAnsi="宋体"/>
                <w:b/>
              </w:rPr>
              <w:t>内容</w:t>
            </w:r>
          </w:p>
        </w:tc>
        <w:tc>
          <w:tcPr>
            <w:tcW w:w="7170" w:type="dxa"/>
            <w:noWrap/>
            <w:vAlign w:val="center"/>
          </w:tcPr>
          <w:p>
            <w:pPr>
              <w:spacing w:line="276" w:lineRule="auto"/>
              <w:jc w:val="center"/>
              <w:rPr>
                <w:rFonts w:ascii="宋体" w:hAnsi="宋体"/>
                <w:b/>
              </w:rPr>
            </w:pPr>
            <w:r>
              <w:rPr>
                <w:rFonts w:hint="eastAsia" w:ascii="宋体" w:hAnsi="宋体"/>
                <w:b/>
              </w:rPr>
              <w:t>相关要求（说明）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 w:hRule="atLeast"/>
          <w:jc w:val="center"/>
        </w:trPr>
        <w:tc>
          <w:tcPr>
            <w:tcW w:w="2902" w:type="dxa"/>
            <w:noWrap/>
            <w:vAlign w:val="center"/>
          </w:tcPr>
          <w:p>
            <w:pPr>
              <w:spacing w:line="276" w:lineRule="auto"/>
              <w:jc w:val="center"/>
              <w:rPr>
                <w:b/>
              </w:rPr>
            </w:pPr>
            <w:r>
              <w:rPr>
                <w:rFonts w:hint="eastAsia"/>
                <w:b/>
              </w:rPr>
              <w:t>采购标的需实现的功能或者目标，采购标的的数量，</w:t>
            </w:r>
            <w:r>
              <w:rPr>
                <w:b/>
              </w:rPr>
              <w:t>所有技术、服务、安全等要求</w:t>
            </w:r>
          </w:p>
        </w:tc>
        <w:tc>
          <w:tcPr>
            <w:tcW w:w="7170" w:type="dxa"/>
            <w:noWrap/>
            <w:vAlign w:val="center"/>
          </w:tcPr>
          <w:p>
            <w:pPr>
              <w:spacing w:line="276" w:lineRule="auto"/>
              <w:jc w:val="center"/>
            </w:pPr>
            <w:r>
              <w:rPr>
                <w:rFonts w:hint="eastAsia"/>
              </w:rPr>
              <w:t>略，详见“采购需求”部分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5" w:hRule="atLeast"/>
          <w:jc w:val="center"/>
        </w:trPr>
        <w:tc>
          <w:tcPr>
            <w:tcW w:w="2902" w:type="dxa"/>
            <w:noWrap/>
            <w:vAlign w:val="center"/>
          </w:tcPr>
          <w:p>
            <w:pPr>
              <w:spacing w:line="276" w:lineRule="auto"/>
              <w:jc w:val="center"/>
              <w:rPr>
                <w:b/>
              </w:rPr>
            </w:pPr>
            <w:r>
              <w:rPr>
                <w:rFonts w:hint="eastAsia" w:ascii="宋体" w:hAnsi="宋体"/>
                <w:b/>
              </w:rPr>
              <w:t>★</w:t>
            </w:r>
            <w:r>
              <w:rPr>
                <w:rFonts w:hint="eastAsia" w:ascii="宋体" w:hAnsi="宋体" w:cs="宋体"/>
                <w:b/>
                <w:szCs w:val="21"/>
              </w:rPr>
              <w:t>工程保修期</w:t>
            </w:r>
          </w:p>
        </w:tc>
        <w:tc>
          <w:tcPr>
            <w:tcW w:w="7170" w:type="dxa"/>
            <w:noWrap/>
            <w:vAlign w:val="center"/>
          </w:tcPr>
          <w:p>
            <w:pPr>
              <w:spacing w:line="276" w:lineRule="auto"/>
              <w:ind w:firstLine="422" w:firstLineChars="200"/>
            </w:pPr>
            <w:r>
              <w:rPr>
                <w:rFonts w:hint="eastAsia" w:ascii="宋体" w:hAnsi="宋体" w:cs="宋体"/>
                <w:b/>
                <w:szCs w:val="21"/>
                <w:u w:val="single"/>
              </w:rPr>
              <w:t>贰年</w:t>
            </w:r>
            <w:r>
              <w:rPr>
                <w:rFonts w:hint="eastAsia" w:ascii="宋体" w:hAnsi="宋体"/>
                <w:b/>
                <w:szCs w:val="21"/>
              </w:rPr>
              <w:t>（质保期自验收合格之日起算）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5" w:hRule="atLeast"/>
          <w:jc w:val="center"/>
        </w:trPr>
        <w:tc>
          <w:tcPr>
            <w:tcW w:w="2902" w:type="dxa"/>
            <w:noWrap/>
            <w:vAlign w:val="center"/>
          </w:tcPr>
          <w:p>
            <w:pPr>
              <w:spacing w:line="276" w:lineRule="auto"/>
              <w:jc w:val="center"/>
              <w:rPr>
                <w:b/>
              </w:rPr>
            </w:pPr>
            <w:r>
              <w:rPr>
                <w:rFonts w:hint="eastAsia" w:ascii="宋体" w:hAnsi="宋体"/>
                <w:b/>
              </w:rPr>
              <w:t>★工期</w:t>
            </w:r>
          </w:p>
        </w:tc>
        <w:tc>
          <w:tcPr>
            <w:tcW w:w="7170" w:type="dxa"/>
            <w:noWrap/>
            <w:vAlign w:val="center"/>
          </w:tcPr>
          <w:p>
            <w:pPr>
              <w:widowControl/>
              <w:shd w:val="clear" w:color="auto" w:fill="FFFFFF"/>
              <w:spacing w:line="276" w:lineRule="auto"/>
              <w:ind w:firstLine="570"/>
              <w:jc w:val="left"/>
              <w:rPr>
                <w:rFonts w:ascii="宋体" w:hAnsi="宋体" w:cs="宋体"/>
                <w:bCs/>
                <w:color w:val="auto"/>
                <w:szCs w:val="21"/>
              </w:rPr>
            </w:pPr>
            <w:r>
              <w:rPr>
                <w:rFonts w:hint="eastAsia" w:ascii="宋体" w:hAnsi="宋体" w:cs="宋体"/>
                <w:bCs/>
                <w:color w:val="auto"/>
                <w:szCs w:val="21"/>
              </w:rPr>
              <w:t>合同签订后30天内完成工程建设及设备安装调试。（具体开工日期以采购人的通知为准）。</w:t>
            </w:r>
          </w:p>
          <w:p>
            <w:pPr>
              <w:widowControl/>
              <w:shd w:val="clear" w:color="auto" w:fill="FFFFFF"/>
              <w:spacing w:line="276" w:lineRule="auto"/>
              <w:ind w:firstLine="570"/>
              <w:jc w:val="left"/>
            </w:pPr>
            <w:r>
              <w:rPr>
                <w:rFonts w:hint="eastAsia" w:ascii="宋体" w:hAnsi="宋体" w:cs="宋体"/>
                <w:bCs/>
                <w:color w:val="auto"/>
                <w:szCs w:val="21"/>
              </w:rPr>
              <w:t>供应商须按时施工结束（交付）并达到采购人的验收标准。如验收不合格以及发现伪劣产品等，采购人将视其情形采取退货、返工、拒付款、终止合同、索赔等措施。直至报有关部门，依法处理。【如因施工单位自身施工组织问题造成工期延误的，延误时间如超过3天，每延误一天，处罚1000元，如因工期延误，造成学校重大影响的，学校有权追究责任。（工程延误处罚款项在审计时直接扣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2902" w:type="dxa"/>
            <w:noWrap/>
            <w:vAlign w:val="center"/>
          </w:tcPr>
          <w:p>
            <w:pPr>
              <w:spacing w:line="276" w:lineRule="auto"/>
              <w:jc w:val="center"/>
              <w:rPr>
                <w:b/>
              </w:rPr>
            </w:pPr>
            <w:r>
              <w:rPr>
                <w:rFonts w:hint="eastAsia" w:ascii="宋体" w:hAnsi="宋体"/>
                <w:b/>
              </w:rPr>
              <w:t>★</w:t>
            </w:r>
            <w:r>
              <w:rPr>
                <w:rFonts w:hint="eastAsia"/>
                <w:b/>
              </w:rPr>
              <w:t>交付或者实施的地点</w:t>
            </w:r>
          </w:p>
          <w:p>
            <w:pPr>
              <w:spacing w:line="276" w:lineRule="auto"/>
              <w:jc w:val="center"/>
              <w:rPr>
                <w:b/>
              </w:rPr>
            </w:pPr>
            <w:r>
              <w:rPr>
                <w:rFonts w:hint="eastAsia"/>
                <w:b/>
              </w:rPr>
              <w:t>（</w:t>
            </w:r>
            <w:r>
              <w:rPr>
                <w:b/>
              </w:rPr>
              <w:t>交付</w:t>
            </w:r>
            <w:r>
              <w:rPr>
                <w:rFonts w:hint="eastAsia"/>
                <w:b/>
              </w:rPr>
              <w:t>地点或施工地点）</w:t>
            </w:r>
          </w:p>
        </w:tc>
        <w:tc>
          <w:tcPr>
            <w:tcW w:w="7170" w:type="dxa"/>
            <w:noWrap/>
            <w:vAlign w:val="center"/>
          </w:tcPr>
          <w:p>
            <w:pPr>
              <w:spacing w:line="276" w:lineRule="auto"/>
              <w:jc w:val="center"/>
            </w:pPr>
            <w:r>
              <w:rPr>
                <w:rFonts w:hint="eastAsia"/>
              </w:rPr>
              <w:t>江苏医药职业学院指定地点（具体地点以采购人另行通知的为准）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2" w:hRule="atLeast"/>
          <w:jc w:val="center"/>
        </w:trPr>
        <w:tc>
          <w:tcPr>
            <w:tcW w:w="2902" w:type="dxa"/>
            <w:noWrap/>
            <w:vAlign w:val="center"/>
          </w:tcPr>
          <w:p>
            <w:pPr>
              <w:spacing w:line="276" w:lineRule="auto"/>
              <w:jc w:val="center"/>
              <w:rPr>
                <w:b/>
              </w:rPr>
            </w:pPr>
            <w:r>
              <w:rPr>
                <w:rFonts w:hint="eastAsia"/>
                <w:b/>
              </w:rPr>
              <w:t>现场踏勘</w:t>
            </w:r>
          </w:p>
        </w:tc>
        <w:tc>
          <w:tcPr>
            <w:tcW w:w="7170" w:type="dxa"/>
            <w:noWrap/>
            <w:vAlign w:val="center"/>
          </w:tcPr>
          <w:p>
            <w:pPr>
              <w:pStyle w:val="4"/>
              <w:topLinePunct/>
              <w:spacing w:before="0" w:after="0" w:line="276" w:lineRule="auto"/>
              <w:ind w:firstLine="420" w:firstLineChars="200"/>
              <w:jc w:val="both"/>
              <w:rPr>
                <w:rFonts w:ascii="Times New Roman" w:hAnsi="Times New Roman" w:eastAsia="宋体"/>
                <w:b w:val="0"/>
                <w:kern w:val="2"/>
                <w:sz w:val="21"/>
                <w:szCs w:val="24"/>
                <w:lang w:val="zh-TW" w:eastAsia="zh-TW"/>
              </w:rPr>
            </w:pPr>
            <w:bookmarkStart w:id="215" w:name="_Toc19189"/>
            <w:bookmarkStart w:id="216" w:name="_Toc24774"/>
            <w:bookmarkStart w:id="217" w:name="_Toc13345"/>
            <w:r>
              <w:rPr>
                <w:rFonts w:hint="eastAsia" w:ascii="Times New Roman" w:hAnsi="Times New Roman" w:eastAsia="宋体"/>
                <w:b w:val="0"/>
                <w:kern w:val="2"/>
                <w:sz w:val="21"/>
                <w:szCs w:val="24"/>
                <w:lang w:val="zh-TW" w:eastAsia="zh-TW"/>
              </w:rPr>
              <w:t>自行进行现场勘查</w:t>
            </w:r>
            <w:bookmarkEnd w:id="215"/>
            <w:bookmarkEnd w:id="216"/>
            <w:bookmarkEnd w:id="217"/>
          </w:p>
          <w:p>
            <w:pPr>
              <w:spacing w:line="276" w:lineRule="auto"/>
              <w:ind w:firstLine="411" w:firstLineChars="196"/>
              <w:jc w:val="left"/>
              <w:rPr>
                <w:rFonts w:hint="eastAsia" w:eastAsia="宋体"/>
                <w:lang w:eastAsia="zh-CN"/>
              </w:rPr>
            </w:pPr>
            <w:r>
              <w:rPr>
                <w:rFonts w:hint="eastAsia"/>
                <w:lang w:val="zh-TW"/>
              </w:rPr>
              <w:t>踏勘现场</w:t>
            </w:r>
            <w:r>
              <w:rPr>
                <w:rFonts w:hint="eastAsia"/>
                <w:lang w:val="zh-TW" w:eastAsia="zh-TW"/>
              </w:rPr>
              <w:t>人</w:t>
            </w:r>
            <w:r>
              <w:rPr>
                <w:rFonts w:hint="eastAsia"/>
                <w:lang w:val="zh-TW"/>
              </w:rPr>
              <w:t>员</w:t>
            </w:r>
            <w:r>
              <w:rPr>
                <w:rFonts w:hint="eastAsia"/>
                <w:lang w:val="zh-TW" w:eastAsia="zh-TW"/>
              </w:rPr>
              <w:t>（仅限1人）</w:t>
            </w:r>
            <w:r>
              <w:rPr>
                <w:rFonts w:hint="eastAsia"/>
                <w:lang w:val="zh-TW"/>
              </w:rPr>
              <w:t>须</w:t>
            </w:r>
            <w:r>
              <w:rPr>
                <w:rFonts w:hint="eastAsia"/>
                <w:lang w:val="zh-TW" w:eastAsia="zh-TW"/>
              </w:rPr>
              <w:t>从位于盐城市解放南路283号，江苏医药职业学院南门进入，请联系</w:t>
            </w:r>
            <w:r>
              <w:rPr>
                <w:rFonts w:hint="eastAsia"/>
                <w:lang w:val="zh-TW" w:eastAsia="zh-CN"/>
              </w:rPr>
              <w:t>：</w:t>
            </w:r>
            <w:r>
              <w:rPr>
                <w:rFonts w:hint="eastAsia"/>
                <w:lang w:val="zh-TW" w:eastAsia="zh-TW"/>
              </w:rPr>
              <w:t>胡老师；电话：15161973030</w:t>
            </w:r>
            <w:r>
              <w:rPr>
                <w:rFonts w:hint="eastAsia"/>
                <w:lang w:val="zh-TW"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2" w:hRule="atLeast"/>
          <w:jc w:val="center"/>
        </w:trPr>
        <w:tc>
          <w:tcPr>
            <w:tcW w:w="2902" w:type="dxa"/>
            <w:noWrap/>
            <w:vAlign w:val="center"/>
          </w:tcPr>
          <w:p>
            <w:pPr>
              <w:spacing w:line="276" w:lineRule="auto"/>
              <w:jc w:val="center"/>
              <w:rPr>
                <w:b/>
              </w:rPr>
            </w:pPr>
            <w:r>
              <w:rPr>
                <w:rFonts w:hint="eastAsia"/>
                <w:b/>
              </w:rPr>
              <w:t>工程结算</w:t>
            </w:r>
          </w:p>
        </w:tc>
        <w:tc>
          <w:tcPr>
            <w:tcW w:w="7170" w:type="dxa"/>
            <w:noWrap/>
            <w:vAlign w:val="center"/>
          </w:tcPr>
          <w:p>
            <w:pPr>
              <w:spacing w:line="276" w:lineRule="auto"/>
              <w:ind w:firstLine="420" w:firstLineChars="200"/>
              <w:rPr>
                <w:rFonts w:ascii="宋体" w:hAnsi="宋体" w:cs="宋体"/>
                <w:bCs/>
                <w:szCs w:val="21"/>
              </w:rPr>
            </w:pPr>
            <w:r>
              <w:rPr>
                <w:rFonts w:hint="eastAsia" w:ascii="宋体" w:hAnsi="宋体" w:cs="宋体"/>
                <w:bCs/>
                <w:szCs w:val="21"/>
              </w:rPr>
              <w:t>1.本工程采用限定总价审计结算方法，按合同以中标单价和实际工作量计算总价，经审计后确认合同审计总价，但合同审计总价不得高于中标总价（不包含签证变更部分）。</w:t>
            </w:r>
          </w:p>
          <w:p>
            <w:pPr>
              <w:spacing w:line="276" w:lineRule="auto"/>
              <w:ind w:firstLine="420" w:firstLineChars="200"/>
              <w:rPr>
                <w:rFonts w:ascii="宋体" w:hAnsi="宋体" w:cs="宋体"/>
                <w:bCs/>
                <w:szCs w:val="21"/>
              </w:rPr>
            </w:pPr>
            <w:r>
              <w:rPr>
                <w:rFonts w:hint="eastAsia" w:ascii="宋体" w:hAnsi="宋体" w:cs="宋体"/>
                <w:bCs/>
                <w:szCs w:val="21"/>
              </w:rPr>
              <w:t>2.结算总价=合同审计总价+签证变更的审计总价。</w:t>
            </w:r>
          </w:p>
          <w:p>
            <w:pPr>
              <w:spacing w:line="276" w:lineRule="auto"/>
              <w:ind w:firstLine="420" w:firstLineChars="200"/>
            </w:pPr>
            <w:r>
              <w:rPr>
                <w:rFonts w:hint="eastAsia" w:ascii="宋体" w:hAnsi="宋体" w:cs="宋体"/>
                <w:bCs/>
                <w:szCs w:val="21"/>
              </w:rPr>
              <w:t>3.工程竣工验收合格后乙方应提交工程结算资料，要求资料齐全，计算准确，若本工程审计核减率(含复审)达10%(含10%以上的)，全部审计费用由施工单位承担，并由学校从施工单位的工程款中扣除；若核减率在5%-10%之间的，其审计费用由施工单位和建设单位各承担50%；若核减率(含复审)为5%及其以下的审计费用，由学校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08" w:hRule="atLeast"/>
          <w:jc w:val="center"/>
        </w:trPr>
        <w:tc>
          <w:tcPr>
            <w:tcW w:w="2902" w:type="dxa"/>
            <w:noWrap/>
            <w:vAlign w:val="center"/>
          </w:tcPr>
          <w:p>
            <w:pPr>
              <w:spacing w:line="276" w:lineRule="auto"/>
              <w:jc w:val="center"/>
              <w:rPr>
                <w:rFonts w:ascii="宋体" w:hAnsi="宋体"/>
                <w:b/>
              </w:rPr>
            </w:pPr>
            <w:r>
              <w:rPr>
                <w:rFonts w:hint="eastAsia" w:ascii="宋体" w:hAnsi="宋体"/>
                <w:b/>
              </w:rPr>
              <w:t>★采购资金的支付方式、时间、条件（付款方式）</w:t>
            </w:r>
          </w:p>
        </w:tc>
        <w:tc>
          <w:tcPr>
            <w:tcW w:w="7170" w:type="dxa"/>
            <w:noWrap/>
            <w:vAlign w:val="center"/>
          </w:tcPr>
          <w:p>
            <w:pPr>
              <w:spacing w:line="276" w:lineRule="auto"/>
              <w:ind w:firstLine="420" w:firstLineChars="200"/>
              <w:rPr>
                <w:rFonts w:ascii="宋体" w:hAnsi="宋体"/>
              </w:rPr>
            </w:pPr>
            <w:r>
              <w:rPr>
                <w:rFonts w:hint="eastAsia" w:ascii="宋体" w:hAnsi="宋体"/>
              </w:rPr>
              <w:t xml:space="preserve">1.支付方式：电汇或转账等非现金方式  </w:t>
            </w:r>
          </w:p>
          <w:p>
            <w:pPr>
              <w:spacing w:line="276" w:lineRule="auto"/>
              <w:ind w:firstLine="422" w:firstLineChars="200"/>
              <w:rPr>
                <w:rFonts w:ascii="宋体" w:hAnsi="宋体"/>
                <w:b/>
                <w:szCs w:val="21"/>
              </w:rPr>
            </w:pPr>
            <w:r>
              <w:rPr>
                <w:rFonts w:hint="eastAsia" w:ascii="宋体" w:hAnsi="宋体"/>
                <w:b/>
                <w:szCs w:val="21"/>
              </w:rPr>
              <w:t>2.支付时间、条件付款方式：</w:t>
            </w:r>
          </w:p>
          <w:p>
            <w:pPr>
              <w:pStyle w:val="15"/>
              <w:spacing w:line="276" w:lineRule="auto"/>
              <w:ind w:firstLine="422"/>
              <w:rPr>
                <w:color w:val="auto"/>
              </w:rPr>
            </w:pPr>
            <w:r>
              <w:rPr>
                <w:rFonts w:hint="eastAsia" w:cs="宋体"/>
                <w:b/>
                <w:color w:val="auto"/>
              </w:rPr>
              <w:t>项目完工且环境指标通过第三方环境检测并验收合格后付至合同价的70%，项目审计合格后付至审计价的90%，余款10%待质保结束后无质量问题一次性无息付清。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10072" w:type="dxa"/>
            <w:gridSpan w:val="2"/>
            <w:noWrap/>
            <w:vAlign w:val="center"/>
          </w:tcPr>
          <w:p>
            <w:pPr>
              <w:spacing w:line="276" w:lineRule="auto"/>
              <w:jc w:val="center"/>
              <w:rPr>
                <w:rFonts w:ascii="宋体" w:hAnsi="宋体"/>
                <w:b/>
              </w:rPr>
            </w:pPr>
            <w:r>
              <w:rPr>
                <w:rFonts w:hint="eastAsia" w:ascii="宋体" w:hAnsi="宋体"/>
                <w:b/>
              </w:rPr>
              <w:t>本表当中，加★部分为实质性要求，不接受负偏离。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1" w:hRule="atLeast"/>
          <w:jc w:val="center"/>
        </w:trPr>
        <w:tc>
          <w:tcPr>
            <w:tcW w:w="10072" w:type="dxa"/>
            <w:gridSpan w:val="2"/>
            <w:noWrap/>
            <w:vAlign w:val="center"/>
          </w:tcPr>
          <w:p>
            <w:pPr>
              <w:spacing w:line="276" w:lineRule="auto"/>
              <w:ind w:firstLine="422" w:firstLineChars="200"/>
              <w:jc w:val="left"/>
              <w:rPr>
                <w:rFonts w:ascii="宋体" w:hAnsi="宋体"/>
                <w:b/>
              </w:rPr>
            </w:pPr>
            <w:r>
              <w:rPr>
                <w:rFonts w:hint="eastAsia" w:ascii="宋体" w:hAnsi="宋体"/>
                <w:b/>
              </w:rPr>
              <w:t>注：本项目为竞争性磋商采购，成交供应商须在成交公告发布3个工作日内（签订合同前）将最终报价的工程量清单加盖单位公章并提交至采购人。</w:t>
            </w:r>
          </w:p>
        </w:tc>
      </w:tr>
    </w:tbl>
    <w:p>
      <w:pPr>
        <w:spacing w:line="500" w:lineRule="exact"/>
        <w:jc w:val="center"/>
        <w:rPr>
          <w:rFonts w:hint="eastAsia" w:ascii="宋体" w:hAnsi="宋体" w:cs="宋体"/>
          <w:b/>
          <w:szCs w:val="21"/>
        </w:rPr>
      </w:pPr>
    </w:p>
    <w:p>
      <w:pPr>
        <w:spacing w:line="500" w:lineRule="exact"/>
        <w:jc w:val="center"/>
        <w:outlineLvl w:val="1"/>
      </w:pPr>
      <w:bookmarkStart w:id="218" w:name="_Toc12776"/>
      <w:r>
        <w:rPr>
          <w:rFonts w:hint="eastAsia" w:ascii="宋体" w:hAnsi="宋体" w:cs="宋体"/>
          <w:b/>
          <w:szCs w:val="21"/>
        </w:rPr>
        <w:t>第一项：采购需求</w:t>
      </w:r>
      <w:bookmarkEnd w:id="218"/>
    </w:p>
    <w:p>
      <w:pPr>
        <w:spacing w:line="276" w:lineRule="auto"/>
        <w:ind w:firstLine="422" w:firstLineChars="200"/>
        <w:outlineLvl w:val="1"/>
        <w:rPr>
          <w:rFonts w:ascii="宋体" w:hAnsi="宋体" w:cs="宋体"/>
          <w:b/>
          <w:szCs w:val="21"/>
        </w:rPr>
      </w:pPr>
      <w:bookmarkStart w:id="219" w:name="_Toc13935"/>
      <w:r>
        <w:rPr>
          <w:rFonts w:hint="eastAsia" w:ascii="宋体" w:hAnsi="宋体" w:cs="宋体"/>
          <w:b/>
          <w:szCs w:val="21"/>
        </w:rPr>
        <w:t>一、项目概况</w:t>
      </w:r>
      <w:bookmarkEnd w:id="219"/>
    </w:p>
    <w:p>
      <w:pPr>
        <w:spacing w:line="276" w:lineRule="auto"/>
        <w:ind w:firstLine="420" w:firstLineChars="200"/>
        <w:rPr>
          <w:rFonts w:ascii="宋体" w:hAnsi="宋体" w:cs="宋体"/>
          <w:bCs/>
          <w:szCs w:val="21"/>
        </w:rPr>
      </w:pPr>
      <w:r>
        <w:rPr>
          <w:rFonts w:hint="eastAsia" w:ascii="宋体" w:hAnsi="宋体" w:cs="宋体"/>
          <w:bCs/>
          <w:szCs w:val="21"/>
        </w:rPr>
        <w:t>本项目为司法鉴定所法医物证鉴定实验室改造项目，建筑面积约106平米。改造内容包含实验室原有墙、顶、地面、家具拆除；新建洁净保温围护结构、电气、暖通、给排水等二次深化设计及施工安装。具体项目内容详见技术要求。原实验环境中的家具需要保护性拆除，部分家具需要利旧安装。</w:t>
      </w:r>
    </w:p>
    <w:p>
      <w:pPr>
        <w:spacing w:line="276" w:lineRule="auto"/>
        <w:ind w:firstLine="420" w:firstLineChars="200"/>
        <w:rPr>
          <w:rFonts w:ascii="宋体" w:hAnsi="宋体" w:cs="宋体"/>
          <w:bCs/>
          <w:szCs w:val="21"/>
        </w:rPr>
      </w:pPr>
      <w:r>
        <w:rPr>
          <w:rFonts w:hint="eastAsia" w:ascii="宋体" w:hAnsi="宋体" w:cs="宋体"/>
          <w:bCs/>
          <w:szCs w:val="21"/>
        </w:rPr>
        <w:t>本工程需严格遵守《建设工程安全生产管理条例》、《中华人民共和国安全生产法》《中华人民共和国建筑法》、《中华人民共和国消防法》、《特种设备安全法》、《安全生产许可证条例》、《生产安全事故报告和调查处理条例》、《工伤保险条例》、《特种设备安全监察条例》等国家相关规定进行安全文明施工。</w:t>
      </w:r>
    </w:p>
    <w:p>
      <w:pPr>
        <w:spacing w:line="276" w:lineRule="auto"/>
        <w:ind w:firstLine="422" w:firstLineChars="200"/>
        <w:outlineLvl w:val="1"/>
        <w:rPr>
          <w:rFonts w:ascii="宋体" w:hAnsi="宋体" w:cs="宋体"/>
          <w:b/>
          <w:szCs w:val="21"/>
        </w:rPr>
      </w:pPr>
      <w:bookmarkStart w:id="220" w:name="_Toc14708"/>
      <w:r>
        <w:rPr>
          <w:rFonts w:hint="eastAsia" w:ascii="宋体" w:hAnsi="宋体" w:cs="宋体"/>
          <w:b/>
          <w:szCs w:val="21"/>
        </w:rPr>
        <w:t>二、项目要求及规范</w:t>
      </w:r>
      <w:bookmarkEnd w:id="220"/>
    </w:p>
    <w:p>
      <w:pPr>
        <w:spacing w:line="276" w:lineRule="auto"/>
        <w:ind w:firstLine="422" w:firstLineChars="200"/>
        <w:jc w:val="left"/>
        <w:outlineLvl w:val="1"/>
        <w:rPr>
          <w:rFonts w:ascii="宋体" w:hAnsi="宋体" w:cs="等线 Light"/>
          <w:b/>
          <w:bCs/>
          <w:szCs w:val="21"/>
        </w:rPr>
      </w:pPr>
      <w:bookmarkStart w:id="221" w:name="_Toc8199"/>
      <w:bookmarkStart w:id="222" w:name="_Toc51321918"/>
      <w:bookmarkStart w:id="223" w:name="_Toc6372"/>
      <w:r>
        <w:rPr>
          <w:rStyle w:val="65"/>
          <w:rFonts w:hint="eastAsia" w:ascii="宋体" w:hAnsi="宋体"/>
          <w:b/>
          <w:bCs/>
          <w:szCs w:val="21"/>
        </w:rPr>
        <w:t>（一）司法鉴定所法医物证鉴定实验室改造</w:t>
      </w:r>
      <w:bookmarkEnd w:id="221"/>
    </w:p>
    <w:p>
      <w:pPr>
        <w:spacing w:line="276" w:lineRule="auto"/>
        <w:ind w:firstLine="420" w:firstLineChars="200"/>
        <w:rPr>
          <w:rFonts w:hint="eastAsia" w:ascii="宋体" w:hAnsi="宋体" w:cs="宋体"/>
          <w:bCs/>
          <w:szCs w:val="21"/>
        </w:rPr>
      </w:pPr>
      <w:r>
        <w:rPr>
          <w:rFonts w:hint="eastAsia" w:ascii="宋体" w:hAnsi="宋体" w:cs="宋体"/>
          <w:bCs/>
          <w:szCs w:val="21"/>
        </w:rPr>
        <w:t>1、环境面积：更衣室≥7</w:t>
      </w:r>
      <w:r>
        <w:rPr>
          <w:rFonts w:hint="eastAsia" w:ascii="宋体" w:hAnsi="宋体" w:cs="宋体"/>
          <w:bCs/>
          <w:szCs w:val="21"/>
          <w:lang w:val="en-US" w:eastAsia="zh-CN"/>
        </w:rPr>
        <w:t>㎡</w:t>
      </w:r>
      <w:r>
        <w:rPr>
          <w:rFonts w:hint="eastAsia" w:ascii="宋体" w:hAnsi="宋体" w:cs="宋体"/>
          <w:bCs/>
          <w:szCs w:val="21"/>
        </w:rPr>
        <w:t>；缓冲间≥1.8</w:t>
      </w:r>
      <w:r>
        <w:rPr>
          <w:rFonts w:hint="eastAsia" w:ascii="宋体" w:hAnsi="宋体" w:cs="宋体"/>
          <w:bCs/>
          <w:szCs w:val="21"/>
          <w:lang w:val="en-US" w:eastAsia="zh-CN"/>
        </w:rPr>
        <w:t>㎡</w:t>
      </w:r>
      <w:r>
        <w:rPr>
          <w:rFonts w:hint="eastAsia" w:ascii="宋体" w:hAnsi="宋体" w:cs="宋体"/>
          <w:bCs/>
          <w:szCs w:val="21"/>
        </w:rPr>
        <w:t>；样本存储≥6</w:t>
      </w:r>
      <w:r>
        <w:rPr>
          <w:rFonts w:hint="eastAsia" w:ascii="宋体" w:hAnsi="宋体" w:cs="宋体"/>
          <w:bCs/>
          <w:szCs w:val="21"/>
          <w:lang w:val="en-US" w:eastAsia="zh-CN"/>
        </w:rPr>
        <w:t>㎡</w:t>
      </w:r>
      <w:r>
        <w:rPr>
          <w:rFonts w:hint="eastAsia" w:ascii="宋体" w:hAnsi="宋体" w:cs="宋体"/>
          <w:bCs/>
          <w:szCs w:val="21"/>
        </w:rPr>
        <w:t>；预检室≥15</w:t>
      </w:r>
      <w:r>
        <w:rPr>
          <w:rFonts w:hint="eastAsia" w:ascii="宋体" w:hAnsi="宋体" w:cs="宋体"/>
          <w:bCs/>
          <w:szCs w:val="21"/>
          <w:lang w:val="en-US" w:eastAsia="zh-CN"/>
        </w:rPr>
        <w:t>㎡</w:t>
      </w:r>
      <w:r>
        <w:rPr>
          <w:rFonts w:hint="eastAsia" w:ascii="宋体" w:hAnsi="宋体" w:cs="宋体"/>
          <w:bCs/>
          <w:szCs w:val="21"/>
        </w:rPr>
        <w:t>；DNA提取室≥13</w:t>
      </w:r>
      <w:r>
        <w:rPr>
          <w:rFonts w:hint="eastAsia" w:ascii="宋体" w:hAnsi="宋体" w:cs="宋体"/>
          <w:bCs/>
          <w:szCs w:val="21"/>
          <w:lang w:val="en-US" w:eastAsia="zh-CN"/>
        </w:rPr>
        <w:t>㎡</w:t>
      </w:r>
      <w:r>
        <w:rPr>
          <w:rFonts w:hint="eastAsia" w:ascii="宋体" w:hAnsi="宋体" w:cs="宋体"/>
          <w:bCs/>
          <w:szCs w:val="21"/>
        </w:rPr>
        <w:t>；PCR扩增室（前区）≥11</w:t>
      </w:r>
      <w:r>
        <w:rPr>
          <w:rFonts w:hint="eastAsia" w:ascii="宋体" w:hAnsi="宋体" w:cs="宋体"/>
          <w:bCs/>
          <w:szCs w:val="21"/>
          <w:lang w:val="en-US" w:eastAsia="zh-CN"/>
        </w:rPr>
        <w:t>㎡</w:t>
      </w:r>
      <w:r>
        <w:rPr>
          <w:rFonts w:hint="eastAsia" w:ascii="宋体" w:hAnsi="宋体" w:cs="宋体"/>
          <w:bCs/>
          <w:szCs w:val="21"/>
        </w:rPr>
        <w:t>；PCR扩增室≥8</w:t>
      </w:r>
      <w:r>
        <w:rPr>
          <w:rFonts w:hint="eastAsia" w:ascii="宋体" w:hAnsi="宋体" w:cs="宋体"/>
          <w:bCs/>
          <w:szCs w:val="21"/>
          <w:lang w:val="en-US" w:eastAsia="zh-CN"/>
        </w:rPr>
        <w:t>㎡</w:t>
      </w:r>
      <w:r>
        <w:rPr>
          <w:rFonts w:hint="eastAsia" w:ascii="宋体" w:hAnsi="宋体" w:cs="宋体"/>
          <w:bCs/>
          <w:szCs w:val="21"/>
        </w:rPr>
        <w:t>；PCR产物分析室≥18</w:t>
      </w:r>
      <w:r>
        <w:rPr>
          <w:rFonts w:hint="eastAsia" w:ascii="宋体" w:hAnsi="宋体" w:cs="宋体"/>
          <w:bCs/>
          <w:szCs w:val="21"/>
          <w:lang w:val="en-US" w:eastAsia="zh-CN"/>
        </w:rPr>
        <w:t>㎡</w:t>
      </w:r>
      <w:r>
        <w:rPr>
          <w:rFonts w:hint="eastAsia" w:ascii="宋体" w:hAnsi="宋体" w:cs="宋体"/>
          <w:bCs/>
          <w:szCs w:val="21"/>
        </w:rPr>
        <w:t>；PCR走廊≥13</w:t>
      </w:r>
      <w:r>
        <w:rPr>
          <w:rFonts w:hint="eastAsia" w:ascii="宋体" w:hAnsi="宋体" w:cs="宋体"/>
          <w:bCs/>
          <w:szCs w:val="21"/>
          <w:lang w:val="en-US" w:eastAsia="zh-CN"/>
        </w:rPr>
        <w:t>㎡</w:t>
      </w:r>
      <w:r>
        <w:rPr>
          <w:rFonts w:hint="eastAsia" w:ascii="宋体" w:hAnsi="宋体" w:cs="宋体"/>
          <w:bCs/>
          <w:szCs w:val="21"/>
        </w:rPr>
        <w:t>。</w:t>
      </w:r>
    </w:p>
    <w:p>
      <w:pPr>
        <w:spacing w:line="276" w:lineRule="auto"/>
        <w:ind w:firstLine="420" w:firstLineChars="200"/>
        <w:rPr>
          <w:rFonts w:hint="eastAsia" w:ascii="宋体" w:hAnsi="宋体" w:cs="宋体"/>
          <w:bCs/>
          <w:szCs w:val="21"/>
        </w:rPr>
      </w:pPr>
      <w:r>
        <w:rPr>
          <w:rFonts w:hint="eastAsia" w:ascii="宋体" w:hAnsi="宋体" w:cs="宋体"/>
          <w:bCs/>
          <w:szCs w:val="21"/>
        </w:rPr>
        <w:t>2、环境温度要求：</w:t>
      </w:r>
    </w:p>
    <w:tbl>
      <w:tblPr>
        <w:tblStyle w:val="31"/>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747"/>
        <w:gridCol w:w="2959"/>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房间号</w:t>
            </w:r>
          </w:p>
        </w:tc>
        <w:tc>
          <w:tcPr>
            <w:tcW w:w="1747"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洁净度</w:t>
            </w:r>
          </w:p>
        </w:tc>
        <w:tc>
          <w:tcPr>
            <w:tcW w:w="2959"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温湿度要求</w:t>
            </w:r>
          </w:p>
        </w:tc>
        <w:tc>
          <w:tcPr>
            <w:tcW w:w="2262"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压差要求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更衣室</w:t>
            </w:r>
          </w:p>
        </w:tc>
        <w:tc>
          <w:tcPr>
            <w:tcW w:w="1747"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w:t>
            </w:r>
          </w:p>
        </w:tc>
        <w:tc>
          <w:tcPr>
            <w:tcW w:w="2959"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夏季温度：26-28℃；</w:t>
            </w:r>
          </w:p>
          <w:p>
            <w:pPr>
              <w:spacing w:line="276" w:lineRule="auto"/>
              <w:ind w:firstLine="420" w:firstLineChars="200"/>
              <w:jc w:val="both"/>
              <w:rPr>
                <w:rFonts w:hint="eastAsia" w:ascii="宋体" w:hAnsi="宋体" w:cs="宋体"/>
                <w:bCs/>
                <w:szCs w:val="21"/>
              </w:rPr>
            </w:pPr>
            <w:r>
              <w:rPr>
                <w:rFonts w:hint="eastAsia" w:ascii="宋体" w:hAnsi="宋体" w:cs="宋体"/>
                <w:bCs/>
                <w:szCs w:val="21"/>
              </w:rPr>
              <w:t>冬季温度：18-22℃</w:t>
            </w:r>
          </w:p>
          <w:p>
            <w:pPr>
              <w:spacing w:line="276" w:lineRule="auto"/>
              <w:ind w:firstLine="420" w:firstLineChars="200"/>
              <w:jc w:val="both"/>
              <w:rPr>
                <w:rFonts w:hint="eastAsia" w:ascii="宋体" w:hAnsi="宋体" w:cs="宋体"/>
                <w:bCs/>
                <w:szCs w:val="21"/>
              </w:rPr>
            </w:pPr>
            <w:r>
              <w:rPr>
                <w:rFonts w:hint="eastAsia" w:ascii="宋体" w:hAnsi="宋体" w:cs="宋体"/>
                <w:bCs/>
                <w:szCs w:val="21"/>
              </w:rPr>
              <w:t>湿度：无要求</w:t>
            </w:r>
          </w:p>
        </w:tc>
        <w:tc>
          <w:tcPr>
            <w:tcW w:w="2262"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常压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缓冲间</w:t>
            </w:r>
          </w:p>
        </w:tc>
        <w:tc>
          <w:tcPr>
            <w:tcW w:w="1747"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w:t>
            </w:r>
          </w:p>
        </w:tc>
        <w:tc>
          <w:tcPr>
            <w:tcW w:w="2959"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夏季温度：26-28℃；</w:t>
            </w:r>
          </w:p>
          <w:p>
            <w:pPr>
              <w:spacing w:line="276" w:lineRule="auto"/>
              <w:ind w:firstLine="420" w:firstLineChars="200"/>
              <w:jc w:val="both"/>
              <w:rPr>
                <w:rFonts w:hint="eastAsia" w:ascii="宋体" w:hAnsi="宋体" w:cs="宋体"/>
                <w:bCs/>
                <w:szCs w:val="21"/>
              </w:rPr>
            </w:pPr>
            <w:r>
              <w:rPr>
                <w:rFonts w:hint="eastAsia" w:ascii="宋体" w:hAnsi="宋体" w:cs="宋体"/>
                <w:bCs/>
                <w:szCs w:val="21"/>
              </w:rPr>
              <w:t>冬季温度：18-22℃</w:t>
            </w:r>
          </w:p>
          <w:p>
            <w:pPr>
              <w:spacing w:line="276" w:lineRule="auto"/>
              <w:ind w:firstLine="420" w:firstLineChars="200"/>
              <w:jc w:val="both"/>
              <w:rPr>
                <w:rFonts w:hint="eastAsia" w:ascii="宋体" w:hAnsi="宋体" w:cs="宋体"/>
                <w:bCs/>
                <w:szCs w:val="21"/>
              </w:rPr>
            </w:pPr>
            <w:r>
              <w:rPr>
                <w:rFonts w:hint="eastAsia" w:ascii="宋体" w:hAnsi="宋体" w:cs="宋体"/>
                <w:bCs/>
                <w:szCs w:val="21"/>
              </w:rPr>
              <w:t>湿度：无要求</w:t>
            </w:r>
          </w:p>
        </w:tc>
        <w:tc>
          <w:tcPr>
            <w:tcW w:w="2262"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常压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样本存储</w:t>
            </w:r>
          </w:p>
        </w:tc>
        <w:tc>
          <w:tcPr>
            <w:tcW w:w="1747"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w:t>
            </w:r>
          </w:p>
        </w:tc>
        <w:tc>
          <w:tcPr>
            <w:tcW w:w="2959"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夏季温度：26-28℃；</w:t>
            </w:r>
          </w:p>
          <w:p>
            <w:pPr>
              <w:spacing w:line="276" w:lineRule="auto"/>
              <w:ind w:firstLine="420" w:firstLineChars="200"/>
              <w:jc w:val="both"/>
              <w:rPr>
                <w:rFonts w:hint="eastAsia" w:ascii="宋体" w:hAnsi="宋体" w:cs="宋体"/>
                <w:bCs/>
                <w:szCs w:val="21"/>
              </w:rPr>
            </w:pPr>
            <w:r>
              <w:rPr>
                <w:rFonts w:hint="eastAsia" w:ascii="宋体" w:hAnsi="宋体" w:cs="宋体"/>
                <w:bCs/>
                <w:szCs w:val="21"/>
              </w:rPr>
              <w:t>冬季温度：18-22℃</w:t>
            </w:r>
          </w:p>
          <w:p>
            <w:pPr>
              <w:spacing w:line="276" w:lineRule="auto"/>
              <w:ind w:firstLine="420" w:firstLineChars="200"/>
              <w:jc w:val="both"/>
              <w:rPr>
                <w:rFonts w:hint="eastAsia" w:ascii="宋体" w:hAnsi="宋体" w:cs="宋体"/>
                <w:bCs/>
                <w:szCs w:val="21"/>
              </w:rPr>
            </w:pPr>
            <w:r>
              <w:rPr>
                <w:rFonts w:hint="eastAsia" w:ascii="宋体" w:hAnsi="宋体" w:cs="宋体"/>
                <w:bCs/>
                <w:szCs w:val="21"/>
              </w:rPr>
              <w:t>湿度：无要求</w:t>
            </w:r>
          </w:p>
        </w:tc>
        <w:tc>
          <w:tcPr>
            <w:tcW w:w="2262"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常压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预检室</w:t>
            </w:r>
          </w:p>
        </w:tc>
        <w:tc>
          <w:tcPr>
            <w:tcW w:w="1747"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十万级</w:t>
            </w:r>
          </w:p>
        </w:tc>
        <w:tc>
          <w:tcPr>
            <w:tcW w:w="2959"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夏季温度：26-28℃；</w:t>
            </w:r>
          </w:p>
          <w:p>
            <w:pPr>
              <w:spacing w:line="276" w:lineRule="auto"/>
              <w:ind w:firstLine="420" w:firstLineChars="200"/>
              <w:jc w:val="both"/>
              <w:rPr>
                <w:rFonts w:hint="eastAsia" w:ascii="宋体" w:hAnsi="宋体" w:cs="宋体"/>
                <w:bCs/>
                <w:szCs w:val="21"/>
              </w:rPr>
            </w:pPr>
            <w:r>
              <w:rPr>
                <w:rFonts w:hint="eastAsia" w:ascii="宋体" w:hAnsi="宋体" w:cs="宋体"/>
                <w:bCs/>
                <w:szCs w:val="21"/>
              </w:rPr>
              <w:t>冬季温度：18-22℃</w:t>
            </w:r>
          </w:p>
          <w:p>
            <w:pPr>
              <w:spacing w:line="276" w:lineRule="auto"/>
              <w:ind w:firstLine="420" w:firstLineChars="200"/>
              <w:jc w:val="both"/>
              <w:rPr>
                <w:rFonts w:hint="eastAsia" w:ascii="宋体" w:hAnsi="宋体" w:cs="宋体"/>
                <w:bCs/>
                <w:szCs w:val="21"/>
              </w:rPr>
            </w:pPr>
            <w:r>
              <w:rPr>
                <w:rFonts w:hint="eastAsia" w:ascii="宋体" w:hAnsi="宋体" w:cs="宋体"/>
                <w:bCs/>
                <w:szCs w:val="21"/>
              </w:rPr>
              <w:t>湿度：≤70%RH</w:t>
            </w:r>
          </w:p>
        </w:tc>
        <w:tc>
          <w:tcPr>
            <w:tcW w:w="2262"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正压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DNA提取室</w:t>
            </w:r>
          </w:p>
        </w:tc>
        <w:tc>
          <w:tcPr>
            <w:tcW w:w="1747"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十万级</w:t>
            </w:r>
          </w:p>
        </w:tc>
        <w:tc>
          <w:tcPr>
            <w:tcW w:w="2959"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夏季温度：26-28℃；</w:t>
            </w:r>
          </w:p>
          <w:p>
            <w:pPr>
              <w:spacing w:line="276" w:lineRule="auto"/>
              <w:ind w:firstLine="420" w:firstLineChars="200"/>
              <w:jc w:val="both"/>
              <w:rPr>
                <w:rFonts w:hint="eastAsia" w:ascii="宋体" w:hAnsi="宋体" w:cs="宋体"/>
                <w:bCs/>
                <w:szCs w:val="21"/>
              </w:rPr>
            </w:pPr>
            <w:r>
              <w:rPr>
                <w:rFonts w:hint="eastAsia" w:ascii="宋体" w:hAnsi="宋体" w:cs="宋体"/>
                <w:bCs/>
                <w:szCs w:val="21"/>
              </w:rPr>
              <w:t>冬季温度：18-22℃</w:t>
            </w:r>
          </w:p>
          <w:p>
            <w:pPr>
              <w:spacing w:line="276" w:lineRule="auto"/>
              <w:ind w:firstLine="420" w:firstLineChars="200"/>
              <w:jc w:val="both"/>
              <w:rPr>
                <w:rFonts w:hint="eastAsia" w:ascii="宋体" w:hAnsi="宋体" w:cs="宋体"/>
                <w:bCs/>
                <w:szCs w:val="21"/>
              </w:rPr>
            </w:pPr>
            <w:r>
              <w:rPr>
                <w:rFonts w:hint="eastAsia" w:ascii="宋体" w:hAnsi="宋体" w:cs="宋体"/>
                <w:bCs/>
                <w:szCs w:val="21"/>
              </w:rPr>
              <w:t>湿度：≤70%RH</w:t>
            </w:r>
          </w:p>
        </w:tc>
        <w:tc>
          <w:tcPr>
            <w:tcW w:w="2262"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正压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PCR扩增室</w:t>
            </w:r>
          </w:p>
          <w:p>
            <w:pPr>
              <w:spacing w:line="276" w:lineRule="auto"/>
              <w:ind w:firstLine="420" w:firstLineChars="200"/>
              <w:jc w:val="both"/>
              <w:rPr>
                <w:rFonts w:hint="eastAsia" w:ascii="宋体" w:hAnsi="宋体" w:cs="宋体"/>
                <w:bCs/>
                <w:szCs w:val="21"/>
              </w:rPr>
            </w:pPr>
            <w:r>
              <w:rPr>
                <w:rFonts w:hint="eastAsia" w:ascii="宋体" w:hAnsi="宋体" w:cs="宋体"/>
                <w:bCs/>
                <w:szCs w:val="21"/>
              </w:rPr>
              <w:t>（前区）</w:t>
            </w:r>
          </w:p>
        </w:tc>
        <w:tc>
          <w:tcPr>
            <w:tcW w:w="1747"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十万级</w:t>
            </w:r>
          </w:p>
        </w:tc>
        <w:tc>
          <w:tcPr>
            <w:tcW w:w="2959"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夏季温度：26-28℃；</w:t>
            </w:r>
          </w:p>
          <w:p>
            <w:pPr>
              <w:spacing w:line="276" w:lineRule="auto"/>
              <w:ind w:firstLine="420" w:firstLineChars="200"/>
              <w:jc w:val="both"/>
              <w:rPr>
                <w:rFonts w:hint="eastAsia" w:ascii="宋体" w:hAnsi="宋体" w:cs="宋体"/>
                <w:bCs/>
                <w:szCs w:val="21"/>
              </w:rPr>
            </w:pPr>
            <w:r>
              <w:rPr>
                <w:rFonts w:hint="eastAsia" w:ascii="宋体" w:hAnsi="宋体" w:cs="宋体"/>
                <w:bCs/>
                <w:szCs w:val="21"/>
              </w:rPr>
              <w:t>冬季温度：18-22℃</w:t>
            </w:r>
          </w:p>
          <w:p>
            <w:pPr>
              <w:spacing w:line="276" w:lineRule="auto"/>
              <w:ind w:firstLine="420" w:firstLineChars="200"/>
              <w:jc w:val="both"/>
              <w:rPr>
                <w:rFonts w:hint="eastAsia" w:ascii="宋体" w:hAnsi="宋体" w:cs="宋体"/>
                <w:bCs/>
                <w:szCs w:val="21"/>
              </w:rPr>
            </w:pPr>
            <w:r>
              <w:rPr>
                <w:rFonts w:hint="eastAsia" w:ascii="宋体" w:hAnsi="宋体" w:cs="宋体"/>
                <w:bCs/>
                <w:szCs w:val="21"/>
              </w:rPr>
              <w:t>湿度：≤70%RH</w:t>
            </w:r>
          </w:p>
        </w:tc>
        <w:tc>
          <w:tcPr>
            <w:tcW w:w="2262"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负压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PCR扩增室</w:t>
            </w:r>
          </w:p>
        </w:tc>
        <w:tc>
          <w:tcPr>
            <w:tcW w:w="1747"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十万级</w:t>
            </w:r>
          </w:p>
        </w:tc>
        <w:tc>
          <w:tcPr>
            <w:tcW w:w="2959"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夏季温度:26-28℃；</w:t>
            </w:r>
          </w:p>
          <w:p>
            <w:pPr>
              <w:spacing w:line="276" w:lineRule="auto"/>
              <w:ind w:firstLine="420" w:firstLineChars="200"/>
              <w:jc w:val="both"/>
              <w:rPr>
                <w:rFonts w:hint="eastAsia" w:ascii="宋体" w:hAnsi="宋体" w:cs="宋体"/>
                <w:bCs/>
                <w:szCs w:val="21"/>
              </w:rPr>
            </w:pPr>
            <w:r>
              <w:rPr>
                <w:rFonts w:hint="eastAsia" w:ascii="宋体" w:hAnsi="宋体" w:cs="宋体"/>
                <w:bCs/>
                <w:szCs w:val="21"/>
              </w:rPr>
              <w:t>冬季温度：18-22℃</w:t>
            </w:r>
          </w:p>
          <w:p>
            <w:pPr>
              <w:spacing w:line="276" w:lineRule="auto"/>
              <w:ind w:firstLine="420" w:firstLineChars="200"/>
              <w:jc w:val="both"/>
              <w:rPr>
                <w:rFonts w:hint="eastAsia" w:ascii="宋体" w:hAnsi="宋体" w:cs="宋体"/>
                <w:bCs/>
                <w:szCs w:val="21"/>
              </w:rPr>
            </w:pPr>
            <w:r>
              <w:rPr>
                <w:rFonts w:hint="eastAsia" w:ascii="宋体" w:hAnsi="宋体" w:cs="宋体"/>
                <w:bCs/>
                <w:szCs w:val="21"/>
              </w:rPr>
              <w:t>湿度：≤70%RH</w:t>
            </w:r>
          </w:p>
        </w:tc>
        <w:tc>
          <w:tcPr>
            <w:tcW w:w="2262"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负压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PCR产物分析室</w:t>
            </w:r>
          </w:p>
        </w:tc>
        <w:tc>
          <w:tcPr>
            <w:tcW w:w="1747"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十万级</w:t>
            </w:r>
          </w:p>
        </w:tc>
        <w:tc>
          <w:tcPr>
            <w:tcW w:w="2959"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夏季温度:26-28℃；</w:t>
            </w:r>
          </w:p>
          <w:p>
            <w:pPr>
              <w:spacing w:line="276" w:lineRule="auto"/>
              <w:ind w:firstLine="420" w:firstLineChars="200"/>
              <w:jc w:val="both"/>
              <w:rPr>
                <w:rFonts w:hint="eastAsia" w:ascii="宋体" w:hAnsi="宋体" w:cs="宋体"/>
                <w:bCs/>
                <w:szCs w:val="21"/>
              </w:rPr>
            </w:pPr>
            <w:r>
              <w:rPr>
                <w:rFonts w:hint="eastAsia" w:ascii="宋体" w:hAnsi="宋体" w:cs="宋体"/>
                <w:bCs/>
                <w:szCs w:val="21"/>
              </w:rPr>
              <w:t>冬季温度：18-22℃</w:t>
            </w:r>
          </w:p>
          <w:p>
            <w:pPr>
              <w:spacing w:line="276" w:lineRule="auto"/>
              <w:ind w:firstLine="420" w:firstLineChars="200"/>
              <w:jc w:val="both"/>
              <w:rPr>
                <w:rFonts w:hint="eastAsia" w:ascii="宋体" w:hAnsi="宋体" w:cs="宋体"/>
                <w:bCs/>
                <w:szCs w:val="21"/>
              </w:rPr>
            </w:pPr>
            <w:r>
              <w:rPr>
                <w:rFonts w:hint="eastAsia" w:ascii="宋体" w:hAnsi="宋体" w:cs="宋体"/>
                <w:bCs/>
                <w:szCs w:val="21"/>
              </w:rPr>
              <w:t>湿度：≤70%RH</w:t>
            </w:r>
          </w:p>
        </w:tc>
        <w:tc>
          <w:tcPr>
            <w:tcW w:w="2262"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负压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PCR走廊</w:t>
            </w:r>
          </w:p>
        </w:tc>
        <w:tc>
          <w:tcPr>
            <w:tcW w:w="1747"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三十万级</w:t>
            </w:r>
          </w:p>
        </w:tc>
        <w:tc>
          <w:tcPr>
            <w:tcW w:w="2959"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夏季温度:26-28℃；</w:t>
            </w:r>
          </w:p>
          <w:p>
            <w:pPr>
              <w:spacing w:line="276" w:lineRule="auto"/>
              <w:ind w:firstLine="420" w:firstLineChars="200"/>
              <w:jc w:val="both"/>
              <w:rPr>
                <w:rFonts w:hint="eastAsia" w:ascii="宋体" w:hAnsi="宋体" w:cs="宋体"/>
                <w:bCs/>
                <w:szCs w:val="21"/>
              </w:rPr>
            </w:pPr>
            <w:r>
              <w:rPr>
                <w:rFonts w:hint="eastAsia" w:ascii="宋体" w:hAnsi="宋体" w:cs="宋体"/>
                <w:bCs/>
                <w:szCs w:val="21"/>
              </w:rPr>
              <w:t>冬季温度：18-22℃</w:t>
            </w:r>
          </w:p>
          <w:p>
            <w:pPr>
              <w:spacing w:line="276" w:lineRule="auto"/>
              <w:ind w:firstLine="420" w:firstLineChars="200"/>
              <w:jc w:val="both"/>
              <w:rPr>
                <w:rFonts w:hint="eastAsia" w:ascii="宋体" w:hAnsi="宋体" w:cs="宋体"/>
                <w:bCs/>
                <w:szCs w:val="21"/>
              </w:rPr>
            </w:pPr>
            <w:r>
              <w:rPr>
                <w:rFonts w:hint="eastAsia" w:ascii="宋体" w:hAnsi="宋体" w:cs="宋体"/>
                <w:bCs/>
                <w:szCs w:val="21"/>
              </w:rPr>
              <w:t>湿度：≤70%RH</w:t>
            </w:r>
          </w:p>
        </w:tc>
        <w:tc>
          <w:tcPr>
            <w:tcW w:w="2262" w:type="dxa"/>
            <w:vAlign w:val="center"/>
          </w:tcPr>
          <w:p>
            <w:pPr>
              <w:spacing w:line="276" w:lineRule="auto"/>
              <w:ind w:firstLine="420" w:firstLineChars="200"/>
              <w:jc w:val="both"/>
              <w:rPr>
                <w:rFonts w:hint="eastAsia" w:ascii="宋体" w:hAnsi="宋体" w:cs="宋体"/>
                <w:bCs/>
                <w:szCs w:val="21"/>
              </w:rPr>
            </w:pPr>
            <w:r>
              <w:rPr>
                <w:rFonts w:hint="eastAsia" w:ascii="宋体" w:hAnsi="宋体" w:cs="宋体"/>
                <w:bCs/>
                <w:szCs w:val="21"/>
              </w:rPr>
              <w:t>常压</w:t>
            </w:r>
          </w:p>
        </w:tc>
      </w:tr>
      <w:bookmarkEnd w:id="222"/>
      <w:bookmarkEnd w:id="223"/>
    </w:tbl>
    <w:p>
      <w:pPr>
        <w:spacing w:line="276" w:lineRule="auto"/>
        <w:ind w:firstLine="422" w:firstLineChars="200"/>
        <w:jc w:val="left"/>
        <w:outlineLvl w:val="1"/>
        <w:rPr>
          <w:rStyle w:val="65"/>
          <w:rFonts w:ascii="宋体" w:hAnsi="宋体"/>
          <w:b/>
          <w:bCs/>
          <w:color w:val="auto"/>
        </w:rPr>
      </w:pPr>
      <w:bookmarkStart w:id="224" w:name="_Toc30996"/>
      <w:r>
        <w:rPr>
          <w:rStyle w:val="65"/>
          <w:rFonts w:hint="eastAsia" w:ascii="宋体" w:hAnsi="宋体"/>
          <w:b/>
          <w:bCs/>
          <w:color w:val="auto"/>
        </w:rPr>
        <w:t>（二）实验室围护结构材料要求</w:t>
      </w:r>
      <w:bookmarkEnd w:id="224"/>
    </w:p>
    <w:p>
      <w:pPr>
        <w:spacing w:line="276" w:lineRule="auto"/>
        <w:ind w:firstLine="422"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1、本装修工程所采用的材料质量、规格、品种和有害物质限量等应符合设计要求和国家现行标准的规定。</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b/>
          <w:bCs/>
          <w:color w:val="auto"/>
          <w:szCs w:val="21"/>
        </w:rPr>
        <w:t>2、材料使用</w:t>
      </w:r>
      <w:r>
        <w:rPr>
          <w:rFonts w:hint="eastAsia" w:asciiTheme="minorEastAsia" w:hAnsiTheme="minorEastAsia" w:eastAsiaTheme="minorEastAsia" w:cstheme="minorEastAsia"/>
          <w:b/>
          <w:bCs/>
          <w:color w:val="auto"/>
          <w:szCs w:val="21"/>
        </w:rPr>
        <w:cr/>
      </w:r>
      <w:r>
        <w:rPr>
          <w:rFonts w:hint="eastAsia" w:asciiTheme="minorEastAsia" w:hAnsiTheme="minorEastAsia" w:eastAsiaTheme="minorEastAsia" w:cstheme="minorEastAsia"/>
          <w:color w:val="auto"/>
          <w:szCs w:val="21"/>
        </w:rPr>
        <w:t xml:space="preserve">  （1）50mm洁净保温钢板</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b/>
          <w:bCs/>
          <w:color w:val="auto"/>
          <w:szCs w:val="21"/>
        </w:rPr>
        <w:t>本项目实验室墙面及吊顶采用50mm洁净保温钢板。</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板材采用优质彩色涂层钢板为面层岩棉为内芯层，通过加压、加热等工序制造而成，密封性能好防火等级高。可满足1小时耐火极限的要求，隔热保温，抗弯抗压，承载力强，即可作为围护结构，又可作为承重结构。采用模块化设计，插入式连接方式，安装灵活方便。其防火等级为A级；彩钢板颜色要与地板和天花板协调、美观、整齐、缝隙均匀。</w:t>
      </w:r>
    </w:p>
    <w:p>
      <w:pPr>
        <w:spacing w:line="276" w:lineRule="auto"/>
        <w:ind w:firstLine="422"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关键技术要求：</w:t>
      </w:r>
      <w:r>
        <w:rPr>
          <w:rFonts w:hint="eastAsia" w:asciiTheme="minorEastAsia" w:hAnsiTheme="minorEastAsia" w:eastAsiaTheme="minorEastAsia" w:cstheme="minorEastAsia"/>
          <w:color w:val="auto"/>
          <w:szCs w:val="21"/>
        </w:rPr>
        <w:t>恒温净化围护结构保温钢板需达到耐火1h（60min）防火要求，</w:t>
      </w:r>
      <w:r>
        <w:rPr>
          <w:rFonts w:hint="eastAsia" w:asciiTheme="minorEastAsia" w:hAnsiTheme="minorEastAsia" w:eastAsiaTheme="minorEastAsia" w:cstheme="minorEastAsia"/>
          <w:color w:val="auto"/>
          <w:szCs w:val="21"/>
          <w:highlight w:val="yellow"/>
        </w:rPr>
        <w:cr/>
      </w:r>
      <w:r>
        <w:rPr>
          <w:rFonts w:hint="eastAsia" w:asciiTheme="minorEastAsia" w:hAnsiTheme="minorEastAsia" w:eastAsiaTheme="minorEastAsia" w:cstheme="minorEastAsia"/>
          <w:color w:val="auto"/>
          <w:szCs w:val="21"/>
        </w:rPr>
        <w:t xml:space="preserve">    穿过实验室的上下水管道用墙板包封于夹缝内并做好保温处理；</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吊顶所用龙骨、吊杆、连接件必须符合产品组合要求。安装位置、造型尺寸必须准确。龙骨构架排列整齐顺直，Φ8/Φ10钢筋吊杆，承载龙骨间900-1200mm；</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洞口处理：设备口、灯具的位置必须按板块、图案、分格对称布局合理，开口边缘整齐、不露缝。</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(2)地面及基层处理：</w:t>
      </w:r>
    </w:p>
    <w:p>
      <w:pPr>
        <w:pStyle w:val="2"/>
        <w:spacing w:line="276" w:lineRule="auto"/>
        <w:ind w:left="0" w:leftChars="0"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原PVC地面拆除后，毛地面需先清理压实后，用2cm水泥砂浆进行整体找平（由于空间有限，找平可以进行局部分段处理），水泥自流平3mm后铺设2.0mm PVC地胶并做PVC踢脚线 ,具有良好的耐磨、耐化学药物、防水、防火性能。</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基底表面必须平整，四角方正。不得有裂纹、脱皮和起砂。</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基底构造层（保温层、防水层、防潮层、找平层、结合层）的材料质量、强度、密实度必须符合设计要求和施工规范的规定。</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铺设PVC地面粘贴面层的基底表面必须平整，光滑，干燥、密实，洁净。不得有裂纹、脱皮和起砂。</w:t>
      </w:r>
    </w:p>
    <w:p>
      <w:pPr>
        <w:spacing w:line="276" w:lineRule="auto"/>
        <w:ind w:firstLine="422" w:firstLineChars="200"/>
        <w:jc w:val="left"/>
        <w:outlineLvl w:val="1"/>
        <w:rPr>
          <w:rStyle w:val="65"/>
          <w:rFonts w:ascii="宋体" w:hAnsi="宋体"/>
          <w:b/>
          <w:bCs/>
          <w:color w:val="auto"/>
        </w:rPr>
      </w:pPr>
      <w:bookmarkStart w:id="225" w:name="_Toc29834"/>
      <w:r>
        <w:rPr>
          <w:rStyle w:val="65"/>
          <w:rFonts w:hint="eastAsia" w:ascii="宋体" w:hAnsi="宋体"/>
          <w:b/>
          <w:bCs/>
          <w:color w:val="auto"/>
        </w:rPr>
        <w:t>（三）实验操作台及配套设备技术要求</w:t>
      </w:r>
      <w:bookmarkEnd w:id="225"/>
    </w:p>
    <w:p>
      <w:pPr>
        <w:pStyle w:val="41"/>
        <w:spacing w:line="276" w:lineRule="auto"/>
        <w:ind w:left="420" w:firstLine="0" w:firstLineChars="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原有家具尽可能利旧，补充配置所需实验边台；</w:t>
      </w:r>
    </w:p>
    <w:p>
      <w:pPr>
        <w:spacing w:line="276" w:lineRule="auto"/>
        <w:ind w:firstLine="422" w:firstLineChars="200"/>
        <w:textAlignment w:val="baseline"/>
        <w:rPr>
          <w:rFonts w:asciiTheme="minorEastAsia" w:hAnsiTheme="minorEastAsia" w:eastAsiaTheme="minorEastAsia" w:cstheme="minorEastAsia"/>
          <w:b/>
          <w:bCs/>
          <w:i/>
          <w:caps/>
          <w:color w:val="auto"/>
          <w:szCs w:val="21"/>
        </w:rPr>
      </w:pPr>
      <w:r>
        <w:rPr>
          <w:rFonts w:hint="eastAsia" w:asciiTheme="minorEastAsia" w:hAnsiTheme="minorEastAsia" w:eastAsiaTheme="minorEastAsia" w:cstheme="minorEastAsia"/>
          <w:b/>
          <w:bCs/>
          <w:color w:val="auto"/>
          <w:szCs w:val="21"/>
        </w:rPr>
        <w:t>1、实验台台面技术参数要求</w:t>
      </w:r>
    </w:p>
    <w:p>
      <w:pPr>
        <w:spacing w:line="276" w:lineRule="auto"/>
        <w:ind w:firstLine="420" w:firstLineChars="200"/>
        <w:rPr>
          <w:rFonts w:asciiTheme="minorEastAsia" w:hAnsiTheme="minorEastAsia" w:eastAsiaTheme="minorEastAsia" w:cstheme="minorEastAsia"/>
          <w:color w:val="auto"/>
          <w:szCs w:val="21"/>
        </w:rPr>
      </w:pPr>
      <w:bookmarkStart w:id="226" w:name="OLE_LINK18"/>
      <w:bookmarkStart w:id="227" w:name="OLE_LINK19"/>
      <w:bookmarkStart w:id="228" w:name="OLE_LINK21"/>
      <w:bookmarkStart w:id="229" w:name="OLE_LINK22"/>
      <w:bookmarkStart w:id="230" w:name="OLE_LINK20"/>
      <w:bookmarkStart w:id="231" w:name="OLE_LINK23"/>
      <w:r>
        <w:rPr>
          <w:rFonts w:hint="eastAsia" w:asciiTheme="minorEastAsia" w:hAnsiTheme="minorEastAsia" w:eastAsiaTheme="minorEastAsia" w:cstheme="minorEastAsia"/>
          <w:color w:val="auto"/>
          <w:szCs w:val="21"/>
        </w:rPr>
        <w:t>采用12.7mm厚黑色阻燃耐蚀理化板。基材为特殊专用阻燃牛皮纸，中间层为色纸，表面层为实验室专业耐腐蚀膜，表面更耐腐蚀、更耐刻刮，更适合实验室环境使用。台面技术参数满足以下所有指标：</w:t>
      </w:r>
    </w:p>
    <w:p>
      <w:pPr>
        <w:pStyle w:val="2"/>
        <w:spacing w:line="276" w:lineRule="auto"/>
        <w:ind w:left="0" w:leftChars="0" w:firstLine="422" w:firstLineChars="200"/>
        <w:rPr>
          <w:rStyle w:val="65"/>
          <w:rFonts w:asciiTheme="minorEastAsia" w:hAnsiTheme="minorEastAsia" w:eastAsiaTheme="minorEastAsia" w:cstheme="minorEastAsia"/>
          <w:b/>
          <w:bCs/>
          <w:color w:val="auto"/>
          <w:szCs w:val="21"/>
        </w:rPr>
      </w:pPr>
      <w:r>
        <w:rPr>
          <w:rStyle w:val="65"/>
          <w:rFonts w:hint="eastAsia" w:asciiTheme="minorEastAsia" w:hAnsiTheme="minorEastAsia" w:eastAsiaTheme="minorEastAsia" w:cstheme="minorEastAsia"/>
          <w:b/>
          <w:bCs/>
          <w:color w:val="auto"/>
          <w:szCs w:val="21"/>
        </w:rPr>
        <w:t>关键技术要求：</w:t>
      </w:r>
    </w:p>
    <w:p>
      <w:pPr>
        <w:spacing w:line="276" w:lineRule="auto"/>
        <w:ind w:firstLine="422" w:firstLineChars="200"/>
        <w:textAlignment w:val="baseline"/>
        <w:rPr>
          <w:rFonts w:asciiTheme="minorEastAsia" w:hAnsiTheme="minorEastAsia" w:eastAsiaTheme="minorEastAsia" w:cstheme="minorEastAsia"/>
          <w:b/>
          <w:bCs/>
          <w:color w:val="auto"/>
          <w:szCs w:val="21"/>
          <w:highlight w:val="none"/>
        </w:rPr>
      </w:pPr>
      <w:r>
        <w:rPr>
          <w:rStyle w:val="65"/>
          <w:rFonts w:hint="eastAsia" w:asciiTheme="minorEastAsia" w:hAnsiTheme="minorEastAsia" w:eastAsiaTheme="minorEastAsia" w:cstheme="minorEastAsia"/>
          <w:b/>
          <w:bCs/>
          <w:color w:val="auto"/>
          <w:szCs w:val="21"/>
        </w:rPr>
        <w:t>实验台理化板台面耐化学和耐污性能要求符合SEFA3-2010实验室工作台面的要求，耐受包含40%氢氧化钠、70%硝酸、90%甲酸、98%乙酸，检测结果均为“0级”。</w:t>
      </w:r>
      <w:r>
        <w:rPr>
          <w:rFonts w:hint="eastAsia"/>
          <w:b/>
          <w:bCs/>
          <w:color w:val="auto"/>
          <w:szCs w:val="21"/>
          <w:highlight w:val="none"/>
        </w:rPr>
        <w:t>（投标时须提供加盖投标人公章的检测报告彩色扫描件）</w:t>
      </w:r>
      <w:r>
        <w:rPr>
          <w:rStyle w:val="65"/>
          <w:rFonts w:hint="eastAsia" w:asciiTheme="minorEastAsia" w:hAnsiTheme="minorEastAsia" w:eastAsiaTheme="minorEastAsia" w:cstheme="minorEastAsia"/>
          <w:b/>
          <w:bCs/>
          <w:color w:val="auto"/>
          <w:szCs w:val="21"/>
          <w:highlight w:val="none"/>
        </w:rPr>
        <w:t>；</w:t>
      </w:r>
    </w:p>
    <w:p>
      <w:pPr>
        <w:pStyle w:val="66"/>
        <w:spacing w:before="72" w:after="72" w:line="276" w:lineRule="auto"/>
        <w:ind w:firstLine="422" w:firstLineChars="200"/>
        <w:jc w:val="left"/>
        <w:rPr>
          <w:rFonts w:asciiTheme="minorEastAsia" w:hAnsiTheme="minorEastAsia" w:eastAsiaTheme="minorEastAsia" w:cstheme="minorEastAsia"/>
          <w:b/>
          <w:bCs/>
          <w:color w:val="auto"/>
          <w:sz w:val="21"/>
          <w:szCs w:val="21"/>
          <w:highlight w:val="none"/>
          <w:lang w:bidi="ar"/>
        </w:rPr>
      </w:pPr>
      <w:r>
        <w:rPr>
          <w:rStyle w:val="65"/>
          <w:rFonts w:hint="eastAsia" w:asciiTheme="minorEastAsia" w:hAnsiTheme="minorEastAsia" w:eastAsiaTheme="minorEastAsia" w:cstheme="minorEastAsia"/>
          <w:b/>
          <w:bCs/>
          <w:color w:val="auto"/>
          <w:sz w:val="21"/>
          <w:szCs w:val="21"/>
          <w:highlight w:val="none"/>
        </w:rPr>
        <w:t>实验台理化板台面甲醛释放量要求：要求符合GB 18580-2017-甲醛释放量的国家强制性标准符合室内使用E1级标准，检测结果为“未检出”。</w:t>
      </w:r>
      <w:r>
        <w:rPr>
          <w:rFonts w:hint="eastAsia"/>
          <w:b/>
          <w:bCs/>
          <w:color w:val="auto"/>
          <w:sz w:val="21"/>
          <w:szCs w:val="21"/>
          <w:highlight w:val="none"/>
        </w:rPr>
        <w:t>（投标时须提供加盖投标人公章的检测报告彩色扫描件）</w:t>
      </w:r>
      <w:r>
        <w:rPr>
          <w:rStyle w:val="65"/>
          <w:rFonts w:hint="eastAsia" w:asciiTheme="minorEastAsia" w:hAnsiTheme="minorEastAsia" w:eastAsiaTheme="minorEastAsia" w:cstheme="minorEastAsia"/>
          <w:b/>
          <w:bCs/>
          <w:color w:val="auto"/>
          <w:sz w:val="21"/>
          <w:szCs w:val="21"/>
          <w:highlight w:val="none"/>
        </w:rPr>
        <w:t>；</w:t>
      </w:r>
    </w:p>
    <w:p>
      <w:pPr>
        <w:pStyle w:val="66"/>
        <w:spacing w:before="72" w:after="72" w:line="276" w:lineRule="auto"/>
        <w:ind w:firstLine="422" w:firstLineChars="200"/>
        <w:jc w:val="left"/>
        <w:rPr>
          <w:rFonts w:asciiTheme="minorEastAsia" w:hAnsiTheme="minorEastAsia" w:eastAsiaTheme="minorEastAsia" w:cstheme="minorEastAsia"/>
          <w:b/>
          <w:bCs/>
          <w:color w:val="auto"/>
          <w:sz w:val="21"/>
          <w:szCs w:val="21"/>
          <w:highlight w:val="none"/>
          <w:lang w:bidi="ar"/>
        </w:rPr>
      </w:pPr>
      <w:r>
        <w:rPr>
          <w:rStyle w:val="65"/>
          <w:rFonts w:hint="eastAsia" w:asciiTheme="minorEastAsia" w:hAnsiTheme="minorEastAsia" w:eastAsiaTheme="minorEastAsia" w:cstheme="minorEastAsia"/>
          <w:b/>
          <w:bCs/>
          <w:color w:val="auto"/>
          <w:sz w:val="21"/>
          <w:szCs w:val="21"/>
          <w:highlight w:val="none"/>
        </w:rPr>
        <w:t>实验台理化板台面燃烧性能等级要求：提供依据GB 8624-2012建筑材料及燃烧性能分级标准，测试结论为燃烧性能等级为GB 8624 B1级，</w:t>
      </w:r>
      <w:r>
        <w:rPr>
          <w:rFonts w:hint="eastAsia"/>
          <w:b/>
          <w:bCs/>
          <w:color w:val="auto"/>
          <w:sz w:val="21"/>
          <w:szCs w:val="21"/>
          <w:highlight w:val="none"/>
        </w:rPr>
        <w:t>（投标时须提供加盖投标人公章的检测报告彩色扫描件）</w:t>
      </w:r>
      <w:r>
        <w:rPr>
          <w:rStyle w:val="65"/>
          <w:rFonts w:hint="eastAsia" w:asciiTheme="minorEastAsia" w:hAnsiTheme="minorEastAsia" w:eastAsiaTheme="minorEastAsia" w:cstheme="minorEastAsia"/>
          <w:b/>
          <w:bCs/>
          <w:color w:val="auto"/>
          <w:sz w:val="21"/>
          <w:szCs w:val="21"/>
          <w:highlight w:val="none"/>
        </w:rPr>
        <w:t>；</w:t>
      </w:r>
    </w:p>
    <w:p>
      <w:pPr>
        <w:spacing w:line="276" w:lineRule="auto"/>
        <w:ind w:firstLine="426"/>
        <w:rPr>
          <w:rFonts w:asciiTheme="minorEastAsia" w:hAnsiTheme="minorEastAsia" w:eastAsiaTheme="minorEastAsia" w:cstheme="minorEastAsia"/>
          <w:b/>
          <w:bCs/>
          <w:color w:val="auto"/>
          <w:szCs w:val="21"/>
          <w:highlight w:val="none"/>
        </w:rPr>
      </w:pPr>
      <w:r>
        <w:rPr>
          <w:rStyle w:val="65"/>
          <w:rFonts w:hint="eastAsia" w:asciiTheme="minorEastAsia" w:hAnsiTheme="minorEastAsia" w:eastAsiaTheme="minorEastAsia" w:cstheme="minorEastAsia"/>
          <w:b/>
          <w:bCs/>
          <w:color w:val="auto"/>
          <w:szCs w:val="21"/>
          <w:highlight w:val="none"/>
        </w:rPr>
        <w:t>实验台理化板台面物理性能要求：要求耐干热性能（180℃）结果不低于5级，耐香烟灼烧性结果不低于5级，弯曲弹性模量不低于18000MPa，</w:t>
      </w:r>
      <w:r>
        <w:rPr>
          <w:rFonts w:hint="eastAsia"/>
          <w:b/>
          <w:bCs/>
          <w:color w:val="auto"/>
          <w:szCs w:val="21"/>
          <w:highlight w:val="none"/>
        </w:rPr>
        <w:t>（投标时须提供加盖投标人公章的检测报告彩色扫描件）</w:t>
      </w:r>
      <w:r>
        <w:rPr>
          <w:rStyle w:val="65"/>
          <w:rFonts w:hint="eastAsia" w:asciiTheme="minorEastAsia" w:hAnsiTheme="minorEastAsia" w:eastAsiaTheme="minorEastAsia" w:cstheme="minorEastAsia"/>
          <w:b/>
          <w:bCs/>
          <w:color w:val="auto"/>
          <w:szCs w:val="21"/>
          <w:highlight w:val="none"/>
        </w:rPr>
        <w:t>；</w:t>
      </w:r>
    </w:p>
    <w:bookmarkEnd w:id="226"/>
    <w:bookmarkEnd w:id="227"/>
    <w:bookmarkEnd w:id="228"/>
    <w:bookmarkEnd w:id="229"/>
    <w:bookmarkEnd w:id="230"/>
    <w:bookmarkEnd w:id="231"/>
    <w:p>
      <w:pPr>
        <w:spacing w:line="276" w:lineRule="auto"/>
        <w:ind w:firstLine="422" w:firstLineChars="200"/>
        <w:textAlignment w:val="baseline"/>
        <w:rPr>
          <w:rFonts w:asciiTheme="minorEastAsia" w:hAnsiTheme="minorEastAsia" w:eastAsiaTheme="minorEastAsia" w:cstheme="minorEastAsia"/>
          <w:b/>
          <w:bCs/>
          <w:i/>
          <w:caps/>
          <w:color w:val="auto"/>
          <w:szCs w:val="21"/>
        </w:rPr>
      </w:pPr>
      <w:r>
        <w:rPr>
          <w:rFonts w:hint="eastAsia" w:asciiTheme="minorEastAsia" w:hAnsiTheme="minorEastAsia" w:eastAsiaTheme="minorEastAsia" w:cstheme="minorEastAsia"/>
          <w:b/>
          <w:bCs/>
          <w:color w:val="auto"/>
          <w:szCs w:val="21"/>
        </w:rPr>
        <w:t>2、实验台活动柜</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实验室专用家具设备的材料及其配套件性能、技术及其安装位置应满足招标人提供的有关文件和设计图纸要求。</w:t>
      </w:r>
    </w:p>
    <w:p>
      <w:pPr>
        <w:spacing w:line="276" w:lineRule="auto"/>
        <w:ind w:firstLine="422" w:firstLineChars="200"/>
        <w:textAlignment w:val="baseline"/>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3、台式洗眼器</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主体加厚铜质。涂层为高亮度环氧树脂涂层耐腐蚀、耐热、防紫外线辐射。喷淋头为软性橡胶，出水经缓压处理呈泡沫状水柱防止冲伤眼睛。PP自动防尘盖。水流锁定开关：水流开启、锁定功能一次完成，方便使用。最大耐水压：7Pa。</w:t>
      </w:r>
    </w:p>
    <w:p>
      <w:pPr>
        <w:spacing w:line="276" w:lineRule="auto"/>
        <w:ind w:firstLine="422" w:firstLineChars="200"/>
        <w:textAlignment w:val="baseline"/>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关键技术要求：洗眼器提供抗压强度、耐压性、密封性等；</w:t>
      </w:r>
    </w:p>
    <w:p>
      <w:pPr>
        <w:spacing w:line="276" w:lineRule="auto"/>
        <w:ind w:firstLine="422" w:firstLineChars="200"/>
        <w:textAlignment w:val="baseline"/>
        <w:rPr>
          <w:rFonts w:asciiTheme="minorEastAsia" w:hAnsiTheme="minorEastAsia" w:eastAsiaTheme="minorEastAsia" w:cstheme="minorEastAsia"/>
          <w:b/>
          <w:bCs/>
          <w:i/>
          <w:caps/>
          <w:color w:val="auto"/>
          <w:szCs w:val="21"/>
        </w:rPr>
      </w:pPr>
      <w:r>
        <w:rPr>
          <w:rFonts w:hint="eastAsia" w:asciiTheme="minorEastAsia" w:hAnsiTheme="minorEastAsia" w:eastAsiaTheme="minorEastAsia" w:cstheme="minorEastAsia"/>
          <w:b/>
          <w:bCs/>
          <w:color w:val="auto"/>
          <w:szCs w:val="21"/>
        </w:rPr>
        <w:t>4、五金配件</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（1）合页：采用不锈钢材质，开启角度≥135度。</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静音滑轨：抽屉采用厚2.0mm以上钢制高承载导轨，为冷轧钢板模具冲压成型制作，通过焊接与抽屉连为一体，然后与抽屉本体一起使用环氧树脂粉末静电喷涂表面。自闭结构设计，当抽屉关到末端时有自闭功能，滑轨抽屉能抽出至少330mm；抽屉的滚轮采用尼龙包边的滚球轴承。</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（3）拉手：采用不锈钢/铝合金拉手，抽屉宽度超过600mm及以上时应配置两只拉手。</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（4）地脚：暗藏镀锌钢或不锈钢材质制作，高低可调的功能。</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（5）门扣组：采用塑料/镀锌材质。</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（6）层板支撑扣：采用不锈钢材质。</w:t>
      </w:r>
    </w:p>
    <w:p>
      <w:pPr>
        <w:spacing w:line="276" w:lineRule="auto"/>
        <w:ind w:firstLine="422" w:firstLineChars="200"/>
        <w:jc w:val="left"/>
        <w:outlineLvl w:val="1"/>
        <w:rPr>
          <w:rStyle w:val="65"/>
          <w:rFonts w:ascii="宋体" w:hAnsi="宋体"/>
          <w:b/>
          <w:bCs/>
          <w:color w:val="auto"/>
        </w:rPr>
      </w:pPr>
      <w:bookmarkStart w:id="232" w:name="_Toc10116"/>
      <w:r>
        <w:rPr>
          <w:rStyle w:val="65"/>
          <w:rFonts w:hint="eastAsia" w:ascii="宋体" w:hAnsi="宋体"/>
          <w:b/>
          <w:bCs/>
          <w:color w:val="auto"/>
        </w:rPr>
        <w:t>（四）通风及空调设备技术要求</w:t>
      </w:r>
      <w:bookmarkEnd w:id="232"/>
    </w:p>
    <w:p>
      <w:pPr>
        <w:spacing w:line="276" w:lineRule="auto"/>
        <w:ind w:firstLine="422" w:firstLineChars="200"/>
        <w:textAlignment w:val="baseline"/>
        <w:rPr>
          <w:rFonts w:asciiTheme="minorEastAsia" w:hAnsiTheme="minorEastAsia" w:eastAsiaTheme="minorEastAsia" w:cstheme="minorEastAsia"/>
          <w:b/>
          <w:i/>
          <w:caps/>
          <w:color w:val="auto"/>
          <w:szCs w:val="21"/>
        </w:rPr>
      </w:pPr>
      <w:r>
        <w:rPr>
          <w:rFonts w:hint="eastAsia" w:asciiTheme="minorEastAsia" w:hAnsiTheme="minorEastAsia" w:eastAsiaTheme="minorEastAsia" w:cstheme="minorEastAsia"/>
          <w:b/>
          <w:bCs/>
          <w:color w:val="auto"/>
          <w:szCs w:val="21"/>
        </w:rPr>
        <w:t>1、新风空调设备技术参数</w:t>
      </w:r>
    </w:p>
    <w:p>
      <w:pPr>
        <w:spacing w:line="276" w:lineRule="auto"/>
        <w:ind w:firstLine="420" w:firstLineChars="200"/>
        <w:jc w:val="left"/>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⑴空调机组的漏风率要符合箱体漏风率不大于0.03%；</w:t>
      </w:r>
    </w:p>
    <w:p>
      <w:pPr>
        <w:spacing w:line="276" w:lineRule="auto"/>
        <w:ind w:firstLine="420" w:firstLineChars="200"/>
        <w:jc w:val="left"/>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⑵空调机组箱体传热系数≤0.5；</w:t>
      </w:r>
    </w:p>
    <w:p>
      <w:pPr>
        <w:spacing w:line="276" w:lineRule="auto"/>
        <w:ind w:firstLine="420" w:firstLineChars="200"/>
        <w:jc w:val="left"/>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⑶空调机组箱体维护泡沫塑料板离火自熄性能，燃烧速度达到离火自熄；</w:t>
      </w:r>
    </w:p>
    <w:p>
      <w:pPr>
        <w:spacing w:line="276" w:lineRule="auto"/>
        <w:ind w:firstLine="422" w:firstLineChars="200"/>
        <w:textAlignment w:val="baseline"/>
        <w:rPr>
          <w:rFonts w:asciiTheme="minorEastAsia" w:hAnsiTheme="minorEastAsia" w:eastAsiaTheme="minorEastAsia" w:cstheme="minorEastAsia"/>
          <w:color w:val="auto"/>
          <w:szCs w:val="21"/>
          <w:lang w:val="en-GB"/>
        </w:rPr>
      </w:pPr>
      <w:r>
        <w:rPr>
          <w:rFonts w:hint="eastAsia" w:asciiTheme="minorEastAsia" w:hAnsiTheme="minorEastAsia" w:eastAsiaTheme="minorEastAsia" w:cstheme="minorEastAsia"/>
          <w:b/>
          <w:bCs/>
          <w:color w:val="auto"/>
          <w:szCs w:val="21"/>
        </w:rPr>
        <w:t>2、</w:t>
      </w:r>
      <w:r>
        <w:rPr>
          <w:rFonts w:hint="eastAsia" w:asciiTheme="minorEastAsia" w:hAnsiTheme="minorEastAsia" w:eastAsiaTheme="minorEastAsia" w:cstheme="minorEastAsia"/>
          <w:b/>
          <w:bCs/>
          <w:color w:val="auto"/>
          <w:szCs w:val="21"/>
          <w:lang w:val="en-GB"/>
        </w:rPr>
        <w:t>空调箱体要求</w:t>
      </w:r>
    </w:p>
    <w:p>
      <w:pPr>
        <w:spacing w:line="276" w:lineRule="auto"/>
        <w:ind w:firstLine="420" w:firstLineChars="200"/>
        <w:jc w:val="left"/>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⑴箱体采用双层面板结构，机组框架为专用净化铝塑复合结构型材，箱板通过内、外双层钣金，铝塑复合型材、PU密封条、并采用无毒抗菌密封软胶体以及高密度聚氨酯一次性发泡成型的，机组采用内圆角密封设计，内部平整，不积灰，机组整体环保、洁净，满足净化行业使用要求。</w:t>
      </w:r>
    </w:p>
    <w:p>
      <w:pPr>
        <w:spacing w:line="276" w:lineRule="auto"/>
        <w:ind w:firstLine="420" w:firstLineChars="200"/>
        <w:jc w:val="left"/>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⑵箱板采用双层面板中间高压聚氨脂发泡保温，箱板导热系数小于0.0202 W/m×K，外壁板采用厚度不小于1.0 mm厚的彩钢板，内壁板为不小于1.0 mm厚无锌花镀锌钢板，其中内底板为不小于1.0 mm厚无锌花镀锌钢板。机组铝合金型材框架与内外面板经流水线高压发泡一次成型，成为一个整体，内部平整无间隙，机组采用内埋加强筋以增加强度、结构强度高，不得出现内部突出结构，箱板厚度50 mm。密度不小于45 kg/m3。</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⑶</w:t>
      </w:r>
      <w:r>
        <w:rPr>
          <w:rFonts w:hint="eastAsia" w:asciiTheme="minorEastAsia" w:hAnsiTheme="minorEastAsia" w:eastAsiaTheme="minorEastAsia" w:cstheme="minorEastAsia"/>
          <w:color w:val="auto"/>
          <w:szCs w:val="21"/>
          <w:lang w:val="it-IT"/>
        </w:rPr>
        <w:t>机组面板应采用嵌入式无缝隙对接技术，外表面不得采用自攻钉连接；机组现场配备20# 槽钢基础支撑满足空调箱水封后的排水要求。</w:t>
      </w:r>
      <w:r>
        <w:rPr>
          <w:rFonts w:hint="eastAsia" w:asciiTheme="minorEastAsia" w:hAnsiTheme="minorEastAsia" w:eastAsiaTheme="minorEastAsia" w:cstheme="minorEastAsia"/>
          <w:color w:val="auto"/>
          <w:szCs w:val="21"/>
        </w:rPr>
        <w:t>机组底座槽钢采用表面防腐处理的槽钢底座，不得采用钢度差的镀锌钢板或其它形式底座。</w:t>
      </w:r>
    </w:p>
    <w:p>
      <w:pPr>
        <w:spacing w:line="276" w:lineRule="auto"/>
        <w:ind w:firstLine="420" w:firstLineChars="200"/>
        <w:textAlignment w:val="baseline"/>
        <w:rPr>
          <w:rFonts w:asciiTheme="minorEastAsia" w:hAnsiTheme="minorEastAsia" w:eastAsiaTheme="minorEastAsia" w:cstheme="minorEastAsia"/>
          <w:color w:val="auto"/>
          <w:szCs w:val="21"/>
          <w:lang w:val="it-IT"/>
        </w:rPr>
      </w:pPr>
      <w:r>
        <w:rPr>
          <w:rFonts w:hint="eastAsia" w:asciiTheme="minorEastAsia" w:hAnsiTheme="minorEastAsia" w:eastAsiaTheme="minorEastAsia" w:cstheme="minorEastAsia"/>
          <w:color w:val="auto"/>
          <w:szCs w:val="21"/>
        </w:rPr>
        <w:t>⑷</w:t>
      </w:r>
      <w:r>
        <w:rPr>
          <w:rFonts w:hint="eastAsia" w:asciiTheme="minorEastAsia" w:hAnsiTheme="minorEastAsia" w:eastAsiaTheme="minorEastAsia" w:cstheme="minorEastAsia"/>
          <w:color w:val="auto"/>
          <w:szCs w:val="21"/>
          <w:lang w:val="it-IT"/>
        </w:rPr>
        <w:t>无论是框梁（骨架）还是保温护板，只要同时接触机组内外空气的连接处均应采取绝对“断冷桥”结构。</w:t>
      </w:r>
    </w:p>
    <w:p>
      <w:pPr>
        <w:spacing w:line="276" w:lineRule="auto"/>
        <w:ind w:firstLine="420" w:firstLineChars="200"/>
        <w:textAlignment w:val="baseline"/>
        <w:rPr>
          <w:rFonts w:asciiTheme="minorEastAsia" w:hAnsiTheme="minorEastAsia" w:eastAsiaTheme="minorEastAsia" w:cstheme="minorEastAsia"/>
          <w:color w:val="auto"/>
          <w:szCs w:val="21"/>
          <w:lang w:val="it-IT"/>
        </w:rPr>
      </w:pPr>
      <w:bookmarkStart w:id="233" w:name="_Toc535919911"/>
      <w:r>
        <w:rPr>
          <w:rFonts w:hint="eastAsia" w:asciiTheme="minorEastAsia" w:hAnsiTheme="minorEastAsia" w:eastAsiaTheme="minorEastAsia" w:cstheme="minorEastAsia"/>
          <w:color w:val="auto"/>
          <w:szCs w:val="21"/>
          <w:lang w:val="it-IT"/>
        </w:rPr>
        <w:t>⑸机组在必要的位置必须配置防凝露性能好的钣金材料检修门，以方便日常维护和现场检修之用；密封条整体发泡成型，配合门框上双重刀口密封，密封效果有保证，无泄漏</w:t>
      </w:r>
      <w:bookmarkEnd w:id="233"/>
      <w:r>
        <w:rPr>
          <w:rFonts w:hint="eastAsia" w:asciiTheme="minorEastAsia" w:hAnsiTheme="minorEastAsia" w:eastAsiaTheme="minorEastAsia" w:cstheme="minorEastAsia"/>
          <w:color w:val="auto"/>
          <w:szCs w:val="21"/>
          <w:lang w:val="it-IT"/>
        </w:rPr>
        <w:t>。</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it-IT"/>
        </w:rPr>
        <w:t>⑹</w:t>
      </w:r>
      <w:r>
        <w:rPr>
          <w:rFonts w:hint="eastAsia" w:asciiTheme="minorEastAsia" w:hAnsiTheme="minorEastAsia" w:eastAsiaTheme="minorEastAsia" w:cstheme="minorEastAsia"/>
          <w:color w:val="auto"/>
          <w:szCs w:val="21"/>
        </w:rPr>
        <w:t>新风、回风采用电动对开多叶调节风阀（送风阀采用手动风阀），阀体需采用厚度不小于2.0 mm以上铝合金材质，叶片需采用厚度不小于1.2 mm以上铝合金材质，调解阀杆需采用方形镀锌合金钢材质，阀杆与叶片采用隐蔽式齿轮传动机构，传动灵活，防腐耐磨，密封性好。对开方式。</w:t>
      </w:r>
    </w:p>
    <w:p>
      <w:pPr>
        <w:spacing w:line="276" w:lineRule="auto"/>
        <w:ind w:firstLine="420" w:firstLineChars="200"/>
        <w:textAlignment w:val="baseline"/>
        <w:rPr>
          <w:rFonts w:asciiTheme="minorEastAsia" w:hAnsiTheme="minorEastAsia" w:eastAsiaTheme="minorEastAsia" w:cstheme="minorEastAsia"/>
          <w:color w:val="auto"/>
          <w:szCs w:val="21"/>
          <w:lang w:val="it-IT"/>
        </w:rPr>
      </w:pPr>
      <w:r>
        <w:rPr>
          <w:rFonts w:hint="eastAsia" w:asciiTheme="minorEastAsia" w:hAnsiTheme="minorEastAsia" w:eastAsiaTheme="minorEastAsia" w:cstheme="minorEastAsia"/>
          <w:color w:val="auto"/>
          <w:szCs w:val="21"/>
        </w:rPr>
        <w:t>⑺</w:t>
      </w:r>
      <w:r>
        <w:rPr>
          <w:rFonts w:hint="eastAsia" w:asciiTheme="minorEastAsia" w:hAnsiTheme="minorEastAsia" w:eastAsiaTheme="minorEastAsia" w:cstheme="minorEastAsia"/>
          <w:color w:val="auto"/>
          <w:szCs w:val="21"/>
          <w:lang w:val="it-IT"/>
        </w:rPr>
        <w:t>风机段、机组检修门要求配有观察窗，均配有低压（</w:t>
      </w:r>
      <w:r>
        <w:rPr>
          <w:rFonts w:hint="eastAsia" w:asciiTheme="minorEastAsia" w:hAnsiTheme="minorEastAsia" w:eastAsiaTheme="minorEastAsia" w:cstheme="minorEastAsia"/>
          <w:color w:val="auto"/>
          <w:szCs w:val="21"/>
        </w:rPr>
        <w:t xml:space="preserve">24 </w:t>
      </w:r>
      <w:r>
        <w:rPr>
          <w:rFonts w:hint="eastAsia" w:asciiTheme="minorEastAsia" w:hAnsiTheme="minorEastAsia" w:eastAsiaTheme="minorEastAsia" w:cstheme="minorEastAsia"/>
          <w:color w:val="auto"/>
          <w:szCs w:val="21"/>
          <w:lang w:val="it-IT"/>
        </w:rPr>
        <w:t>V）安全检修灯, 安全检修灯应采用防水型、全密封的。</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it-IT"/>
        </w:rPr>
        <w:t>⑻</w:t>
      </w:r>
      <w:r>
        <w:rPr>
          <w:rFonts w:hint="eastAsia" w:asciiTheme="minorEastAsia" w:hAnsiTheme="minorEastAsia" w:eastAsiaTheme="minorEastAsia" w:cstheme="minorEastAsia"/>
          <w:color w:val="auto"/>
          <w:szCs w:val="21"/>
        </w:rPr>
        <w:t>内壁板与机组框架齐平,无突起。壁板之间、顶板与壁板的转角处等密封良好，避免冷桥的产生。</w:t>
      </w:r>
    </w:p>
    <w:p>
      <w:pPr>
        <w:spacing w:line="276" w:lineRule="auto"/>
        <w:ind w:firstLine="420" w:firstLineChars="200"/>
        <w:textAlignment w:val="baseline"/>
        <w:rPr>
          <w:rFonts w:asciiTheme="minorEastAsia" w:hAnsiTheme="minorEastAsia" w:eastAsiaTheme="minorEastAsia" w:cstheme="minorEastAsia"/>
          <w:color w:val="auto"/>
          <w:szCs w:val="21"/>
          <w:lang w:val="it-IT"/>
        </w:rPr>
      </w:pPr>
      <w:bookmarkStart w:id="234" w:name="_Toc535919912"/>
      <w:r>
        <w:rPr>
          <w:rFonts w:hint="eastAsia" w:asciiTheme="minorEastAsia" w:hAnsiTheme="minorEastAsia" w:eastAsiaTheme="minorEastAsia" w:cstheme="minorEastAsia"/>
          <w:color w:val="auto"/>
          <w:szCs w:val="21"/>
        </w:rPr>
        <w:t>⑼</w:t>
      </w:r>
      <w:r>
        <w:rPr>
          <w:rFonts w:hint="eastAsia" w:asciiTheme="minorEastAsia" w:hAnsiTheme="minorEastAsia" w:eastAsiaTheme="minorEastAsia" w:cstheme="minorEastAsia"/>
          <w:color w:val="auto"/>
          <w:szCs w:val="21"/>
          <w:lang w:val="it-IT"/>
        </w:rPr>
        <w:t>内、外面板中间填充阻燃性或非燃性保温材料保温，所有双层保温板均须为可独立拆除结构。</w:t>
      </w:r>
      <w:bookmarkEnd w:id="234"/>
    </w:p>
    <w:p>
      <w:pPr>
        <w:spacing w:line="276" w:lineRule="auto"/>
        <w:ind w:firstLine="420" w:firstLineChars="200"/>
        <w:textAlignment w:val="baseline"/>
        <w:rPr>
          <w:rFonts w:asciiTheme="minorEastAsia" w:hAnsiTheme="minorEastAsia" w:eastAsiaTheme="minorEastAsia" w:cstheme="minorEastAsia"/>
          <w:color w:val="auto"/>
          <w:szCs w:val="21"/>
          <w:lang w:val="it-IT"/>
        </w:rPr>
      </w:pPr>
      <w:r>
        <w:rPr>
          <w:rFonts w:hint="eastAsia" w:asciiTheme="minorEastAsia" w:hAnsiTheme="minorEastAsia" w:eastAsiaTheme="minorEastAsia" w:cstheme="minorEastAsia"/>
          <w:color w:val="auto"/>
          <w:szCs w:val="21"/>
          <w:lang w:val="it-IT"/>
        </w:rPr>
        <w:t>⑽机组出厂时，外面板表面应覆保护膜，以防现场组装时表面被划伤。内采用金属制作的构件表面应作除锈和防腐处理。箱体内表面和接缝处应光滑、连续，防止积尘。空调机组内表面应平整、光滑、无积灰死角，满足食品净化行业使用要求。</w:t>
      </w:r>
    </w:p>
    <w:p>
      <w:pPr>
        <w:spacing w:line="276" w:lineRule="auto"/>
        <w:ind w:firstLine="420" w:firstLineChars="200"/>
        <w:textAlignment w:val="baseline"/>
        <w:rPr>
          <w:rFonts w:asciiTheme="minorEastAsia" w:hAnsiTheme="minorEastAsia" w:eastAsiaTheme="minorEastAsia" w:cstheme="minorEastAsia"/>
          <w:color w:val="auto"/>
          <w:szCs w:val="21"/>
        </w:rPr>
      </w:pPr>
      <w:bookmarkStart w:id="235" w:name="_Toc535919913"/>
      <w:r>
        <w:rPr>
          <w:rFonts w:hint="eastAsia" w:asciiTheme="minorEastAsia" w:hAnsiTheme="minorEastAsia" w:eastAsiaTheme="minorEastAsia" w:cstheme="minorEastAsia"/>
          <w:color w:val="auto"/>
          <w:szCs w:val="21"/>
          <w:lang w:val="it-IT"/>
        </w:rPr>
        <w:t>⑾</w:t>
      </w:r>
      <w:r>
        <w:rPr>
          <w:rFonts w:hint="eastAsia" w:asciiTheme="minorEastAsia" w:hAnsiTheme="minorEastAsia" w:eastAsiaTheme="minorEastAsia" w:cstheme="minorEastAsia"/>
          <w:color w:val="auto"/>
          <w:szCs w:val="21"/>
        </w:rPr>
        <w:t>空调机组的箱体按功能段进行工厂生产，应易于现场组装。</w:t>
      </w:r>
      <w:bookmarkEnd w:id="235"/>
      <w:bookmarkStart w:id="236" w:name="_Toc535919914"/>
      <w:r>
        <w:rPr>
          <w:rFonts w:hint="eastAsia" w:asciiTheme="minorEastAsia" w:hAnsiTheme="minorEastAsia" w:eastAsiaTheme="minorEastAsia" w:cstheme="minorEastAsia"/>
          <w:color w:val="auto"/>
          <w:szCs w:val="21"/>
        </w:rPr>
        <w:t>空调箱要有足够的维护空间，特别是风机故障时，空调箱体要便于拆卸，易于拆运风机。空调箱内壁不得出现清洁不到的死角。</w:t>
      </w:r>
      <w:bookmarkEnd w:id="236"/>
      <w:bookmarkStart w:id="237" w:name="_Toc535919915"/>
      <w:r>
        <w:rPr>
          <w:rFonts w:hint="eastAsia" w:asciiTheme="minorEastAsia" w:hAnsiTheme="minorEastAsia" w:eastAsiaTheme="minorEastAsia" w:cstheme="minorEastAsia"/>
          <w:color w:val="auto"/>
          <w:szCs w:val="21"/>
        </w:rPr>
        <w:t>所有机组内部连接处的密封都要采用无硅的橡胶密封条，不得使用密封胶。</w:t>
      </w:r>
      <w:bookmarkEnd w:id="237"/>
    </w:p>
    <w:p>
      <w:pPr>
        <w:pStyle w:val="2"/>
        <w:spacing w:line="276" w:lineRule="auto"/>
        <w:ind w:left="0" w:leftChars="0"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关键技术要求：</w:t>
      </w:r>
    </w:p>
    <w:p>
      <w:pPr>
        <w:pStyle w:val="66"/>
        <w:spacing w:before="72" w:after="72" w:line="276" w:lineRule="auto"/>
        <w:ind w:firstLine="466" w:firstLineChars="221"/>
        <w:rPr>
          <w:rFonts w:asciiTheme="minorEastAsia" w:hAnsiTheme="minorEastAsia" w:eastAsiaTheme="minorEastAsia" w:cstheme="minorEastAsia"/>
          <w:b/>
          <w:bCs/>
          <w:color w:val="auto"/>
          <w:sz w:val="21"/>
          <w:szCs w:val="21"/>
          <w:highlight w:val="none"/>
        </w:rPr>
      </w:pPr>
      <w:r>
        <w:rPr>
          <w:rStyle w:val="65"/>
          <w:rFonts w:hint="eastAsia" w:asciiTheme="minorEastAsia" w:hAnsiTheme="minorEastAsia" w:eastAsiaTheme="minorEastAsia" w:cstheme="minorEastAsia"/>
          <w:b/>
          <w:bCs/>
          <w:color w:val="auto"/>
          <w:sz w:val="21"/>
          <w:szCs w:val="21"/>
        </w:rPr>
        <w:t>⑴组合式空调箱所测风速与平均风速之差不超过20%的点数不小于95%，</w:t>
      </w:r>
      <w:r>
        <w:rPr>
          <w:rFonts w:hint="eastAsia"/>
          <w:b/>
          <w:bCs/>
          <w:color w:val="auto"/>
          <w:highlight w:val="none"/>
        </w:rPr>
        <w:t>（投标时须提供加盖投标人公章的检测报告彩色扫描件）</w:t>
      </w:r>
      <w:r>
        <w:rPr>
          <w:rStyle w:val="65"/>
          <w:rFonts w:hint="eastAsia" w:asciiTheme="minorEastAsia" w:hAnsiTheme="minorEastAsia" w:eastAsiaTheme="minorEastAsia" w:cstheme="minorEastAsia"/>
          <w:b/>
          <w:bCs/>
          <w:color w:val="auto"/>
          <w:sz w:val="21"/>
          <w:szCs w:val="21"/>
          <w:highlight w:val="none"/>
        </w:rPr>
        <w:t>；</w:t>
      </w:r>
    </w:p>
    <w:p>
      <w:pPr>
        <w:kinsoku w:val="0"/>
        <w:overflowPunct w:val="0"/>
        <w:autoSpaceDE w:val="0"/>
        <w:autoSpaceDN w:val="0"/>
        <w:spacing w:before="72" w:after="72" w:line="276"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szCs w:val="21"/>
          <w:highlight w:val="none"/>
        </w:rPr>
        <w:t>⑵组合式空调机组的漏风率要符合箱体漏风率不大于0.03%，并提供“国家压缩机制冷设备质量监督检验中心”</w:t>
      </w:r>
      <w:r>
        <w:rPr>
          <w:rStyle w:val="65"/>
          <w:rFonts w:hint="eastAsia" w:asciiTheme="minorEastAsia" w:hAnsiTheme="minorEastAsia" w:eastAsiaTheme="minorEastAsia" w:cstheme="minorEastAsia"/>
          <w:b/>
          <w:bCs/>
          <w:color w:val="auto"/>
          <w:szCs w:val="21"/>
          <w:highlight w:val="none"/>
        </w:rPr>
        <w:t>检测报告，</w:t>
      </w:r>
      <w:r>
        <w:rPr>
          <w:rFonts w:hint="eastAsia"/>
          <w:b/>
          <w:bCs/>
          <w:color w:val="auto"/>
          <w:highlight w:val="none"/>
        </w:rPr>
        <w:t>（投标时须提供加盖投标人公章的检测报告彩色扫描件）</w:t>
      </w:r>
      <w:r>
        <w:rPr>
          <w:rStyle w:val="65"/>
          <w:rFonts w:hint="eastAsia" w:asciiTheme="minorEastAsia" w:hAnsiTheme="minorEastAsia" w:eastAsiaTheme="minorEastAsia" w:cstheme="minorEastAsia"/>
          <w:b/>
          <w:bCs/>
          <w:color w:val="auto"/>
          <w:szCs w:val="21"/>
          <w:highlight w:val="none"/>
        </w:rPr>
        <w:t>；</w:t>
      </w:r>
    </w:p>
    <w:p>
      <w:pPr>
        <w:spacing w:line="276"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⑶组合式空调机组隔热性能必须达到EN1886:2006的T1级保温等级，箱体的冷桥系数必须达到EN1886:2006的TB1级冷桥等级,（冷桥因子）达到或大于0.8，并提供“国家压缩机制冷设备质量监督检验中心”</w:t>
      </w:r>
      <w:r>
        <w:rPr>
          <w:rStyle w:val="65"/>
          <w:rFonts w:hint="eastAsia" w:asciiTheme="minorEastAsia" w:hAnsiTheme="minorEastAsia" w:eastAsiaTheme="minorEastAsia" w:cstheme="minorEastAsia"/>
          <w:b/>
          <w:bCs/>
          <w:color w:val="auto"/>
          <w:szCs w:val="21"/>
          <w:highlight w:val="none"/>
        </w:rPr>
        <w:t>检测报告，</w:t>
      </w:r>
      <w:r>
        <w:rPr>
          <w:rFonts w:hint="eastAsia"/>
          <w:b/>
          <w:bCs/>
          <w:color w:val="auto"/>
          <w:highlight w:val="none"/>
        </w:rPr>
        <w:t>（投标时须提供加盖投标人公章的检测报告彩色扫描件）。</w:t>
      </w:r>
    </w:p>
    <w:p>
      <w:pPr>
        <w:spacing w:line="276" w:lineRule="auto"/>
        <w:ind w:firstLine="422" w:firstLineChars="200"/>
        <w:textAlignment w:val="baseline"/>
        <w:rPr>
          <w:rFonts w:asciiTheme="minorEastAsia" w:hAnsiTheme="minorEastAsia" w:eastAsiaTheme="minorEastAsia" w:cstheme="minorEastAsia"/>
          <w:b/>
          <w:bCs/>
          <w:color w:val="auto"/>
          <w:szCs w:val="21"/>
          <w:lang w:val="en-GB"/>
        </w:rPr>
      </w:pPr>
      <w:r>
        <w:rPr>
          <w:rFonts w:hint="eastAsia" w:asciiTheme="minorEastAsia" w:hAnsiTheme="minorEastAsia" w:eastAsiaTheme="minorEastAsia" w:cstheme="minorEastAsia"/>
          <w:b/>
          <w:bCs/>
          <w:color w:val="auto"/>
          <w:szCs w:val="21"/>
        </w:rPr>
        <w:t>3、</w:t>
      </w:r>
      <w:r>
        <w:rPr>
          <w:rFonts w:hint="eastAsia" w:asciiTheme="minorEastAsia" w:hAnsiTheme="minorEastAsia" w:eastAsiaTheme="minorEastAsia" w:cstheme="minorEastAsia"/>
          <w:b/>
          <w:bCs/>
          <w:color w:val="auto"/>
          <w:szCs w:val="21"/>
          <w:lang w:val="en-GB"/>
        </w:rPr>
        <w:t>风机段要求</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GB"/>
        </w:rPr>
        <w:t>（1）</w:t>
      </w:r>
      <w:r>
        <w:rPr>
          <w:rFonts w:hint="eastAsia" w:asciiTheme="minorEastAsia" w:hAnsiTheme="minorEastAsia" w:eastAsiaTheme="minorEastAsia" w:cstheme="minorEastAsia"/>
          <w:color w:val="auto"/>
          <w:szCs w:val="21"/>
        </w:rPr>
        <w:t>电机为全封闭结构，以单速4极为标准，电源为380 V/50 Hz，安装于与刚性结构相连的滑动轨道上，基座可调整。</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（2）风机与电机共用底座，并配有减震架，弹簧减震装置设有消声垫及调节螺栓，风机底座下所配减震器必须为自带运输固定功能为一体的减震器。</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lang w:val="it-IT"/>
        </w:rPr>
        <w:t>在机组风量、机外余压满足用户要求的基础上，以计算机组本身的阻力损失，确定风机全压，再选配风机的型号、转速、功率等，确保风机在高效率工作区运行，既使风机噪声最低，又使能耗最低。叶轮要经严格的动、静平衡试验，保证风机安静运行。</w:t>
      </w:r>
    </w:p>
    <w:p>
      <w:pPr>
        <w:spacing w:line="276" w:lineRule="auto"/>
        <w:ind w:firstLine="420" w:firstLineChars="200"/>
        <w:textAlignment w:val="baseline"/>
        <w:rPr>
          <w:rFonts w:asciiTheme="minorEastAsia" w:hAnsiTheme="minorEastAsia" w:eastAsiaTheme="minorEastAsia" w:cstheme="minorEastAsia"/>
          <w:color w:val="auto"/>
          <w:szCs w:val="21"/>
          <w:lang w:val="it-IT"/>
        </w:rPr>
      </w:pP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lang w:val="it-IT"/>
        </w:rPr>
        <w:t>风机的风量调节特性须适应系统风量的变化要求，保证风机低转速运行时不会产生喘震现象。</w:t>
      </w:r>
    </w:p>
    <w:p>
      <w:pPr>
        <w:spacing w:line="276" w:lineRule="auto"/>
        <w:ind w:firstLine="420" w:firstLineChars="200"/>
        <w:textAlignment w:val="baseline"/>
        <w:rPr>
          <w:rFonts w:asciiTheme="minorEastAsia" w:hAnsiTheme="minorEastAsia" w:eastAsiaTheme="minorEastAsia" w:cstheme="minorEastAsia"/>
          <w:color w:val="auto"/>
          <w:szCs w:val="21"/>
          <w:lang w:val="it-IT"/>
        </w:rPr>
      </w:pPr>
      <w:r>
        <w:rPr>
          <w:rFonts w:hint="eastAsia" w:asciiTheme="minorEastAsia" w:hAnsiTheme="minorEastAsia" w:eastAsiaTheme="minorEastAsia" w:cstheme="minorEastAsia"/>
          <w:color w:val="auto"/>
          <w:szCs w:val="21"/>
          <w:lang w:val="it-IT"/>
        </w:rPr>
        <w:t>（5）风机转速大于800 r/min时，风机、电机支架下设置弹簧减振器，风机出口设置软接管，降低机组振动及系统振动，从而降低机组噪声。</w:t>
      </w:r>
    </w:p>
    <w:p>
      <w:pPr>
        <w:spacing w:line="276" w:lineRule="auto"/>
        <w:ind w:firstLine="420" w:firstLineChars="200"/>
        <w:textAlignment w:val="baseline"/>
        <w:rPr>
          <w:rFonts w:asciiTheme="minorEastAsia" w:hAnsiTheme="minorEastAsia" w:eastAsiaTheme="minorEastAsia" w:cstheme="minorEastAsia"/>
          <w:color w:val="auto"/>
          <w:szCs w:val="21"/>
          <w:lang w:val="it-IT"/>
        </w:rPr>
      </w:pPr>
      <w:r>
        <w:rPr>
          <w:rFonts w:hint="eastAsia" w:asciiTheme="minorEastAsia" w:hAnsiTheme="minorEastAsia" w:eastAsiaTheme="minorEastAsia" w:cstheme="minorEastAsia"/>
          <w:color w:val="auto"/>
          <w:szCs w:val="21"/>
          <w:lang w:val="it-IT"/>
        </w:rPr>
        <w:t>（6）</w:t>
      </w:r>
      <w:r>
        <w:rPr>
          <w:rFonts w:hint="eastAsia" w:asciiTheme="minorEastAsia" w:hAnsiTheme="minorEastAsia" w:eastAsiaTheme="minorEastAsia" w:cstheme="minorEastAsia"/>
          <w:color w:val="auto"/>
          <w:szCs w:val="21"/>
        </w:rPr>
        <w:t>风机和电机轴承均应采用自润滑密封免维护型滚珠或滚柱轴承，要求轴承的最短寿命不低于4万小时。风机选用轴承，小风机的轴承为密封型，无须加油。</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w:t>
      </w:r>
      <w:r>
        <w:rPr>
          <w:rFonts w:hint="eastAsia" w:asciiTheme="minorEastAsia" w:hAnsiTheme="minorEastAsia" w:eastAsiaTheme="minorEastAsia" w:cstheme="minorEastAsia"/>
          <w:color w:val="auto"/>
          <w:szCs w:val="21"/>
          <w:lang w:val="it-IT"/>
        </w:rPr>
        <w:t>空调机组的风机选用离心风机，其机组出风口的风速不应大于10米/秒。</w:t>
      </w:r>
    </w:p>
    <w:p>
      <w:pPr>
        <w:spacing w:line="276" w:lineRule="auto"/>
        <w:ind w:firstLine="422" w:firstLineChars="200"/>
        <w:textAlignment w:val="baseline"/>
        <w:rPr>
          <w:rFonts w:asciiTheme="minorEastAsia" w:hAnsiTheme="minorEastAsia" w:eastAsiaTheme="minorEastAsia" w:cstheme="minorEastAsia"/>
          <w:b/>
          <w:bCs/>
          <w:color w:val="auto"/>
          <w:szCs w:val="21"/>
          <w:lang w:val="en-GB"/>
        </w:rPr>
      </w:pPr>
      <w:r>
        <w:rPr>
          <w:rFonts w:hint="eastAsia" w:asciiTheme="minorEastAsia" w:hAnsiTheme="minorEastAsia" w:eastAsiaTheme="minorEastAsia" w:cstheme="minorEastAsia"/>
          <w:b/>
          <w:bCs/>
          <w:color w:val="auto"/>
          <w:szCs w:val="21"/>
        </w:rPr>
        <w:t>4、</w:t>
      </w:r>
      <w:r>
        <w:rPr>
          <w:rFonts w:hint="eastAsia" w:asciiTheme="minorEastAsia" w:hAnsiTheme="minorEastAsia" w:eastAsiaTheme="minorEastAsia" w:cstheme="minorEastAsia"/>
          <w:b/>
          <w:bCs/>
          <w:color w:val="auto"/>
          <w:szCs w:val="21"/>
          <w:lang w:val="en-GB"/>
        </w:rPr>
        <w:t>表冷段要求</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GB"/>
        </w:rPr>
        <w:t>（1）</w:t>
      </w:r>
      <w:r>
        <w:rPr>
          <w:rFonts w:hint="eastAsia" w:asciiTheme="minorEastAsia" w:hAnsiTheme="minorEastAsia" w:eastAsiaTheme="minorEastAsia" w:cstheme="minorEastAsia"/>
          <w:color w:val="auto"/>
          <w:szCs w:val="21"/>
        </w:rPr>
        <w:t>盘管采用铜管铝翅片。盘管性能应符合 GB/T 14296《空气冷却器和空气加热器》的规定。</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（2）表冷段盘管须采用外径不小于12.7 mm，厚度≥0.33 mm优质磷脱氧无缝紫铜管，穿厚度≥0.1 mm亲水铝翅片结构，采用收缩式机械胀管技术成型，保证铜管厚度不变。</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lang w:val="it-IT"/>
        </w:rPr>
        <w:t>盘管进出水管用无缝钢管,盘管集管最高处设置有放气阀，排除换热器的空气，确保换热性能不受影响；在盘管集管最低处设置排水口，避免换热器冻裂等，以确保机组冬、夏安全运行。</w:t>
      </w:r>
    </w:p>
    <w:p>
      <w:pPr>
        <w:spacing w:line="276" w:lineRule="auto"/>
        <w:ind w:firstLine="420" w:firstLineChars="200"/>
        <w:textAlignment w:val="baseline"/>
        <w:rPr>
          <w:rFonts w:asciiTheme="minorEastAsia" w:hAnsiTheme="minorEastAsia" w:eastAsiaTheme="minorEastAsia" w:cstheme="minorEastAsia"/>
          <w:color w:val="auto"/>
          <w:szCs w:val="21"/>
          <w:lang w:val="it-IT"/>
        </w:rPr>
      </w:pP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lang w:val="it-IT"/>
        </w:rPr>
        <w:t>表冷器盘管具备专业的盘管选型软件，确保生产的表冷器在温湿度控制精度方面满足使用要求。</w:t>
      </w:r>
    </w:p>
    <w:p>
      <w:pPr>
        <w:spacing w:line="276" w:lineRule="auto"/>
        <w:ind w:firstLine="420" w:firstLineChars="200"/>
        <w:textAlignment w:val="baseline"/>
        <w:rPr>
          <w:rFonts w:asciiTheme="minorEastAsia" w:hAnsiTheme="minorEastAsia" w:eastAsiaTheme="minorEastAsia" w:cstheme="minorEastAsia"/>
          <w:color w:val="auto"/>
          <w:szCs w:val="21"/>
          <w:lang w:val="it-IT"/>
        </w:rPr>
      </w:pPr>
      <w:r>
        <w:rPr>
          <w:rFonts w:hint="eastAsia" w:asciiTheme="minorEastAsia" w:hAnsiTheme="minorEastAsia" w:eastAsiaTheme="minorEastAsia" w:cstheme="minorEastAsia"/>
          <w:color w:val="auto"/>
          <w:szCs w:val="21"/>
          <w:lang w:val="it-IT"/>
        </w:rPr>
        <w:t>（5）空调机组选型截面风速≤2.5 m/s。</w:t>
      </w:r>
    </w:p>
    <w:p>
      <w:pPr>
        <w:spacing w:line="276" w:lineRule="auto"/>
        <w:ind w:firstLine="420" w:firstLineChars="200"/>
        <w:textAlignment w:val="baseline"/>
        <w:rPr>
          <w:rFonts w:asciiTheme="minorEastAsia" w:hAnsiTheme="minorEastAsia" w:eastAsiaTheme="minorEastAsia" w:cstheme="minorEastAsia"/>
          <w:color w:val="auto"/>
          <w:szCs w:val="21"/>
          <w:lang w:val="it-IT"/>
        </w:rPr>
      </w:pPr>
      <w:r>
        <w:rPr>
          <w:rFonts w:hint="eastAsia" w:asciiTheme="minorEastAsia" w:hAnsiTheme="minorEastAsia" w:eastAsiaTheme="minorEastAsia" w:cstheme="minorEastAsia"/>
          <w:color w:val="auto"/>
          <w:szCs w:val="21"/>
          <w:lang w:val="it-IT"/>
        </w:rPr>
        <w:t>（6）</w:t>
      </w:r>
      <w:r>
        <w:rPr>
          <w:rFonts w:hint="eastAsia" w:asciiTheme="minorEastAsia" w:hAnsiTheme="minorEastAsia" w:eastAsiaTheme="minorEastAsia" w:cstheme="minorEastAsia"/>
          <w:color w:val="auto"/>
          <w:szCs w:val="21"/>
        </w:rPr>
        <w:t>空气处理机组冷却盘管迎面风速应合理设计，以防止夹带冷凝水。盘管迎面风速不超过2.5 m/s，若超过2.5 m/s，需加挡水板或其它盘管防漂水处理措施，挡水板采用铝合金或不锈钢材质，边框厚度不小于1.5 mm，叶片厚度不小于1.0 mm。</w:t>
      </w:r>
    </w:p>
    <w:p>
      <w:pPr>
        <w:spacing w:line="276" w:lineRule="auto"/>
        <w:ind w:firstLine="420" w:firstLineChars="200"/>
        <w:textAlignment w:val="baseline"/>
        <w:rPr>
          <w:rFonts w:asciiTheme="minorEastAsia" w:hAnsiTheme="minorEastAsia" w:eastAsiaTheme="minorEastAsia" w:cstheme="minorEastAsia"/>
          <w:color w:val="auto"/>
          <w:szCs w:val="21"/>
          <w:lang w:val="it-IT"/>
        </w:rPr>
      </w:pPr>
      <w:r>
        <w:rPr>
          <w:rFonts w:hint="eastAsia" w:asciiTheme="minorEastAsia" w:hAnsiTheme="minorEastAsia" w:eastAsiaTheme="minorEastAsia" w:cstheme="minorEastAsia"/>
          <w:color w:val="auto"/>
          <w:szCs w:val="21"/>
        </w:rPr>
        <w:t>（7）</w:t>
      </w:r>
      <w:r>
        <w:rPr>
          <w:rFonts w:hint="eastAsia" w:asciiTheme="minorEastAsia" w:hAnsiTheme="minorEastAsia" w:eastAsiaTheme="minorEastAsia" w:cstheme="minorEastAsia"/>
          <w:color w:val="auto"/>
          <w:szCs w:val="21"/>
          <w:lang w:val="it-IT"/>
        </w:rPr>
        <w:t>冷盘管均采用铜管、亲水铝翅片。冷盘管、热盘管翅片整齐，片距均匀，无明显碰撞损坏。气压试验压力为设计压力的 1.2 倍时，保压至少1 min，进行密封性检查，应无渗漏；水耐压试验压力为设计压力的1.5 倍，保压至少 3 min，进行耐压检查，应无渗漏。</w:t>
      </w:r>
    </w:p>
    <w:p>
      <w:pPr>
        <w:spacing w:line="276" w:lineRule="auto"/>
        <w:ind w:firstLine="420" w:firstLineChars="200"/>
        <w:textAlignment w:val="baseline"/>
        <w:rPr>
          <w:rFonts w:asciiTheme="minorEastAsia" w:hAnsiTheme="minorEastAsia" w:eastAsiaTheme="minorEastAsia" w:cstheme="minorEastAsia"/>
          <w:color w:val="auto"/>
          <w:szCs w:val="21"/>
          <w:lang w:val="it-IT"/>
        </w:rPr>
      </w:pPr>
      <w:r>
        <w:rPr>
          <w:rFonts w:hint="eastAsia" w:asciiTheme="minorEastAsia" w:hAnsiTheme="minorEastAsia" w:eastAsiaTheme="minorEastAsia" w:cstheme="minorEastAsia"/>
          <w:color w:val="auto"/>
          <w:szCs w:val="21"/>
          <w:lang w:val="it-IT"/>
        </w:rPr>
        <w:t>（8）水压试验应为设计压力的1.5倍(允许偏差±0.02 Mpa)，保持压力时间≥ 3min；气压试验应为设计压力的1.2倍(允许偏差±0.02 Mpa)，保持压力时间≥ 1min；表冷器压力：最大运行压力不低于1.6 Mpa。</w:t>
      </w:r>
    </w:p>
    <w:p>
      <w:pPr>
        <w:spacing w:line="276" w:lineRule="auto"/>
        <w:ind w:firstLine="422" w:firstLineChars="200"/>
        <w:rPr>
          <w:rFonts w:asciiTheme="minorEastAsia" w:hAnsiTheme="minorEastAsia" w:eastAsiaTheme="minorEastAsia" w:cstheme="minorEastAsia"/>
          <w:b/>
          <w:bCs/>
          <w:color w:val="auto"/>
          <w:szCs w:val="21"/>
          <w:lang w:val="it-IT"/>
        </w:rPr>
      </w:pPr>
      <w:r>
        <w:rPr>
          <w:rFonts w:hint="eastAsia" w:asciiTheme="minorEastAsia" w:hAnsiTheme="minorEastAsia" w:eastAsiaTheme="minorEastAsia" w:cstheme="minorEastAsia"/>
          <w:b/>
          <w:bCs/>
          <w:color w:val="auto"/>
          <w:szCs w:val="21"/>
          <w:lang w:val="it-IT"/>
        </w:rPr>
        <w:t>关键技术要求：</w:t>
      </w:r>
    </w:p>
    <w:p>
      <w:pPr>
        <w:spacing w:line="276" w:lineRule="auto"/>
        <w:ind w:firstLine="422" w:firstLineChars="200"/>
        <w:rPr>
          <w:rFonts w:asciiTheme="minorEastAsia" w:hAnsiTheme="minorEastAsia" w:eastAsiaTheme="minorEastAsia" w:cstheme="minorEastAsia"/>
          <w:b/>
          <w:bCs/>
          <w:color w:val="auto"/>
          <w:szCs w:val="21"/>
          <w:highlight w:val="none"/>
          <w:lang w:val="it-IT"/>
        </w:rPr>
      </w:pPr>
      <w:r>
        <w:rPr>
          <w:rStyle w:val="65"/>
          <w:rFonts w:hint="eastAsia" w:asciiTheme="minorEastAsia" w:hAnsiTheme="minorEastAsia" w:eastAsiaTheme="minorEastAsia" w:cstheme="minorEastAsia"/>
          <w:b/>
          <w:bCs/>
          <w:color w:val="auto"/>
          <w:szCs w:val="21"/>
        </w:rPr>
        <w:t>空调表冷段盘管采用铜管铝翅片。盘管性能应符合 GB/T 14296《空气冷却器和空气加热器》的规定。</w:t>
      </w:r>
      <w:r>
        <w:rPr>
          <w:rFonts w:hint="eastAsia"/>
          <w:b/>
          <w:bCs/>
          <w:color w:val="auto"/>
          <w:highlight w:val="none"/>
        </w:rPr>
        <w:t>（投标时须提供加盖投标人公章的检测报告彩色扫描件）</w:t>
      </w:r>
      <w:r>
        <w:rPr>
          <w:rStyle w:val="65"/>
          <w:rFonts w:hint="eastAsia" w:asciiTheme="minorEastAsia" w:hAnsiTheme="minorEastAsia" w:eastAsiaTheme="minorEastAsia" w:cstheme="minorEastAsia"/>
          <w:b/>
          <w:bCs/>
          <w:color w:val="auto"/>
          <w:szCs w:val="21"/>
          <w:highlight w:val="none"/>
        </w:rPr>
        <w:t>；</w:t>
      </w:r>
    </w:p>
    <w:p>
      <w:pPr>
        <w:spacing w:line="276" w:lineRule="auto"/>
        <w:ind w:firstLine="422" w:firstLineChars="200"/>
        <w:textAlignment w:val="baseline"/>
        <w:rPr>
          <w:rFonts w:asciiTheme="minorEastAsia" w:hAnsiTheme="minorEastAsia" w:eastAsiaTheme="minorEastAsia" w:cstheme="minorEastAsia"/>
          <w:b/>
          <w:bCs/>
          <w:color w:val="auto"/>
          <w:szCs w:val="21"/>
          <w:lang w:val="en-GB"/>
        </w:rPr>
      </w:pPr>
      <w:r>
        <w:rPr>
          <w:rFonts w:hint="eastAsia" w:asciiTheme="minorEastAsia" w:hAnsiTheme="minorEastAsia" w:eastAsiaTheme="minorEastAsia" w:cstheme="minorEastAsia"/>
          <w:b/>
          <w:bCs/>
          <w:color w:val="auto"/>
          <w:szCs w:val="21"/>
        </w:rPr>
        <w:t>5、</w:t>
      </w:r>
      <w:r>
        <w:rPr>
          <w:rFonts w:hint="eastAsia" w:asciiTheme="minorEastAsia" w:hAnsiTheme="minorEastAsia" w:eastAsiaTheme="minorEastAsia" w:cstheme="minorEastAsia"/>
          <w:b/>
          <w:bCs/>
          <w:color w:val="auto"/>
          <w:szCs w:val="21"/>
          <w:lang w:val="en-GB"/>
        </w:rPr>
        <w:t>加热段要求</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GB"/>
        </w:rPr>
        <w:t>（1）</w:t>
      </w:r>
      <w:r>
        <w:rPr>
          <w:rFonts w:hint="eastAsia" w:asciiTheme="minorEastAsia" w:hAnsiTheme="minorEastAsia" w:eastAsiaTheme="minorEastAsia" w:cstheme="minorEastAsia"/>
          <w:color w:val="auto"/>
          <w:szCs w:val="21"/>
        </w:rPr>
        <w:t>采用翅片式PTC电加热器，表面温度低，无明火，无火灾隐患。</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（2）表面恒温，换热面积大，加热均匀，品质卓越。</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lang w:val="it-IT"/>
        </w:rPr>
        <w:t>表面不带电，不会漏电、放电或短路。使用安全可靠。</w:t>
      </w:r>
    </w:p>
    <w:p>
      <w:pPr>
        <w:spacing w:line="276" w:lineRule="auto"/>
        <w:ind w:firstLine="420" w:firstLineChars="200"/>
        <w:textAlignment w:val="baseline"/>
        <w:rPr>
          <w:rFonts w:asciiTheme="minorEastAsia" w:hAnsiTheme="minorEastAsia" w:eastAsiaTheme="minorEastAsia" w:cstheme="minorEastAsia"/>
          <w:color w:val="auto"/>
          <w:szCs w:val="21"/>
          <w:lang w:val="it-IT"/>
        </w:rPr>
      </w:pP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lang w:val="it-IT"/>
        </w:rPr>
        <w:t>热容小，散热快，节能效果明显。</w:t>
      </w:r>
    </w:p>
    <w:p>
      <w:pPr>
        <w:spacing w:line="276" w:lineRule="auto"/>
        <w:ind w:firstLine="420" w:firstLineChars="200"/>
        <w:textAlignment w:val="baseline"/>
        <w:rPr>
          <w:rFonts w:asciiTheme="minorEastAsia" w:hAnsiTheme="minorEastAsia" w:eastAsiaTheme="minorEastAsia" w:cstheme="minorEastAsia"/>
          <w:color w:val="auto"/>
          <w:szCs w:val="21"/>
          <w:lang w:val="it-IT"/>
        </w:rPr>
      </w:pPr>
      <w:r>
        <w:rPr>
          <w:rFonts w:hint="eastAsia" w:asciiTheme="minorEastAsia" w:hAnsiTheme="minorEastAsia" w:eastAsiaTheme="minorEastAsia" w:cstheme="minorEastAsia"/>
          <w:color w:val="auto"/>
          <w:szCs w:val="21"/>
          <w:lang w:val="it-IT"/>
        </w:rPr>
        <w:t>（5）采用铝翅片，防腐蚀，散热好。</w:t>
      </w:r>
    </w:p>
    <w:p>
      <w:pPr>
        <w:spacing w:line="276" w:lineRule="auto"/>
        <w:ind w:firstLine="420" w:firstLineChars="200"/>
        <w:textAlignment w:val="baseline"/>
        <w:rPr>
          <w:rFonts w:asciiTheme="minorEastAsia" w:hAnsiTheme="minorEastAsia" w:eastAsiaTheme="minorEastAsia" w:cstheme="minorEastAsia"/>
          <w:color w:val="auto"/>
          <w:szCs w:val="21"/>
          <w:lang w:val="it-IT"/>
        </w:rPr>
      </w:pPr>
      <w:r>
        <w:rPr>
          <w:rFonts w:hint="eastAsia" w:asciiTheme="minorEastAsia" w:hAnsiTheme="minorEastAsia" w:eastAsiaTheme="minorEastAsia" w:cstheme="minorEastAsia"/>
          <w:color w:val="auto"/>
          <w:szCs w:val="21"/>
          <w:lang w:val="it-IT"/>
        </w:rPr>
        <w:t>（6）</w:t>
      </w:r>
      <w:r>
        <w:rPr>
          <w:rFonts w:hint="eastAsia" w:asciiTheme="minorEastAsia" w:hAnsiTheme="minorEastAsia" w:eastAsiaTheme="minorEastAsia" w:cstheme="minorEastAsia"/>
          <w:color w:val="auto"/>
          <w:szCs w:val="21"/>
        </w:rPr>
        <w:t>配有高温保护开关，可与自控系统连接。</w:t>
      </w:r>
    </w:p>
    <w:p>
      <w:pPr>
        <w:spacing w:line="276" w:lineRule="auto"/>
        <w:ind w:firstLine="422" w:firstLineChars="200"/>
        <w:textAlignment w:val="baseline"/>
        <w:rPr>
          <w:rFonts w:asciiTheme="minorEastAsia" w:hAnsiTheme="minorEastAsia" w:eastAsiaTheme="minorEastAsia" w:cstheme="minorEastAsia"/>
          <w:b/>
          <w:bCs/>
          <w:color w:val="auto"/>
          <w:szCs w:val="21"/>
          <w:lang w:val="en-GB"/>
        </w:rPr>
      </w:pPr>
      <w:r>
        <w:rPr>
          <w:rFonts w:hint="eastAsia" w:asciiTheme="minorEastAsia" w:hAnsiTheme="minorEastAsia" w:eastAsiaTheme="minorEastAsia" w:cstheme="minorEastAsia"/>
          <w:b/>
          <w:bCs/>
          <w:color w:val="auto"/>
          <w:szCs w:val="21"/>
        </w:rPr>
        <w:t>6、</w:t>
      </w:r>
      <w:r>
        <w:rPr>
          <w:rFonts w:hint="eastAsia" w:asciiTheme="minorEastAsia" w:hAnsiTheme="minorEastAsia" w:eastAsiaTheme="minorEastAsia" w:cstheme="minorEastAsia"/>
          <w:b/>
          <w:bCs/>
          <w:color w:val="auto"/>
          <w:szCs w:val="21"/>
          <w:lang w:val="en-GB"/>
        </w:rPr>
        <w:t>过滤段要求</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GB"/>
        </w:rPr>
        <w:t>（1）</w:t>
      </w:r>
      <w:r>
        <w:rPr>
          <w:rFonts w:hint="eastAsia" w:asciiTheme="minorEastAsia" w:hAnsiTheme="minorEastAsia" w:eastAsiaTheme="minorEastAsia" w:cstheme="minorEastAsia"/>
          <w:color w:val="auto"/>
          <w:szCs w:val="21"/>
        </w:rPr>
        <w:t>初效过滤器滤料：棉纤及化纤混合无纺布滤料，初效过滤器采用G4级过滤器，效率＞90%。(EN779)，过滤器框架应为铝合金框架。</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it-IT"/>
        </w:rPr>
        <w:t>中效过滤器采用F6袋式过滤器.框架至少应为16 gauge镀锌钢。滤料：熔喷高密度超细合成纤维、用衬面加强以形成毡状滤料。</w:t>
      </w:r>
    </w:p>
    <w:p>
      <w:pPr>
        <w:spacing w:line="276" w:lineRule="auto"/>
        <w:ind w:firstLine="420" w:firstLineChars="200"/>
        <w:textAlignment w:val="baseline"/>
        <w:rPr>
          <w:rFonts w:asciiTheme="minorEastAsia" w:hAnsiTheme="minorEastAsia" w:eastAsiaTheme="minorEastAsia" w:cstheme="minorEastAsia"/>
          <w:color w:val="auto"/>
          <w:szCs w:val="21"/>
          <w:lang w:val="it-IT"/>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lang w:val="it-IT"/>
        </w:rPr>
        <w:t>空气处理设备留有检修及更换过滤器的空间，拆卸方便，过滤器能从检修门取出。</w:t>
      </w:r>
    </w:p>
    <w:p>
      <w:pPr>
        <w:spacing w:line="276" w:lineRule="auto"/>
        <w:ind w:firstLine="420" w:firstLineChars="200"/>
        <w:textAlignment w:val="baseline"/>
        <w:rPr>
          <w:rFonts w:asciiTheme="minorEastAsia" w:hAnsiTheme="minorEastAsia" w:eastAsiaTheme="minorEastAsia" w:cstheme="minorEastAsia"/>
          <w:color w:val="auto"/>
          <w:szCs w:val="21"/>
          <w:lang w:val="it-IT"/>
        </w:rPr>
      </w:pPr>
      <w:r>
        <w:rPr>
          <w:rFonts w:hint="eastAsia" w:asciiTheme="minorEastAsia" w:hAnsiTheme="minorEastAsia" w:eastAsiaTheme="minorEastAsia" w:cstheme="minorEastAsia"/>
          <w:color w:val="auto"/>
          <w:szCs w:val="21"/>
          <w:lang w:val="it-IT"/>
        </w:rPr>
        <w:t>（4）各级空气过滤器前后应安装压差计，便于观察过滤器阻力的变化。测量接管应通畅，安装严密。</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it-IT"/>
        </w:rPr>
        <w:t>（5）</w:t>
      </w:r>
      <w:r>
        <w:rPr>
          <w:rFonts w:hint="eastAsia" w:asciiTheme="minorEastAsia" w:hAnsiTheme="minorEastAsia" w:eastAsiaTheme="minorEastAsia" w:cstheme="minorEastAsia"/>
          <w:color w:val="auto"/>
          <w:szCs w:val="21"/>
        </w:rPr>
        <w:t>通过过滤器的表面风速应不超过过滤器制造厂商建议的面风速，过滤器的进风断面风速均匀度应大于85%。</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（6）采用合理结构，充分保证过滤器与过滤器框架、过滤器框架与机组内框的密封性，避免未经过滤的空气流过，确保过滤效率。</w:t>
      </w:r>
    </w:p>
    <w:p>
      <w:pPr>
        <w:spacing w:line="276" w:lineRule="auto"/>
        <w:ind w:firstLine="420" w:firstLineChars="200"/>
        <w:textAlignment w:val="baseline"/>
        <w:rPr>
          <w:rFonts w:asciiTheme="minorEastAsia" w:hAnsiTheme="minorEastAsia" w:eastAsiaTheme="minorEastAsia" w:cstheme="minorEastAsia"/>
          <w:color w:val="auto"/>
          <w:szCs w:val="21"/>
          <w:lang w:val="it-IT"/>
        </w:rPr>
      </w:pPr>
      <w:r>
        <w:rPr>
          <w:rFonts w:hint="eastAsia" w:asciiTheme="minorEastAsia" w:hAnsiTheme="minorEastAsia" w:eastAsiaTheme="minorEastAsia" w:cstheme="minorEastAsia"/>
          <w:color w:val="auto"/>
          <w:szCs w:val="21"/>
        </w:rPr>
        <w:t>（7）过滤器由弹簧卡固定在过滤器框架上，以方便过滤器的更换。</w:t>
      </w:r>
    </w:p>
    <w:p>
      <w:pPr>
        <w:spacing w:line="276" w:lineRule="auto"/>
        <w:ind w:firstLine="422" w:firstLineChars="200"/>
        <w:textAlignment w:val="baseline"/>
        <w:rPr>
          <w:rFonts w:asciiTheme="minorEastAsia" w:hAnsiTheme="minorEastAsia" w:eastAsiaTheme="minorEastAsia" w:cstheme="minorEastAsia"/>
          <w:b/>
          <w:i/>
          <w:caps/>
          <w:color w:val="auto"/>
          <w:szCs w:val="21"/>
        </w:rPr>
      </w:pPr>
      <w:r>
        <w:rPr>
          <w:rFonts w:hint="eastAsia" w:asciiTheme="minorEastAsia" w:hAnsiTheme="minorEastAsia" w:eastAsiaTheme="minorEastAsia" w:cstheme="minorEastAsia"/>
          <w:b/>
          <w:bCs/>
          <w:color w:val="auto"/>
          <w:szCs w:val="21"/>
        </w:rPr>
        <w:t>7、预处理新风空调风管技术要求</w:t>
      </w:r>
    </w:p>
    <w:p>
      <w:pPr>
        <w:pStyle w:val="60"/>
        <w:snapToGrid w:val="0"/>
        <w:spacing w:line="276" w:lineRule="auto"/>
        <w:ind w:left="420"/>
        <w:textAlignment w:val="baseline"/>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（1）空调风管采用优质镀锌钢板制作；</w:t>
      </w:r>
    </w:p>
    <w:p>
      <w:pPr>
        <w:pStyle w:val="60"/>
        <w:snapToGrid w:val="0"/>
        <w:spacing w:line="276" w:lineRule="auto"/>
        <w:ind w:left="0" w:firstLine="420" w:firstLineChars="200"/>
        <w:textAlignment w:val="baseline"/>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（2）除有特殊说明者外，风管各段衔接方式应采用共板法兰连接，法兰间用5 mm厚自粘海棉密封垫密封，转角接头做成企口；</w:t>
      </w:r>
    </w:p>
    <w:p>
      <w:pPr>
        <w:pStyle w:val="60"/>
        <w:snapToGrid w:val="0"/>
        <w:spacing w:line="276" w:lineRule="auto"/>
        <w:ind w:left="0" w:firstLine="420" w:firstLineChars="200"/>
        <w:textAlignment w:val="baseline"/>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（3）风管上安装各种调节配件时，必须注意将手柄、驱动器、控制器等配置在便于操作的位置，以便调适及维护。风口在安装后，系统未运行之前采用薄膜封盖，以防污染；</w:t>
      </w:r>
    </w:p>
    <w:p>
      <w:pPr>
        <w:pStyle w:val="60"/>
        <w:snapToGrid w:val="0"/>
        <w:spacing w:line="276" w:lineRule="auto"/>
        <w:ind w:left="0" w:firstLine="420" w:firstLineChars="200"/>
        <w:textAlignment w:val="baseline"/>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（4）风管内表面必须平整光滑，不得在管内加固风管，咬接应采用联合角咬口，接缝必须涂</w:t>
      </w:r>
      <w:r>
        <w:rPr>
          <w:color w:val="auto"/>
        </w:rPr>
        <w:fldChar w:fldCharType="begin"/>
      </w:r>
      <w:r>
        <w:rPr>
          <w:color w:val="auto"/>
        </w:rPr>
        <w:instrText xml:space="preserve"> HYPERLINK \t "_blank" </w:instrText>
      </w:r>
      <w:r>
        <w:rPr>
          <w:color w:val="auto"/>
        </w:rPr>
        <w:fldChar w:fldCharType="separate"/>
      </w:r>
      <w:r>
        <w:rPr>
          <w:rFonts w:hint="eastAsia" w:asciiTheme="minorEastAsia" w:hAnsiTheme="minorEastAsia" w:eastAsiaTheme="minorEastAsia" w:cstheme="minorEastAsia"/>
          <w:color w:val="auto"/>
          <w:sz w:val="21"/>
          <w:szCs w:val="21"/>
          <w:lang w:eastAsia="zh-CN"/>
        </w:rPr>
        <w:t>密封胶</w:t>
      </w:r>
      <w:r>
        <w:rPr>
          <w:rFonts w:hint="eastAsia" w:asciiTheme="minorEastAsia" w:hAnsiTheme="minorEastAsia" w:eastAsiaTheme="minorEastAsia" w:cstheme="minorEastAsia"/>
          <w:color w:val="auto"/>
          <w:sz w:val="21"/>
          <w:szCs w:val="21"/>
          <w:lang w:eastAsia="zh-CN"/>
        </w:rPr>
        <w:fldChar w:fldCharType="end"/>
      </w:r>
      <w:r>
        <w:rPr>
          <w:rFonts w:hint="eastAsia" w:asciiTheme="minorEastAsia" w:hAnsiTheme="minorEastAsia" w:eastAsiaTheme="minorEastAsia" w:cstheme="minorEastAsia"/>
          <w:color w:val="auto"/>
          <w:sz w:val="21"/>
          <w:szCs w:val="21"/>
          <w:lang w:eastAsia="zh-CN"/>
        </w:rPr>
        <w:t>，风管连接不应采用内法兰；</w:t>
      </w:r>
    </w:p>
    <w:p>
      <w:pPr>
        <w:pStyle w:val="60"/>
        <w:snapToGrid w:val="0"/>
        <w:spacing w:line="276" w:lineRule="auto"/>
        <w:ind w:left="0" w:firstLine="420" w:firstLineChars="200"/>
        <w:textAlignment w:val="baseline"/>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风管支吊架选材用料及施工应符合规范的要求，务求坚固稳定；具体形式和位置根据现场情况确定(防火阀必须单独配置支吊架)，风管支吊架或托架应设置于保温层的外部，并在其间镶垫木，以防产生冷桥，并避免在法兰、测孔、风阀等处设置支吊架托架；</w:t>
      </w:r>
    </w:p>
    <w:p>
      <w:pPr>
        <w:pStyle w:val="60"/>
        <w:snapToGrid w:val="0"/>
        <w:spacing w:line="276" w:lineRule="auto"/>
        <w:ind w:left="0" w:firstLine="420" w:firstLineChars="200"/>
        <w:textAlignment w:val="baseline"/>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镀锌钢板空调风管厚度及加工方法按《通风与空调工程施工质量验收规范》GB50243-2002的规定；风管保温前应采用漏光检测法对风管进行检漏(详见规范漏光法检测)；空调送、回风管保温采用B1级橡塑防火保温面料，厚度为25 mm(±2.5%)；</w:t>
      </w:r>
    </w:p>
    <w:p>
      <w:pPr>
        <w:pStyle w:val="60"/>
        <w:snapToGrid w:val="0"/>
        <w:spacing w:line="276" w:lineRule="auto"/>
        <w:ind w:left="0" w:firstLine="420" w:firstLineChars="200"/>
        <w:textAlignment w:val="baseline"/>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（7）风管安装之后、保温之前应进行漏风检查。送回风管用漏光法检查应无漏光，系统空调器漏风率不应大于2%。擦拭空调系统内表面采用不易掉纤维的材料；</w:t>
      </w:r>
    </w:p>
    <w:p>
      <w:pPr>
        <w:spacing w:line="276" w:lineRule="auto"/>
        <w:ind w:firstLine="422" w:firstLineChars="200"/>
        <w:textAlignment w:val="baseline"/>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8、排风口高效过滤器</w:t>
      </w:r>
    </w:p>
    <w:p>
      <w:pPr>
        <w:spacing w:line="276" w:lineRule="auto"/>
        <w:ind w:firstLine="420" w:firstLineChars="200"/>
        <w:textAlignment w:val="baseline"/>
        <w:rPr>
          <w:rFonts w:asciiTheme="minorEastAsia" w:hAnsiTheme="minorEastAsia" w:eastAsiaTheme="minorEastAsia" w:cstheme="minorEastAsia"/>
          <w:color w:val="auto"/>
          <w:szCs w:val="21"/>
          <w:lang w:bidi="en-US"/>
        </w:rPr>
      </w:pPr>
      <w:r>
        <w:rPr>
          <w:rFonts w:hint="eastAsia" w:asciiTheme="minorEastAsia" w:hAnsiTheme="minorEastAsia" w:eastAsiaTheme="minorEastAsia" w:cstheme="minorEastAsia"/>
          <w:color w:val="auto"/>
          <w:szCs w:val="21"/>
          <w:lang w:bidi="en-US"/>
        </w:rPr>
        <w:t>（1）采用无隔板的高效空气过滤器，过滤介质为PTFE，密封为耐酸碱和过氧乙酸的热熔胶或相当的材料，外框材质为表面经过阳极处理的铝型材质。过滤效率≥99.95%，粒径≥0.5um 的微粒采样技术不得超过3 粒/min。</w:t>
      </w:r>
    </w:p>
    <w:p>
      <w:pPr>
        <w:spacing w:line="276" w:lineRule="auto"/>
        <w:ind w:firstLine="420" w:firstLineChars="200"/>
        <w:textAlignment w:val="baseline"/>
        <w:rPr>
          <w:rFonts w:asciiTheme="minorEastAsia" w:hAnsiTheme="minorEastAsia" w:eastAsiaTheme="minorEastAsia" w:cstheme="minorEastAsia"/>
          <w:color w:val="auto"/>
          <w:szCs w:val="21"/>
          <w:lang w:bidi="en-US"/>
        </w:rPr>
      </w:pPr>
      <w:r>
        <w:rPr>
          <w:rFonts w:hint="eastAsia" w:asciiTheme="minorEastAsia" w:hAnsiTheme="minorEastAsia" w:eastAsiaTheme="minorEastAsia" w:cstheme="minorEastAsia"/>
          <w:color w:val="auto"/>
          <w:szCs w:val="21"/>
          <w:lang w:bidi="en-US"/>
        </w:rPr>
        <w:t>（2）额定风量：500m</w:t>
      </w:r>
      <w:r>
        <w:rPr>
          <w:rFonts w:hint="eastAsia" w:asciiTheme="minorEastAsia" w:hAnsiTheme="minorEastAsia" w:eastAsiaTheme="minorEastAsia" w:cstheme="minorEastAsia"/>
          <w:color w:val="auto"/>
          <w:szCs w:val="21"/>
          <w:vertAlign w:val="superscript"/>
          <w:lang w:bidi="en-US"/>
        </w:rPr>
        <w:t>3</w:t>
      </w:r>
      <w:r>
        <w:rPr>
          <w:rFonts w:hint="eastAsia" w:asciiTheme="minorEastAsia" w:hAnsiTheme="minorEastAsia" w:eastAsiaTheme="minorEastAsia" w:cstheme="minorEastAsia"/>
          <w:color w:val="auto"/>
          <w:szCs w:val="21"/>
          <w:lang w:bidi="en-US"/>
        </w:rPr>
        <w:t>/h和1000 m</w:t>
      </w:r>
      <w:r>
        <w:rPr>
          <w:rFonts w:hint="eastAsia" w:asciiTheme="minorEastAsia" w:hAnsiTheme="minorEastAsia" w:eastAsiaTheme="minorEastAsia" w:cstheme="minorEastAsia"/>
          <w:color w:val="auto"/>
          <w:szCs w:val="21"/>
          <w:vertAlign w:val="superscript"/>
          <w:lang w:bidi="en-US"/>
        </w:rPr>
        <w:t>3</w:t>
      </w:r>
      <w:r>
        <w:rPr>
          <w:rFonts w:hint="eastAsia" w:asciiTheme="minorEastAsia" w:hAnsiTheme="minorEastAsia" w:eastAsiaTheme="minorEastAsia" w:cstheme="minorEastAsia"/>
          <w:color w:val="auto"/>
          <w:szCs w:val="21"/>
          <w:lang w:bidi="en-US"/>
        </w:rPr>
        <w:t>/h。</w:t>
      </w:r>
    </w:p>
    <w:p>
      <w:pPr>
        <w:spacing w:line="276" w:lineRule="auto"/>
        <w:ind w:firstLine="420" w:firstLineChars="200"/>
        <w:textAlignment w:val="baseline"/>
        <w:rPr>
          <w:rFonts w:asciiTheme="minorEastAsia" w:hAnsiTheme="minorEastAsia" w:eastAsiaTheme="minorEastAsia" w:cstheme="minorEastAsia"/>
          <w:color w:val="auto"/>
          <w:szCs w:val="21"/>
          <w:lang w:bidi="en-US"/>
        </w:rPr>
      </w:pPr>
      <w:r>
        <w:rPr>
          <w:rFonts w:hint="eastAsia" w:asciiTheme="minorEastAsia" w:hAnsiTheme="minorEastAsia" w:eastAsiaTheme="minorEastAsia" w:cstheme="minorEastAsia"/>
          <w:color w:val="auto"/>
          <w:szCs w:val="21"/>
          <w:lang w:bidi="en-US"/>
        </w:rPr>
        <w:t>（3）初阻力（Pa）：≤220。</w:t>
      </w:r>
    </w:p>
    <w:p>
      <w:pPr>
        <w:spacing w:line="276" w:lineRule="auto"/>
        <w:ind w:firstLine="422" w:firstLineChars="200"/>
        <w:textAlignment w:val="baseline"/>
        <w:rPr>
          <w:rFonts w:hint="eastAsia" w:asciiTheme="minorEastAsia" w:hAnsiTheme="minorEastAsia" w:eastAsiaTheme="minorEastAsia" w:cstheme="minorEastAsia"/>
          <w:b/>
          <w:bCs/>
          <w:color w:val="auto"/>
          <w:szCs w:val="21"/>
          <w:lang w:bidi="en-US"/>
        </w:rPr>
      </w:pPr>
      <w:r>
        <w:rPr>
          <w:rFonts w:hint="eastAsia" w:asciiTheme="minorEastAsia" w:hAnsiTheme="minorEastAsia" w:eastAsiaTheme="minorEastAsia" w:cstheme="minorEastAsia"/>
          <w:b/>
          <w:bCs/>
          <w:color w:val="auto"/>
          <w:szCs w:val="21"/>
          <w:lang w:bidi="en-US"/>
        </w:rPr>
        <w:t>关键技术要求：</w:t>
      </w:r>
    </w:p>
    <w:p>
      <w:pPr>
        <w:spacing w:line="276" w:lineRule="auto"/>
        <w:ind w:firstLine="422" w:firstLineChars="200"/>
        <w:textAlignment w:val="baseline"/>
        <w:rPr>
          <w:rFonts w:hint="eastAsia" w:asciiTheme="minorEastAsia" w:hAnsiTheme="minorEastAsia" w:eastAsiaTheme="minorEastAsia" w:cstheme="minorEastAsia"/>
          <w:b/>
          <w:bCs/>
          <w:color w:val="auto"/>
          <w:szCs w:val="21"/>
          <w:lang w:bidi="en-US"/>
        </w:rPr>
      </w:pPr>
      <w:r>
        <w:rPr>
          <w:rFonts w:hint="eastAsia" w:asciiTheme="minorEastAsia" w:hAnsiTheme="minorEastAsia" w:eastAsiaTheme="minorEastAsia" w:cstheme="minorEastAsia"/>
          <w:b/>
          <w:bCs/>
          <w:color w:val="auto"/>
          <w:szCs w:val="21"/>
          <w:lang w:bidi="en-US"/>
        </w:rPr>
        <w:t>高效过滤器取得第三方检测报告，过滤效率达到或超过99.999%，投标时提供检测报告复印件并加盖投标供应商公章；</w:t>
      </w:r>
    </w:p>
    <w:p>
      <w:pPr>
        <w:spacing w:line="276" w:lineRule="auto"/>
        <w:ind w:firstLine="422" w:firstLineChars="200"/>
        <w:jc w:val="left"/>
        <w:outlineLvl w:val="1"/>
        <w:rPr>
          <w:rStyle w:val="65"/>
          <w:rFonts w:ascii="宋体" w:hAnsi="宋体"/>
          <w:b/>
          <w:bCs/>
          <w:color w:val="auto"/>
        </w:rPr>
      </w:pPr>
      <w:bookmarkStart w:id="238" w:name="_Toc13047"/>
      <w:r>
        <w:rPr>
          <w:rStyle w:val="65"/>
          <w:rFonts w:hint="eastAsia" w:ascii="宋体" w:hAnsi="宋体"/>
          <w:b/>
          <w:bCs/>
          <w:color w:val="auto"/>
        </w:rPr>
        <w:t>（五）强弱电</w:t>
      </w:r>
      <w:bookmarkEnd w:id="238"/>
    </w:p>
    <w:p>
      <w:pPr>
        <w:spacing w:line="276" w:lineRule="auto"/>
        <w:textAlignment w:val="baseline"/>
        <w:rPr>
          <w:rFonts w:asciiTheme="minorEastAsia" w:hAnsiTheme="minorEastAsia" w:eastAsiaTheme="minorEastAsia" w:cstheme="minorEastAsia"/>
          <w:i/>
          <w:caps/>
          <w:color w:val="auto"/>
          <w:szCs w:val="21"/>
        </w:rPr>
      </w:pPr>
      <w:r>
        <w:rPr>
          <w:rFonts w:hint="eastAsia" w:asciiTheme="minorEastAsia" w:hAnsiTheme="minorEastAsia" w:eastAsiaTheme="minorEastAsia" w:cstheme="minorEastAsia"/>
          <w:color w:val="auto"/>
          <w:szCs w:val="21"/>
        </w:rPr>
        <w:t xml:space="preserve">    新建机组间进线电缆由中标单位敷设至配电箱内。电气照明系统包括PCR区的照明系统、电源管线、插座等。</w:t>
      </w:r>
    </w:p>
    <w:p>
      <w:pPr>
        <w:spacing w:line="276" w:lineRule="auto"/>
        <w:ind w:firstLine="422" w:firstLineChars="200"/>
        <w:textAlignment w:val="baseline"/>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1、照明系统、紫外杀菌系统</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各实验室照度要求为：实验室的照度按规范设置。消毒采用紫外线杀菌灯符合消毒空间体积需求，其开关有定时关断功能。照明、插座、开关等装置及安装符合洁净区要求；洁净区房间的照明灯具为LED明装平板净化灯。按照比例安装带蓄电池洁净荧光灯。</w:t>
      </w:r>
    </w:p>
    <w:p>
      <w:pPr>
        <w:spacing w:line="276" w:lineRule="auto"/>
        <w:ind w:firstLine="315" w:firstLineChars="15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超薄型LED明装平板净化灯</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⑴外壳采用铝合金喷塑外壳，5层面板：扩散板、导光板、遮光板、海绵层、镀锌铁板，16mm厚（含光源），灯具壳体采用高强度优质钢板，净化灯表面静电喷塑处理，粉体粘附力强，均匀亮丽，长期使用不易剥落。净化灯壳体经焊接而成，焊点及拼接缝隙打磨平整，喷塑后完全看不出缝隙缺陷；</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⑵净化灯灯罩：采用耐冲击，抗老化亚克力，乳白色光线柔和，透明色亮度特佳。内置高纯电化铝反射罩，合理配光，营造高亮度，舒适得照明环境，镜面和哑面材质，迎合各类场合的美观及照明需要。</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⑶净化灯电气：采用国标电线，旋转式PV灯座，高性能镇流器。</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⑷净化灯安装维护：明装（吸顶）式，直接安装在天花表面；更换光源或维护时，先旋开净化灯面板的固定螺丝，卸下密封面板，再用力拉开反光罩或按下反光罩上的卡簧来取下反光罩；维护前首先切断电源。</w:t>
      </w:r>
    </w:p>
    <w:p>
      <w:pPr>
        <w:spacing w:line="276" w:lineRule="auto"/>
        <w:ind w:firstLine="422" w:firstLineChars="200"/>
        <w:textAlignment w:val="baseline"/>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2、插座开关</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⑴本次项目选用的插座、开关均采用国际品牌。产品通过“3C”认证，符合实验室的需求。每一路动力电需有一个开关控制，检测室照明需单独的开关控制；</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⑵插座开关适应环境温度50摄氏度，并具有以下特性及优点：表面材料选用进口PC，耐冲击、耐高温、光洁度好、易清洁；插座均带安全保护门，采用高弹性锡磷铜片，弹力好拔插稳；后座采用阻燃尼龙，阻燃性强；开关类采用高品质银合金触点，导电性好，减少电弧；通过ROHS环保认证；</w:t>
      </w:r>
    </w:p>
    <w:p>
      <w:pPr>
        <w:spacing w:line="276" w:lineRule="auto"/>
        <w:ind w:firstLine="422" w:firstLineChars="200"/>
        <w:textAlignment w:val="baseline"/>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3、配电系统</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电气工程配电：主要包括：动力配电柜、照明配电箱、电线管路敷设、接线盒、开关盒、插座盒安装与调试。</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⑴采用TN-S三相五线制供电系统，动力电和照明电、仪器用电分开设置，供电充分保证实验室的用电安全。大功率用电器使用一路相线，其他仪器独立使用一路相线，避免大功率开停对检验仪器的影响。</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⑵电气系统及控制系统线缆：弱电系统（网络、电视、对讲系统外）的支路管线采用KBG管。</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⑶仪表电缆敷穿入镀锌管中，并与电力电缆分离，信号电缆采用屏蔽类型。</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⑷微型断路器</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有以下功能：短路保护、过载保护、控制、隔离功能，且均通过强制性3C认证。</w:t>
      </w:r>
    </w:p>
    <w:p>
      <w:pPr>
        <w:spacing w:line="276" w:lineRule="auto"/>
        <w:ind w:firstLine="422" w:firstLineChars="200"/>
        <w:textAlignment w:val="baseline"/>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4、弱电工程</w:t>
      </w:r>
    </w:p>
    <w:p>
      <w:pPr>
        <w:spacing w:line="276" w:lineRule="auto"/>
        <w:ind w:firstLine="422" w:firstLineChars="200"/>
        <w:textAlignment w:val="baseline"/>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⑴综合布线弱电网络电话系统</w:t>
      </w:r>
    </w:p>
    <w:p>
      <w:pPr>
        <w:spacing w:line="276"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本项目不需配置网络和电话插座。</w:t>
      </w:r>
    </w:p>
    <w:p>
      <w:pPr>
        <w:spacing w:line="276" w:lineRule="auto"/>
        <w:ind w:firstLine="422" w:firstLineChars="200"/>
        <w:textAlignment w:val="baseline"/>
        <w:rPr>
          <w:rFonts w:asciiTheme="minorEastAsia" w:hAnsiTheme="minorEastAsia" w:eastAsiaTheme="minorEastAsia" w:cstheme="minorEastAsia"/>
          <w:b/>
          <w:bCs/>
          <w:color w:val="auto"/>
          <w:szCs w:val="21"/>
        </w:rPr>
      </w:pPr>
      <w:bookmarkStart w:id="239" w:name="_Toc454321896"/>
      <w:r>
        <w:rPr>
          <w:rFonts w:hint="eastAsia" w:asciiTheme="minorEastAsia" w:hAnsiTheme="minorEastAsia" w:eastAsiaTheme="minorEastAsia" w:cstheme="minorEastAsia"/>
          <w:b/>
          <w:bCs/>
          <w:color w:val="auto"/>
          <w:szCs w:val="21"/>
        </w:rPr>
        <w:t>⑵弱电监控系统</w:t>
      </w:r>
      <w:bookmarkEnd w:id="239"/>
    </w:p>
    <w:p>
      <w:pPr>
        <w:spacing w:line="276"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配置一套监控系统，更衣间与过道各设置一只半球形监控摄像头。其中监控显示电脑甲供，其余系统配件乙供；</w:t>
      </w:r>
    </w:p>
    <w:p>
      <w:pPr>
        <w:spacing w:line="276" w:lineRule="auto"/>
        <w:ind w:firstLine="420" w:firstLineChars="20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半球型彩色摄像头：网络通讯、红外探测30~50M（3.6mm镜头）、防水、防雷；</w:t>
      </w:r>
    </w:p>
    <w:p>
      <w:pPr>
        <w:spacing w:line="276" w:lineRule="auto"/>
        <w:ind w:firstLine="422" w:firstLineChars="200"/>
        <w:textAlignment w:val="baseline"/>
        <w:rPr>
          <w:rFonts w:asciiTheme="minorEastAsia" w:hAnsiTheme="minorEastAsia" w:eastAsiaTheme="minorEastAsia" w:cstheme="minorEastAsia"/>
          <w:b/>
          <w:bCs/>
          <w:color w:val="auto"/>
          <w:szCs w:val="21"/>
        </w:rPr>
      </w:pPr>
      <w:bookmarkStart w:id="240" w:name="_Toc454321892"/>
      <w:r>
        <w:rPr>
          <w:rFonts w:hint="eastAsia" w:asciiTheme="minorEastAsia" w:hAnsiTheme="minorEastAsia" w:eastAsiaTheme="minorEastAsia" w:cstheme="minorEastAsia"/>
          <w:b/>
          <w:bCs/>
          <w:color w:val="auto"/>
          <w:szCs w:val="21"/>
        </w:rPr>
        <w:t>⑶弱电门禁系统</w:t>
      </w:r>
      <w:bookmarkEnd w:id="240"/>
    </w:p>
    <w:p>
      <w:pPr>
        <w:pStyle w:val="2"/>
        <w:spacing w:line="276" w:lineRule="auto"/>
        <w:ind w:left="0" w:leftChars="0"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配置一套人脸识别门禁系统。门禁系统：进入实验区实现刷卡或人脸识别开门，通过门禁管理软件实现对实验室人员的进出管理与记录。</w:t>
      </w:r>
    </w:p>
    <w:p>
      <w:pPr>
        <w:spacing w:line="276" w:lineRule="auto"/>
        <w:ind w:firstLine="422" w:firstLineChars="200"/>
        <w:jc w:val="left"/>
        <w:outlineLvl w:val="1"/>
        <w:rPr>
          <w:rStyle w:val="65"/>
          <w:rFonts w:ascii="宋体" w:hAnsi="宋体"/>
          <w:b/>
          <w:bCs/>
          <w:color w:val="auto"/>
        </w:rPr>
      </w:pPr>
      <w:bookmarkStart w:id="241" w:name="_Toc9771"/>
      <w:r>
        <w:rPr>
          <w:rStyle w:val="65"/>
          <w:rFonts w:hint="eastAsia" w:ascii="宋体" w:hAnsi="宋体"/>
          <w:b/>
          <w:bCs/>
          <w:color w:val="auto"/>
        </w:rPr>
        <w:t>（六）给排水</w:t>
      </w:r>
      <w:bookmarkEnd w:id="241"/>
    </w:p>
    <w:p>
      <w:pPr>
        <w:spacing w:line="276"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7.1、实验区的各个给排水接点位置，管道由投标人自行负责设计、施工。给排水点位满足生物安全及相关规范要求。</w:t>
      </w:r>
    </w:p>
    <w:p>
      <w:pPr>
        <w:spacing w:line="276"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7.2、生活冷热水给水管采用PPR管，排水管采用UPVC管。</w:t>
      </w:r>
    </w:p>
    <w:p>
      <w:pPr>
        <w:spacing w:line="276"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7.3、满足GB50333-2013第八章8.2给水排水技术规范要求。</w:t>
      </w:r>
    </w:p>
    <w:p>
      <w:pPr>
        <w:spacing w:line="276"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7.4、本项目给排水管道及卫生器具在设计施工范围内。</w:t>
      </w:r>
    </w:p>
    <w:p>
      <w:pPr>
        <w:pStyle w:val="41"/>
        <w:spacing w:line="360" w:lineRule="auto"/>
        <w:ind w:firstLine="422"/>
        <w:rPr>
          <w:rFonts w:ascii="宋体" w:hAnsi="宋体" w:cs="宋体"/>
          <w:b/>
          <w:bCs/>
          <w:color w:val="000000"/>
          <w:sz w:val="21"/>
          <w:szCs w:val="21"/>
          <w:lang w:bidi="ar"/>
        </w:rPr>
      </w:pPr>
    </w:p>
    <w:p>
      <w:pPr>
        <w:pStyle w:val="41"/>
        <w:spacing w:line="360" w:lineRule="auto"/>
        <w:ind w:firstLine="422"/>
        <w:rPr>
          <w:rFonts w:ascii="宋体" w:hAnsi="宋体" w:cs="宋体"/>
          <w:b/>
          <w:bCs/>
          <w:color w:val="000000"/>
          <w:sz w:val="21"/>
          <w:szCs w:val="21"/>
          <w:lang w:bidi="ar"/>
        </w:rPr>
      </w:pPr>
    </w:p>
    <w:p>
      <w:pPr>
        <w:pStyle w:val="41"/>
        <w:spacing w:line="360" w:lineRule="auto"/>
        <w:ind w:firstLine="422"/>
        <w:rPr>
          <w:rFonts w:ascii="宋体" w:hAnsi="宋体" w:cs="宋体"/>
          <w:b/>
          <w:bCs/>
          <w:color w:val="000000"/>
          <w:sz w:val="21"/>
          <w:szCs w:val="21"/>
          <w:lang w:bidi="ar"/>
        </w:rPr>
      </w:pPr>
    </w:p>
    <w:p>
      <w:pPr>
        <w:pStyle w:val="41"/>
        <w:spacing w:line="360" w:lineRule="auto"/>
        <w:ind w:firstLine="422"/>
        <w:rPr>
          <w:rFonts w:ascii="宋体" w:hAnsi="宋体" w:cs="宋体"/>
          <w:b/>
          <w:bCs/>
          <w:color w:val="000000"/>
          <w:sz w:val="21"/>
          <w:szCs w:val="21"/>
          <w:lang w:bidi="ar"/>
        </w:rPr>
      </w:pPr>
    </w:p>
    <w:p>
      <w:pPr>
        <w:pStyle w:val="41"/>
        <w:spacing w:line="360" w:lineRule="auto"/>
        <w:ind w:firstLine="422"/>
        <w:rPr>
          <w:rFonts w:ascii="宋体" w:hAnsi="宋体" w:cs="宋体"/>
          <w:b/>
          <w:bCs/>
          <w:color w:val="000000"/>
          <w:sz w:val="21"/>
          <w:szCs w:val="21"/>
          <w:lang w:bidi="ar"/>
        </w:rPr>
      </w:pPr>
    </w:p>
    <w:p>
      <w:pPr>
        <w:pStyle w:val="41"/>
        <w:spacing w:line="360" w:lineRule="auto"/>
        <w:ind w:firstLine="422"/>
        <w:rPr>
          <w:rFonts w:hint="eastAsia" w:ascii="宋体" w:hAnsi="宋体" w:cs="宋体"/>
          <w:b/>
          <w:bCs/>
          <w:color w:val="000000"/>
          <w:sz w:val="21"/>
          <w:szCs w:val="21"/>
          <w:lang w:bidi="ar"/>
        </w:rPr>
      </w:pPr>
    </w:p>
    <w:p>
      <w:pPr>
        <w:pStyle w:val="41"/>
        <w:spacing w:line="360" w:lineRule="auto"/>
        <w:ind w:firstLine="422"/>
        <w:rPr>
          <w:rFonts w:hint="eastAsia" w:ascii="宋体" w:hAnsi="宋体" w:cs="宋体"/>
          <w:b/>
          <w:bCs/>
          <w:color w:val="000000"/>
          <w:sz w:val="21"/>
          <w:szCs w:val="21"/>
          <w:lang w:bidi="ar"/>
        </w:rPr>
      </w:pPr>
    </w:p>
    <w:p>
      <w:pPr>
        <w:pStyle w:val="41"/>
        <w:spacing w:line="360" w:lineRule="auto"/>
        <w:ind w:firstLine="422"/>
        <w:rPr>
          <w:rFonts w:hint="eastAsia" w:ascii="宋体" w:hAnsi="宋体" w:cs="宋体"/>
          <w:b/>
          <w:bCs/>
          <w:color w:val="000000"/>
          <w:sz w:val="21"/>
          <w:szCs w:val="21"/>
          <w:lang w:bidi="ar"/>
        </w:rPr>
      </w:pPr>
    </w:p>
    <w:p>
      <w:pPr>
        <w:pStyle w:val="41"/>
        <w:spacing w:line="360" w:lineRule="auto"/>
        <w:ind w:firstLine="422"/>
        <w:rPr>
          <w:rFonts w:hint="eastAsia" w:ascii="宋体" w:hAnsi="宋体" w:cs="宋体"/>
          <w:b/>
          <w:bCs/>
          <w:color w:val="000000"/>
          <w:sz w:val="21"/>
          <w:szCs w:val="21"/>
          <w:lang w:bidi="ar"/>
        </w:rPr>
      </w:pPr>
    </w:p>
    <w:p>
      <w:pPr>
        <w:pStyle w:val="41"/>
        <w:spacing w:line="360" w:lineRule="auto"/>
        <w:ind w:left="0" w:leftChars="0" w:firstLine="0" w:firstLineChars="0"/>
        <w:rPr>
          <w:rFonts w:ascii="宋体" w:hAnsi="宋体" w:cs="宋体"/>
          <w:b/>
          <w:bCs/>
          <w:color w:val="000000"/>
          <w:sz w:val="21"/>
          <w:szCs w:val="21"/>
          <w:lang w:bidi="ar"/>
        </w:rPr>
      </w:pPr>
    </w:p>
    <w:p>
      <w:pPr>
        <w:pStyle w:val="41"/>
        <w:spacing w:line="360" w:lineRule="auto"/>
        <w:ind w:firstLine="0" w:firstLineChars="0"/>
        <w:outlineLvl w:val="1"/>
        <w:rPr>
          <w:rFonts w:ascii="宋体" w:hAnsi="宋体" w:cs="宋体"/>
          <w:b/>
          <w:bCs/>
          <w:color w:val="000000"/>
          <w:sz w:val="21"/>
          <w:szCs w:val="21"/>
          <w:lang w:bidi="ar"/>
        </w:rPr>
      </w:pPr>
      <w:bookmarkStart w:id="242" w:name="_Toc17368"/>
      <w:r>
        <w:rPr>
          <w:rFonts w:hint="eastAsia" w:ascii="宋体" w:hAnsi="宋体" w:cs="宋体"/>
          <w:b/>
          <w:bCs/>
          <w:color w:val="000000"/>
          <w:sz w:val="21"/>
          <w:szCs w:val="21"/>
          <w:lang w:bidi="ar"/>
        </w:rPr>
        <w:t>（七）主要材料（设备）推荐品牌表</w:t>
      </w:r>
      <w:bookmarkEnd w:id="242"/>
    </w:p>
    <w:tbl>
      <w:tblPr>
        <w:tblStyle w:val="30"/>
        <w:tblW w:w="9670" w:type="dxa"/>
        <w:jc w:val="center"/>
        <w:tblLayout w:type="fixed"/>
        <w:tblCellMar>
          <w:top w:w="0" w:type="dxa"/>
          <w:left w:w="108" w:type="dxa"/>
          <w:bottom w:w="0" w:type="dxa"/>
          <w:right w:w="108" w:type="dxa"/>
        </w:tblCellMar>
      </w:tblPr>
      <w:tblGrid>
        <w:gridCol w:w="725"/>
        <w:gridCol w:w="1715"/>
        <w:gridCol w:w="1587"/>
        <w:gridCol w:w="1801"/>
        <w:gridCol w:w="1276"/>
        <w:gridCol w:w="2566"/>
      </w:tblGrid>
      <w:tr>
        <w:tblPrEx>
          <w:tblCellMar>
            <w:top w:w="0" w:type="dxa"/>
            <w:left w:w="108" w:type="dxa"/>
            <w:bottom w:w="0" w:type="dxa"/>
            <w:right w:w="108" w:type="dxa"/>
          </w:tblCellMar>
        </w:tblPrEx>
        <w:trPr>
          <w:trHeight w:val="789" w:hRule="atLeast"/>
          <w:tblHeader/>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1715"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材料名称</w:t>
            </w:r>
          </w:p>
        </w:tc>
        <w:tc>
          <w:tcPr>
            <w:tcW w:w="1587"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规格、型号及技术要求等</w:t>
            </w:r>
          </w:p>
        </w:tc>
        <w:tc>
          <w:tcPr>
            <w:tcW w:w="1801"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参照或相当于</w:t>
            </w:r>
          </w:p>
        </w:tc>
        <w:tc>
          <w:tcPr>
            <w:tcW w:w="1276"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投标人选用品牌</w:t>
            </w:r>
          </w:p>
        </w:tc>
        <w:tc>
          <w:tcPr>
            <w:tcW w:w="2566"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728" w:hRule="atLeast"/>
          <w:jc w:val="center"/>
        </w:trPr>
        <w:tc>
          <w:tcPr>
            <w:tcW w:w="725" w:type="dxa"/>
            <w:tcBorders>
              <w:top w:val="nil"/>
              <w:left w:val="single" w:color="auto" w:sz="4" w:space="0"/>
              <w:bottom w:val="nil"/>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17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金属面岩棉夹芯保温钢板</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符合规范及招标技术要求</w:t>
            </w:r>
          </w:p>
        </w:tc>
        <w:tc>
          <w:tcPr>
            <w:tcW w:w="18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言信/林森/华翱</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2566"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施工前经建设单位和设计确认，建设单位有权在颜色、用量、材质做适当调整，但价格不予调整</w:t>
            </w:r>
          </w:p>
        </w:tc>
      </w:tr>
      <w:tr>
        <w:tblPrEx>
          <w:tblCellMar>
            <w:top w:w="0" w:type="dxa"/>
            <w:left w:w="108" w:type="dxa"/>
            <w:bottom w:w="0" w:type="dxa"/>
            <w:right w:w="108" w:type="dxa"/>
          </w:tblCellMar>
        </w:tblPrEx>
        <w:trPr>
          <w:trHeight w:val="55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7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电线电缆</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符合规范及招标技术要求</w:t>
            </w:r>
          </w:p>
        </w:tc>
        <w:tc>
          <w:tcPr>
            <w:tcW w:w="18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远东/江南/长江</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2566"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17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开关插座</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符合规范及招标技术要求</w:t>
            </w:r>
          </w:p>
        </w:tc>
        <w:tc>
          <w:tcPr>
            <w:tcW w:w="1801" w:type="dxa"/>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西门子/施耐德/朗能</w:t>
            </w:r>
          </w:p>
        </w:tc>
        <w:tc>
          <w:tcPr>
            <w:tcW w:w="1276" w:type="dxa"/>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hAnsi="宋体" w:cs="宋体"/>
                <w:color w:val="000000"/>
                <w:kern w:val="0"/>
                <w:szCs w:val="21"/>
              </w:rPr>
            </w:pPr>
          </w:p>
        </w:tc>
        <w:tc>
          <w:tcPr>
            <w:tcW w:w="2566"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3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171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配电箱空开</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符合规范及招标技术要求</w:t>
            </w:r>
          </w:p>
        </w:tc>
        <w:tc>
          <w:tcPr>
            <w:tcW w:w="18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德力西/施耐德/正泰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2566"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872" w:hRule="atLeast"/>
          <w:jc w:val="center"/>
        </w:trPr>
        <w:tc>
          <w:tcPr>
            <w:tcW w:w="725" w:type="dxa"/>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17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恒温净化空调机组</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符合规范及招标技术要求</w:t>
            </w:r>
          </w:p>
        </w:tc>
        <w:tc>
          <w:tcPr>
            <w:tcW w:w="1801" w:type="dxa"/>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雅士、麦克维尔、天加</w:t>
            </w:r>
          </w:p>
        </w:tc>
        <w:tc>
          <w:tcPr>
            <w:tcW w:w="1276" w:type="dxa"/>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hAnsi="宋体" w:cs="宋体"/>
                <w:color w:val="000000"/>
                <w:kern w:val="0"/>
                <w:szCs w:val="21"/>
              </w:rPr>
            </w:pPr>
          </w:p>
        </w:tc>
        <w:tc>
          <w:tcPr>
            <w:tcW w:w="2566"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12"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1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灯具</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符合规范及招标技术要求</w:t>
            </w:r>
          </w:p>
        </w:tc>
        <w:tc>
          <w:tcPr>
            <w:tcW w:w="18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bCs/>
                <w:szCs w:val="21"/>
              </w:rPr>
              <w:t>云镜</w:t>
            </w:r>
            <w:r>
              <w:rPr>
                <w:bCs/>
                <w:szCs w:val="21"/>
              </w:rPr>
              <w:t>/</w:t>
            </w:r>
            <w:r>
              <w:rPr>
                <w:rFonts w:hint="eastAsia"/>
                <w:bCs/>
                <w:szCs w:val="21"/>
              </w:rPr>
              <w:t>中工通明</w:t>
            </w:r>
            <w:r>
              <w:rPr>
                <w:bCs/>
                <w:szCs w:val="21"/>
              </w:rPr>
              <w:t>/</w:t>
            </w:r>
            <w:r>
              <w:rPr>
                <w:rFonts w:hint="eastAsia"/>
                <w:bCs/>
                <w:szCs w:val="21"/>
              </w:rPr>
              <w:t>爱美潞</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2566"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65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w:t>
            </w:r>
          </w:p>
        </w:tc>
        <w:tc>
          <w:tcPr>
            <w:tcW w:w="1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成品钢板门</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符合规范及招标技术要求</w:t>
            </w:r>
          </w:p>
        </w:tc>
        <w:tc>
          <w:tcPr>
            <w:tcW w:w="18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bCs/>
                <w:szCs w:val="21"/>
              </w:rPr>
              <w:t>言信、苏净、林森</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2566"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65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c>
          <w:tcPr>
            <w:tcW w:w="1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实验台理化板台面</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符合规范及招标技术要求</w:t>
            </w:r>
          </w:p>
        </w:tc>
        <w:tc>
          <w:tcPr>
            <w:tcW w:w="18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rFonts w:hint="eastAsia"/>
                <w:bCs/>
                <w:szCs w:val="21"/>
              </w:rPr>
              <w:t>千思板、威盛亚、盛德瑞</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2566"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650" w:hRule="atLeast"/>
          <w:jc w:val="center"/>
        </w:trPr>
        <w:tc>
          <w:tcPr>
            <w:tcW w:w="9670"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outlineLvl w:val="1"/>
              <w:rPr>
                <w:b/>
              </w:rPr>
            </w:pPr>
            <w:bookmarkStart w:id="243" w:name="_Toc7464"/>
            <w:r>
              <w:rPr>
                <w:rFonts w:hint="eastAsia"/>
                <w:b/>
              </w:rPr>
              <w:t>注： 1、本工程主要材料均由投标供应商（简称“供应商”）自行组织实施，凡由供应商采购的材料，供应商应按照设计和有关标准及采购文件要求采购，并向采购人提供质量保证书、出厂合格证及现场抽样检测报告等证明材料，对材料质量负责；</w:t>
            </w:r>
            <w:bookmarkEnd w:id="243"/>
          </w:p>
          <w:p>
            <w:pPr>
              <w:spacing w:line="360" w:lineRule="auto"/>
              <w:ind w:firstLine="422" w:firstLineChars="200"/>
              <w:outlineLvl w:val="1"/>
              <w:rPr>
                <w:rFonts w:ascii="宋体" w:hAnsi="宋体" w:cs="宋体"/>
                <w:color w:val="000000"/>
                <w:kern w:val="0"/>
                <w:szCs w:val="21"/>
              </w:rPr>
            </w:pPr>
            <w:bookmarkStart w:id="244" w:name="_Toc29091"/>
            <w:r>
              <w:rPr>
                <w:rFonts w:hint="eastAsia"/>
                <w:b/>
              </w:rPr>
              <w:t>2、供应商</w:t>
            </w:r>
            <w:r>
              <w:rPr>
                <w:rFonts w:hint="eastAsia" w:ascii="宋体" w:hAnsi="宋体" w:cs="宋体"/>
                <w:b/>
                <w:bCs/>
                <w:color w:val="000000"/>
                <w:kern w:val="0"/>
                <w:szCs w:val="21"/>
              </w:rPr>
              <w:t>可在推荐（参照或相当于）品牌表里面选择品牌投标，也可选择其他能满足本项目技术需求且性能与参考设备材料品牌相当或者更优的产品，但成交后不得随意更换品牌。</w:t>
            </w:r>
            <w:bookmarkEnd w:id="244"/>
          </w:p>
        </w:tc>
      </w:tr>
    </w:tbl>
    <w:p>
      <w:pPr>
        <w:spacing w:line="276" w:lineRule="auto"/>
        <w:ind w:firstLine="211" w:firstLineChars="100"/>
        <w:outlineLvl w:val="1"/>
        <w:rPr>
          <w:b/>
        </w:rPr>
      </w:pPr>
      <w:bookmarkStart w:id="245" w:name="_Toc11426"/>
      <w:r>
        <w:rPr>
          <w:rFonts w:hint="eastAsia"/>
          <w:b/>
        </w:rPr>
        <w:t>（八）项目规范</w:t>
      </w:r>
      <w:bookmarkEnd w:id="245"/>
    </w:p>
    <w:p>
      <w:pPr>
        <w:spacing w:line="276" w:lineRule="auto"/>
        <w:ind w:firstLine="420" w:firstLineChars="200"/>
        <w:rPr>
          <w:rFonts w:ascii="宋体" w:hAnsi="宋体" w:cs="宋体"/>
          <w:bCs/>
        </w:rPr>
      </w:pPr>
      <w:r>
        <w:rPr>
          <w:rFonts w:hint="eastAsia" w:ascii="宋体" w:hAnsi="宋体" w:cs="宋体"/>
          <w:bCs/>
        </w:rPr>
        <w:t>1、采购人提供的室内设计要求；</w:t>
      </w:r>
      <w:r>
        <w:rPr>
          <w:rFonts w:hint="eastAsia" w:ascii="宋体" w:hAnsi="宋体" w:cs="宋体"/>
          <w:bCs/>
        </w:rPr>
        <w:cr/>
      </w:r>
      <w:r>
        <w:rPr>
          <w:rFonts w:hint="eastAsia" w:ascii="宋体" w:hAnsi="宋体" w:cs="宋体"/>
          <w:bCs/>
        </w:rPr>
        <w:t xml:space="preserve">    2、经采购人认可的装饰方案设计文件；</w:t>
      </w:r>
      <w:r>
        <w:rPr>
          <w:rFonts w:hint="eastAsia" w:ascii="宋体" w:hAnsi="宋体" w:cs="宋体"/>
          <w:bCs/>
        </w:rPr>
        <w:cr/>
      </w:r>
      <w:r>
        <w:rPr>
          <w:rFonts w:hint="eastAsia" w:ascii="宋体" w:hAnsi="宋体" w:cs="宋体"/>
          <w:bCs/>
        </w:rPr>
        <w:t xml:space="preserve">    3、国家有关建筑装饰工程设计规范、规程：</w:t>
      </w:r>
      <w:r>
        <w:rPr>
          <w:rFonts w:hint="eastAsia" w:ascii="宋体" w:hAnsi="宋体" w:cs="宋体"/>
          <w:bCs/>
        </w:rPr>
        <w:cr/>
      </w:r>
      <w:r>
        <w:rPr>
          <w:rFonts w:hint="eastAsia" w:ascii="宋体" w:hAnsi="宋体" w:cs="宋体"/>
          <w:bCs/>
        </w:rPr>
        <w:t xml:space="preserve">    ⑴、《建筑设计防火规范》；</w:t>
      </w:r>
    </w:p>
    <w:p>
      <w:pPr>
        <w:spacing w:line="276" w:lineRule="auto"/>
        <w:ind w:firstLine="420" w:firstLineChars="200"/>
        <w:rPr>
          <w:rFonts w:ascii="宋体" w:hAnsi="宋体" w:cs="宋体"/>
          <w:bCs/>
        </w:rPr>
      </w:pPr>
      <w:r>
        <w:rPr>
          <w:rFonts w:hint="eastAsia" w:ascii="宋体" w:hAnsi="宋体" w:cs="宋体"/>
          <w:bCs/>
        </w:rPr>
        <w:t>⑵、《科研建筑设计标准》；</w:t>
      </w:r>
      <w:r>
        <w:rPr>
          <w:rFonts w:hint="eastAsia" w:ascii="宋体" w:hAnsi="宋体" w:cs="宋体"/>
          <w:bCs/>
        </w:rPr>
        <w:cr/>
      </w:r>
      <w:r>
        <w:rPr>
          <w:rFonts w:hint="eastAsia" w:ascii="宋体" w:hAnsi="宋体" w:cs="宋体"/>
          <w:bCs/>
        </w:rPr>
        <w:t xml:space="preserve">    ⑶、《民用建筑工程室内环境污染控制规范》；</w:t>
      </w:r>
      <w:r>
        <w:rPr>
          <w:rFonts w:hint="eastAsia" w:ascii="宋体" w:hAnsi="宋体" w:cs="宋体"/>
          <w:bCs/>
        </w:rPr>
        <w:cr/>
      </w:r>
      <w:r>
        <w:rPr>
          <w:rFonts w:hint="eastAsia" w:ascii="宋体" w:hAnsi="宋体" w:cs="宋体"/>
          <w:bCs/>
        </w:rPr>
        <w:t xml:space="preserve">    ⑷、《建筑内部装修设计防火规范》；</w:t>
      </w:r>
      <w:r>
        <w:rPr>
          <w:rFonts w:hint="eastAsia" w:ascii="宋体" w:hAnsi="宋体" w:cs="宋体"/>
          <w:bCs/>
        </w:rPr>
        <w:cr/>
      </w:r>
      <w:r>
        <w:rPr>
          <w:rFonts w:hint="eastAsia" w:ascii="宋体" w:hAnsi="宋体" w:cs="宋体"/>
          <w:bCs/>
        </w:rPr>
        <w:t xml:space="preserve">    ⑸、《临床基因扩增检验实验室工作导则》；</w:t>
      </w:r>
    </w:p>
    <w:p>
      <w:pPr>
        <w:spacing w:line="276" w:lineRule="auto"/>
        <w:ind w:firstLine="420" w:firstLineChars="200"/>
        <w:rPr>
          <w:rFonts w:ascii="宋体" w:hAnsi="宋体" w:cs="宋体"/>
          <w:bCs/>
        </w:rPr>
      </w:pPr>
      <w:r>
        <w:rPr>
          <w:rFonts w:hint="eastAsia" w:ascii="宋体" w:hAnsi="宋体" w:cs="宋体"/>
          <w:bCs/>
        </w:rPr>
        <w:t>⑹、《生物安全实验室建筑技术规范》；</w:t>
      </w:r>
      <w:r>
        <w:rPr>
          <w:rFonts w:hint="eastAsia" w:ascii="宋体" w:hAnsi="宋体" w:cs="宋体"/>
          <w:bCs/>
        </w:rPr>
        <w:cr/>
      </w:r>
      <w:r>
        <w:rPr>
          <w:rFonts w:hint="eastAsia" w:ascii="宋体" w:hAnsi="宋体" w:cs="宋体"/>
          <w:bCs/>
        </w:rPr>
        <w:t xml:space="preserve">    ⑺、国家相关法律法规。</w:t>
      </w:r>
    </w:p>
    <w:p>
      <w:pPr>
        <w:spacing w:line="276" w:lineRule="auto"/>
        <w:ind w:firstLine="422" w:firstLineChars="200"/>
        <w:rPr>
          <w:b/>
        </w:rPr>
      </w:pPr>
      <w:r>
        <w:rPr>
          <w:rFonts w:hint="eastAsia" w:ascii="宋体" w:hAnsi="宋体" w:cs="宋体"/>
          <w:b/>
        </w:rPr>
        <w:t>以上设计规范版本号均以最新版本号为准。</w:t>
      </w:r>
    </w:p>
    <w:p>
      <w:pPr>
        <w:spacing w:line="276" w:lineRule="auto"/>
        <w:ind w:firstLine="211" w:firstLineChars="100"/>
        <w:outlineLvl w:val="1"/>
        <w:rPr>
          <w:b/>
        </w:rPr>
      </w:pPr>
      <w:bookmarkStart w:id="246" w:name="_Toc1349"/>
      <w:r>
        <w:rPr>
          <w:rFonts w:hint="eastAsia"/>
          <w:b/>
        </w:rPr>
        <w:t>三、其他要求</w:t>
      </w:r>
      <w:bookmarkEnd w:id="246"/>
    </w:p>
    <w:p>
      <w:pPr>
        <w:spacing w:line="276" w:lineRule="auto"/>
        <w:ind w:firstLine="420" w:firstLineChars="200"/>
        <w:rPr>
          <w:rFonts w:ascii="宋体" w:hAnsi="宋体" w:cs="宋体"/>
          <w:bCs/>
        </w:rPr>
      </w:pPr>
      <w:r>
        <w:rPr>
          <w:rFonts w:hint="eastAsia" w:ascii="宋体" w:hAnsi="宋体" w:cs="宋体"/>
          <w:bCs/>
        </w:rPr>
        <w:t>1、现场踏勘：本项目采购人不组织集体勘查现场，投标供应商须自行与采购人联系踏勘现场，充分了解项目现场情况。熟悉了解一切可能影响施工、投标报价的因素，投标人踏勘现场发生的费用自理。采购人在踏勘现场中介绍的工程场地和相关的周边环境情况，供投标供应商在编制投标文件时参考，采购人不对投标供应商据此作出的判断和决策负责</w:t>
      </w:r>
      <w:r>
        <w:rPr>
          <w:rFonts w:hint="eastAsia" w:ascii="宋体" w:hAnsi="宋体" w:cs="宋体"/>
          <w:b/>
        </w:rPr>
        <w:t>（踏勘联系方式详见前附表）</w:t>
      </w:r>
      <w:r>
        <w:rPr>
          <w:rFonts w:hint="eastAsia" w:ascii="宋体" w:hAnsi="宋体" w:cs="宋体"/>
          <w:bCs/>
        </w:rPr>
        <w:t>。</w:t>
      </w:r>
    </w:p>
    <w:p>
      <w:pPr>
        <w:spacing w:line="276" w:lineRule="auto"/>
        <w:ind w:firstLine="420" w:firstLineChars="200"/>
        <w:rPr>
          <w:bCs/>
        </w:rPr>
      </w:pPr>
      <w:r>
        <w:rPr>
          <w:rFonts w:hint="eastAsia" w:ascii="宋体" w:hAnsi="宋体" w:cs="宋体"/>
          <w:bCs/>
        </w:rPr>
        <w:t>采购人不安排成交供应商在现场及学校内食宿；成交供应商凭成交通知书或合同到学校保卫处办理出入证和签定安全责任书，施工许可证等相关手续。</w:t>
      </w:r>
    </w:p>
    <w:p>
      <w:pPr>
        <w:spacing w:line="276" w:lineRule="auto"/>
        <w:ind w:firstLine="420" w:firstLineChars="200"/>
        <w:rPr>
          <w:rFonts w:ascii="宋体" w:hAnsi="宋体" w:cs="宋体"/>
        </w:rPr>
      </w:pPr>
      <w:bookmarkStart w:id="247" w:name="_Toc19326"/>
      <w:r>
        <w:rPr>
          <w:rFonts w:hint="eastAsia" w:ascii="宋体" w:hAnsi="宋体" w:cs="宋体"/>
        </w:rPr>
        <w:t>2、投标供应商应按本合同约定的时间和要求完成以下工作：</w:t>
      </w:r>
      <w:bookmarkEnd w:id="247"/>
    </w:p>
    <w:p>
      <w:pPr>
        <w:spacing w:line="276" w:lineRule="auto"/>
        <w:ind w:firstLine="420" w:firstLineChars="200"/>
        <w:rPr>
          <w:rFonts w:ascii="宋体" w:hAnsi="宋体" w:cs="宋体"/>
        </w:rPr>
      </w:pPr>
      <w:r>
        <w:rPr>
          <w:rFonts w:hint="eastAsia" w:ascii="宋体" w:hAnsi="宋体" w:cs="宋体"/>
        </w:rPr>
        <w:t xml:space="preserve">2.1应提供计划、报表的名称及完成时间：按招标人和监理工程师的要求。         </w:t>
      </w:r>
    </w:p>
    <w:p>
      <w:pPr>
        <w:spacing w:line="276" w:lineRule="auto"/>
        <w:ind w:firstLine="420" w:firstLineChars="200"/>
        <w:rPr>
          <w:rFonts w:ascii="宋体" w:hAnsi="宋体" w:cs="宋体"/>
        </w:rPr>
      </w:pPr>
      <w:r>
        <w:rPr>
          <w:rFonts w:hint="eastAsia" w:ascii="宋体" w:hAnsi="宋体" w:cs="宋体"/>
        </w:rPr>
        <w:t>2.2承担施工安全保卫工作和非夜间施工照明的责任和要求：</w:t>
      </w:r>
    </w:p>
    <w:p>
      <w:pPr>
        <w:spacing w:line="276" w:lineRule="auto"/>
        <w:ind w:firstLine="420" w:firstLineChars="200"/>
        <w:rPr>
          <w:rFonts w:ascii="宋体" w:hAnsi="宋体" w:cs="宋体"/>
        </w:rPr>
      </w:pPr>
      <w:r>
        <w:rPr>
          <w:rFonts w:hint="eastAsia" w:ascii="宋体" w:hAnsi="宋体" w:cs="宋体"/>
        </w:rPr>
        <w:t>①本工程必须确保安全，投标供应商自行承担工程施工过程中的工程质量、任何状况下的安全责任。非招标人原因，发生的一切问题和责任与招标人无关，相关一切费用或民事、刑事责任均由乙方自理</w:t>
      </w:r>
    </w:p>
    <w:p>
      <w:pPr>
        <w:spacing w:line="276" w:lineRule="auto"/>
        <w:ind w:firstLine="420" w:firstLineChars="200"/>
        <w:rPr>
          <w:rFonts w:ascii="宋体" w:hAnsi="宋体" w:cs="宋体"/>
        </w:rPr>
      </w:pPr>
      <w:r>
        <w:rPr>
          <w:rFonts w:hint="eastAsia" w:ascii="宋体" w:hAnsi="宋体" w:cs="宋体"/>
        </w:rPr>
        <w:t>②投标供应商必须遵守江苏省建设厅及盐城市建设主管部门颁布的《建设工程施工安全管理规定》和《建设工程文明施工管理规定》。</w:t>
      </w:r>
    </w:p>
    <w:p>
      <w:pPr>
        <w:spacing w:line="276" w:lineRule="auto"/>
        <w:ind w:firstLine="420" w:firstLineChars="200"/>
        <w:rPr>
          <w:rFonts w:ascii="宋体" w:hAnsi="宋体" w:cs="宋体"/>
        </w:rPr>
      </w:pPr>
      <w:r>
        <w:rPr>
          <w:rFonts w:hint="eastAsia" w:ascii="宋体" w:hAnsi="宋体" w:cs="宋体"/>
        </w:rPr>
        <w:t>③投标供应商进场后，必须服从招标人、监理单位对施工场地总平面的规划，服从招标人、监理单位的统一调度和指挥。</w:t>
      </w:r>
    </w:p>
    <w:p>
      <w:pPr>
        <w:spacing w:line="276" w:lineRule="auto"/>
        <w:ind w:firstLine="420" w:firstLineChars="200"/>
        <w:rPr>
          <w:rFonts w:ascii="宋体" w:hAnsi="宋体" w:cs="宋体"/>
        </w:rPr>
      </w:pPr>
      <w:r>
        <w:rPr>
          <w:rFonts w:hint="eastAsia" w:ascii="宋体" w:hAnsi="宋体" w:cs="宋体"/>
        </w:rPr>
        <w:t>④招标人、监理单位将不定期对投标供应商的施工质量、安全、文明施工进行检查，如发现工程现场及生活区内安全、文明施工管理较差，有权要求承包单位整改并通报批评，如发生二次通报批评情况，可按现场有关规定进行处罚。</w:t>
      </w:r>
    </w:p>
    <w:p>
      <w:pPr>
        <w:spacing w:line="276" w:lineRule="auto"/>
        <w:ind w:firstLine="420" w:firstLineChars="200"/>
        <w:rPr>
          <w:rFonts w:ascii="宋体" w:hAnsi="宋体" w:cs="宋体"/>
        </w:rPr>
      </w:pPr>
      <w:r>
        <w:rPr>
          <w:rFonts w:hint="eastAsia" w:ascii="宋体" w:hAnsi="宋体" w:cs="宋体"/>
        </w:rPr>
        <w:t xml:space="preserve">⑤投标供应商在组织施工时需及时清运施工废弃物，材料堆放整齐有序，保持施工场地整洁、交通畅顺。服从招标人及相关主管部门的管理要求，主动协调、解决问题，若在施工期间出现因场地脏乱、交通不顺等违反文明施工管理规定的情况，所发生的一切费用均由投标供应商承担，同时还须接受招标人的经济处罚。   </w:t>
      </w:r>
    </w:p>
    <w:p>
      <w:pPr>
        <w:spacing w:line="276" w:lineRule="auto"/>
        <w:ind w:firstLine="420" w:firstLineChars="200"/>
        <w:rPr>
          <w:rFonts w:ascii="宋体" w:hAnsi="宋体" w:cs="宋体"/>
        </w:rPr>
      </w:pPr>
      <w:r>
        <w:rPr>
          <w:rFonts w:hint="eastAsia" w:ascii="宋体" w:hAnsi="宋体" w:cs="宋体"/>
        </w:rPr>
        <w:t>2.3承担协调解决工程实施中的各种矛盾及费用。</w:t>
      </w:r>
    </w:p>
    <w:p>
      <w:pPr>
        <w:spacing w:line="276" w:lineRule="auto"/>
        <w:ind w:firstLine="420" w:firstLineChars="200"/>
        <w:rPr>
          <w:rFonts w:ascii="宋体" w:hAnsi="宋体" w:cs="宋体"/>
        </w:rPr>
      </w:pPr>
      <w:r>
        <w:rPr>
          <w:rFonts w:hint="eastAsia" w:ascii="宋体" w:hAnsi="宋体" w:cs="宋体"/>
        </w:rPr>
        <w:t>2.4需投标供应商办理的有关施工场地交通环卫和施工噪音管理等手续： 根据现场情况，投标供应商自行协调解决 ，并承担由此发生的费用。</w:t>
      </w:r>
    </w:p>
    <w:p>
      <w:pPr>
        <w:spacing w:line="276" w:lineRule="auto"/>
        <w:ind w:firstLine="420" w:firstLineChars="200"/>
        <w:rPr>
          <w:rFonts w:ascii="宋体" w:hAnsi="宋体" w:cs="宋体"/>
        </w:rPr>
      </w:pPr>
      <w:r>
        <w:rPr>
          <w:rFonts w:hint="eastAsia" w:ascii="宋体" w:hAnsi="宋体" w:cs="宋体"/>
        </w:rPr>
        <w:t>2.5承担费用负责已竣工但未交付招标人之前的工程保护工作；对工程成品保护的特殊要求及费用承担：投标供应商负责做好工程成品保护，并承担相应的费用。</w:t>
      </w:r>
    </w:p>
    <w:p>
      <w:pPr>
        <w:spacing w:line="276" w:lineRule="auto"/>
        <w:ind w:firstLine="420" w:firstLineChars="200"/>
        <w:rPr>
          <w:rFonts w:ascii="宋体" w:hAnsi="宋体" w:cs="宋体"/>
        </w:rPr>
      </w:pPr>
      <w:r>
        <w:rPr>
          <w:rFonts w:hint="eastAsia" w:ascii="宋体" w:hAnsi="宋体" w:cs="宋体"/>
        </w:rPr>
        <w:t xml:space="preserve">2.6保障施工场地清洁符合环境卫生管理的有关规定，并且做到：文明施工，施工垃圾随产随清。 </w:t>
      </w:r>
    </w:p>
    <w:p>
      <w:pPr>
        <w:spacing w:line="276" w:lineRule="auto"/>
        <w:ind w:firstLine="420" w:firstLineChars="200"/>
        <w:rPr>
          <w:rFonts w:ascii="宋体" w:hAnsi="宋体" w:cs="宋体"/>
        </w:rPr>
      </w:pPr>
      <w:r>
        <w:rPr>
          <w:rFonts w:hint="eastAsia" w:ascii="宋体" w:hAnsi="宋体" w:cs="宋体"/>
        </w:rPr>
        <w:t xml:space="preserve">2.7双方约定的乙方应做的其他工作：招标时，招标人已要求投标供应商自行到施工现场踏勘。招标人仅提供现有的施工场地现状，施工用水、电手续由投标供应商自行办理，其费用由投标供应商自行挂表并到相关部门缴纳，此费用已经包含在合同价中，结算时不另行调整。 </w:t>
      </w:r>
    </w:p>
    <w:p>
      <w:pPr>
        <w:spacing w:line="276" w:lineRule="auto"/>
        <w:ind w:firstLine="420" w:firstLineChars="200"/>
        <w:rPr>
          <w:rFonts w:ascii="宋体" w:hAnsi="宋体" w:cs="宋体"/>
        </w:rPr>
      </w:pPr>
      <w:bookmarkStart w:id="248" w:name="_Toc4749"/>
      <w:r>
        <w:rPr>
          <w:rFonts w:hint="eastAsia" w:ascii="宋体" w:hAnsi="宋体" w:cs="宋体"/>
        </w:rPr>
        <w:t>3、安全施工</w:t>
      </w:r>
      <w:bookmarkEnd w:id="248"/>
    </w:p>
    <w:p>
      <w:pPr>
        <w:spacing w:line="276" w:lineRule="auto"/>
        <w:ind w:firstLine="420" w:firstLineChars="200"/>
        <w:rPr>
          <w:rFonts w:ascii="宋体" w:hAnsi="宋体" w:cs="宋体"/>
        </w:rPr>
      </w:pPr>
      <w:r>
        <w:rPr>
          <w:rFonts w:hint="eastAsia" w:ascii="宋体" w:hAnsi="宋体" w:cs="宋体"/>
        </w:rPr>
        <w:t>3.1投标供应商应遵守工程建设安全生产有关管理规定，严格按安全标准组织施工，并随时接受行业安全检查人员依法实施的监督检查，采取必要的安全防护措施，消除事故隐患。由于投标供应商安全措施不力造成事故的责任和因此发生的费用，由投标供应商承担。</w:t>
      </w:r>
    </w:p>
    <w:p>
      <w:pPr>
        <w:spacing w:line="276" w:lineRule="auto"/>
        <w:ind w:firstLine="420" w:firstLineChars="200"/>
        <w:rPr>
          <w:rFonts w:ascii="宋体" w:hAnsi="宋体" w:cs="宋体"/>
        </w:rPr>
      </w:pPr>
      <w:r>
        <w:rPr>
          <w:rFonts w:hint="eastAsia" w:ascii="宋体" w:hAnsi="宋体" w:cs="宋体"/>
        </w:rPr>
        <w:t>3.2投标供应商应对其在施工场地的工作人员进行安全教育，并对他们的安全负责。招标人不得要求投标供应商违反安全管理的规定进行施工。</w:t>
      </w:r>
    </w:p>
    <w:p>
      <w:pPr>
        <w:spacing w:line="276" w:lineRule="auto"/>
        <w:ind w:firstLine="420" w:firstLineChars="200"/>
        <w:rPr>
          <w:rFonts w:ascii="宋体" w:hAnsi="宋体" w:cs="宋体"/>
        </w:rPr>
      </w:pPr>
      <w:r>
        <w:rPr>
          <w:rFonts w:hint="eastAsia" w:ascii="宋体" w:hAnsi="宋体" w:cs="宋体"/>
        </w:rPr>
        <w:t>3.3发生重大伤亡及其他安全事故，投标供应商应按有关规定立即通知招标人并上报有关部门，同时按政府有关部门要求处理，由投标供应商承担发生的费用。</w:t>
      </w:r>
    </w:p>
    <w:p>
      <w:pPr>
        <w:spacing w:line="276" w:lineRule="auto"/>
        <w:ind w:firstLine="420" w:firstLineChars="200"/>
        <w:rPr>
          <w:rFonts w:ascii="宋体" w:hAnsi="宋体" w:cs="宋体"/>
        </w:rPr>
      </w:pPr>
      <w:r>
        <w:rPr>
          <w:rFonts w:hint="eastAsia" w:ascii="宋体" w:hAnsi="宋体" w:cs="宋体"/>
        </w:rPr>
        <w:t>3.4招标人、投标供应商对事故责任有争议时，应按政府有关部门认定处理。</w:t>
      </w:r>
    </w:p>
    <w:p>
      <w:pPr>
        <w:spacing w:line="276" w:lineRule="auto"/>
        <w:ind w:firstLine="422" w:firstLineChars="200"/>
        <w:rPr>
          <w:rFonts w:ascii="宋体" w:hAnsi="宋体" w:cs="宋体"/>
          <w:b/>
          <w:bCs/>
        </w:rPr>
      </w:pPr>
      <w:r>
        <w:rPr>
          <w:rFonts w:hint="eastAsia" w:ascii="宋体" w:hAnsi="宋体" w:cs="宋体"/>
          <w:b/>
          <w:bCs/>
        </w:rPr>
        <w:t>4、验收标准：工程质量要求按照国家质量验收标准，综合评定指标达到国家质量验收合格标准。若质量验收评定不能达到合格，所造成的一切损失由施工单位承担。</w:t>
      </w:r>
    </w:p>
    <w:p>
      <w:pPr>
        <w:spacing w:line="276" w:lineRule="auto"/>
        <w:ind w:firstLine="422" w:firstLineChars="200"/>
        <w:textAlignment w:val="baseline"/>
        <w:outlineLvl w:val="1"/>
        <w:rPr>
          <w:rFonts w:ascii="宋体" w:hAnsi="宋体" w:cs="宋体"/>
          <w:b/>
          <w:bCs/>
          <w:szCs w:val="21"/>
        </w:rPr>
      </w:pPr>
      <w:bookmarkStart w:id="249" w:name="_Toc1451"/>
      <w:r>
        <w:rPr>
          <w:rFonts w:hint="eastAsia" w:ascii="宋体" w:hAnsi="宋体" w:cs="宋体"/>
          <w:b/>
          <w:bCs/>
          <w:szCs w:val="21"/>
        </w:rPr>
        <w:t>四、投标报价说明</w:t>
      </w:r>
      <w:bookmarkEnd w:id="249"/>
    </w:p>
    <w:p>
      <w:pPr>
        <w:tabs>
          <w:tab w:val="left" w:pos="5250"/>
        </w:tabs>
        <w:spacing w:line="276" w:lineRule="auto"/>
        <w:ind w:firstLine="422" w:firstLineChars="200"/>
        <w:textAlignment w:val="baseline"/>
        <w:rPr>
          <w:rFonts w:ascii="宋体" w:hAnsi="宋体" w:cs="宋体"/>
          <w:szCs w:val="21"/>
        </w:rPr>
      </w:pPr>
      <w:r>
        <w:rPr>
          <w:rFonts w:hint="eastAsia" w:ascii="宋体" w:hAnsi="宋体" w:cs="宋体"/>
          <w:b/>
          <w:szCs w:val="21"/>
        </w:rPr>
        <w:t>1、投标限价</w:t>
      </w:r>
      <w:r>
        <w:rPr>
          <w:rFonts w:hint="eastAsia" w:ascii="宋体" w:hAnsi="宋体" w:cs="宋体"/>
          <w:szCs w:val="21"/>
        </w:rPr>
        <w:t xml:space="preserve">（招标控制价）是采购人根据国家或省级、行业建设主管部门颁发的有关计价依据和办法，以及本采购文件和招标工程量清单，结合工程具体情况编制的本次招标工程的最高投标限价。   </w:t>
      </w:r>
    </w:p>
    <w:p>
      <w:pPr>
        <w:widowControl/>
        <w:spacing w:line="276" w:lineRule="auto"/>
        <w:ind w:firstLine="422" w:firstLineChars="200"/>
        <w:rPr>
          <w:rFonts w:ascii="宋体" w:hAnsi="宋体" w:cs="宋体"/>
          <w:szCs w:val="21"/>
        </w:rPr>
      </w:pPr>
      <w:bookmarkStart w:id="250" w:name="_Toc26260"/>
      <w:r>
        <w:rPr>
          <w:rFonts w:hint="eastAsia" w:ascii="宋体" w:hAnsi="宋体" w:cs="宋体"/>
          <w:b/>
          <w:szCs w:val="21"/>
        </w:rPr>
        <w:t>2、投标报价要求</w:t>
      </w:r>
      <w:bookmarkEnd w:id="250"/>
    </w:p>
    <w:p>
      <w:pPr>
        <w:widowControl/>
        <w:spacing w:line="276" w:lineRule="auto"/>
        <w:ind w:firstLine="420" w:firstLineChars="200"/>
        <w:rPr>
          <w:rFonts w:ascii="宋体" w:hAnsi="宋体" w:cs="宋体"/>
          <w:szCs w:val="21"/>
        </w:rPr>
      </w:pPr>
      <w:r>
        <w:rPr>
          <w:rFonts w:hint="eastAsia" w:ascii="宋体" w:hAnsi="宋体" w:cs="宋体"/>
          <w:szCs w:val="21"/>
        </w:rPr>
        <w:t>2.1 投标报价范围</w:t>
      </w:r>
    </w:p>
    <w:p>
      <w:pPr>
        <w:widowControl/>
        <w:spacing w:line="276" w:lineRule="auto"/>
        <w:ind w:firstLine="420" w:firstLineChars="200"/>
        <w:rPr>
          <w:rFonts w:ascii="宋体" w:hAnsi="宋体" w:cs="宋体"/>
          <w:szCs w:val="21"/>
        </w:rPr>
      </w:pPr>
      <w:r>
        <w:rPr>
          <w:rFonts w:hint="eastAsia" w:ascii="宋体" w:hAnsi="宋体" w:cs="宋体"/>
          <w:szCs w:val="21"/>
        </w:rPr>
        <w:t>2.1.1投标报价为投标人在投标文件中提出的各项支付金额的总和。投标报价应包括投标人在承诺工期内，达到投标人所承诺的质量标准，为完成本工程施工图纸、招标文件及招标工程量清单所确定的招标范围内的全部内容，所需要支付的一切费用和拟获得的利润、税金，并考虑了应承担的风险。投标人应充分考虑为完成上述内容所必须的附属工程、临时工程、交通状况、夜间施工、现场材料堆放、环境保护、特殊条件施工、地方矛盾处理、直接和间接成本、利润、税金、风险费、材料损耗、劳务、现场施工围栏、施工用水、用电、竣工面的清理、垃圾清运、成品保护以及各种管线、建筑物、构筑物的围护以及政策性文件规定等所需的全部费用，并计入投标报价中，凡漏项或少计均视为已包含在本次投标报价的范围内，采购人不再另行增加费用，竣工结算时均不调整。</w:t>
      </w:r>
    </w:p>
    <w:p>
      <w:pPr>
        <w:widowControl/>
        <w:spacing w:line="276" w:lineRule="auto"/>
        <w:ind w:firstLine="420" w:firstLineChars="200"/>
        <w:rPr>
          <w:rFonts w:ascii="宋体" w:hAnsi="宋体" w:cs="宋体"/>
          <w:szCs w:val="21"/>
        </w:rPr>
      </w:pPr>
      <w:r>
        <w:rPr>
          <w:rFonts w:hint="eastAsia" w:ascii="宋体" w:hAnsi="宋体" w:cs="宋体"/>
          <w:szCs w:val="21"/>
        </w:rPr>
        <w:t>2.1.2投标报价清单中的单价和合价包括由投标人承担的直接费、间接费、计划利润、税金、其它费用、地方矛盾等全部费用以及应由投标人承担的义务、责任和风险所发生的一切费用。</w:t>
      </w:r>
    </w:p>
    <w:p>
      <w:pPr>
        <w:widowControl/>
        <w:spacing w:line="276" w:lineRule="auto"/>
        <w:ind w:firstLine="422" w:firstLineChars="200"/>
        <w:outlineLvl w:val="1"/>
        <w:rPr>
          <w:rFonts w:ascii="宋体" w:hAnsi="宋体" w:cs="宋体"/>
          <w:b/>
          <w:szCs w:val="21"/>
        </w:rPr>
      </w:pPr>
      <w:bookmarkStart w:id="251" w:name="_Toc12281"/>
      <w:r>
        <w:rPr>
          <w:rFonts w:hint="eastAsia" w:ascii="宋体" w:hAnsi="宋体" w:cs="宋体"/>
          <w:b/>
          <w:szCs w:val="21"/>
        </w:rPr>
        <w:t>五、主要合同条款</w:t>
      </w:r>
      <w:bookmarkEnd w:id="251"/>
    </w:p>
    <w:p>
      <w:pPr>
        <w:widowControl/>
        <w:spacing w:line="276" w:lineRule="auto"/>
        <w:ind w:firstLine="420" w:firstLineChars="200"/>
        <w:rPr>
          <w:rFonts w:ascii="宋体" w:hAnsi="宋体" w:cs="宋体"/>
          <w:szCs w:val="21"/>
        </w:rPr>
      </w:pPr>
      <w:r>
        <w:rPr>
          <w:rFonts w:hint="eastAsia" w:ascii="宋体" w:hAnsi="宋体" w:cs="宋体"/>
          <w:szCs w:val="21"/>
        </w:rPr>
        <w:t>1、投标承诺的项目负责人（项目经理）及项目组成员必须全部到场，投标中标的项目负责人（项目经理）必须到现场组织指挥施工，否则，按违约处理。</w:t>
      </w:r>
    </w:p>
    <w:p>
      <w:pPr>
        <w:widowControl/>
        <w:spacing w:line="276" w:lineRule="auto"/>
        <w:ind w:firstLine="420" w:firstLineChars="200"/>
        <w:rPr>
          <w:rFonts w:ascii="宋体" w:hAnsi="宋体" w:cs="宋体"/>
          <w:szCs w:val="21"/>
        </w:rPr>
      </w:pPr>
      <w:r>
        <w:rPr>
          <w:rFonts w:hint="eastAsia" w:ascii="宋体" w:hAnsi="宋体" w:cs="宋体"/>
          <w:szCs w:val="21"/>
        </w:rPr>
        <w:t>2、质量：国家“合格”标准且满足采购人要求。</w:t>
      </w:r>
    </w:p>
    <w:p>
      <w:pPr>
        <w:spacing w:line="276" w:lineRule="auto"/>
        <w:ind w:firstLine="420" w:firstLineChars="200"/>
        <w:rPr>
          <w:rFonts w:ascii="宋体" w:hAnsi="宋体" w:cs="宋体"/>
          <w:szCs w:val="21"/>
        </w:rPr>
      </w:pPr>
      <w:r>
        <w:rPr>
          <w:rFonts w:hint="eastAsia" w:ascii="宋体" w:hAnsi="宋体" w:cs="宋体"/>
          <w:szCs w:val="21"/>
        </w:rPr>
        <w:t>3、工期：合同签订后30天内完成工程建设及设备安装调试。</w:t>
      </w:r>
    </w:p>
    <w:p>
      <w:pPr>
        <w:spacing w:line="276" w:lineRule="auto"/>
        <w:ind w:firstLine="422" w:firstLineChars="200"/>
        <w:rPr>
          <w:b/>
          <w:bCs/>
          <w:color w:val="FF0000"/>
          <w:sz w:val="24"/>
        </w:rPr>
      </w:pPr>
      <w:r>
        <w:rPr>
          <w:rFonts w:hint="eastAsia" w:ascii="宋体" w:hAnsi="宋体" w:cs="宋体"/>
          <w:b/>
          <w:bCs/>
          <w:szCs w:val="21"/>
        </w:rPr>
        <w:t>注：【如因施工单位自身施工组织问题造成工期延误的，延误时间如超过3天，每延误一天，处罚1000元，如因工期延误，造成学校重大影响的，学校有权追究责任。（工程延误处罚款项在审计时直接扣除】。</w:t>
      </w:r>
    </w:p>
    <w:p>
      <w:pPr>
        <w:widowControl/>
        <w:spacing w:line="276" w:lineRule="auto"/>
        <w:ind w:firstLine="420" w:firstLineChars="200"/>
        <w:rPr>
          <w:rFonts w:ascii="宋体" w:hAnsi="宋体" w:cs="宋体"/>
          <w:szCs w:val="21"/>
        </w:rPr>
      </w:pPr>
      <w:r>
        <w:rPr>
          <w:rFonts w:hint="eastAsia" w:ascii="宋体" w:hAnsi="宋体" w:cs="宋体"/>
          <w:szCs w:val="21"/>
        </w:rPr>
        <w:t>4、安全施工： 此工程必须确保安全，若因成交供应商原因发生的不安全问题，由成交供应商自行负责处理并承担一切责任。</w:t>
      </w:r>
    </w:p>
    <w:p>
      <w:pPr>
        <w:widowControl/>
        <w:spacing w:line="276" w:lineRule="auto"/>
        <w:ind w:firstLine="420" w:firstLineChars="200"/>
        <w:rPr>
          <w:rFonts w:ascii="宋体" w:hAnsi="宋体" w:cs="宋体"/>
          <w:szCs w:val="21"/>
        </w:rPr>
      </w:pPr>
      <w:bookmarkStart w:id="252" w:name="_Toc14858"/>
      <w:r>
        <w:rPr>
          <w:rFonts w:hint="eastAsia" w:ascii="宋体" w:hAnsi="宋体" w:cs="宋体"/>
          <w:szCs w:val="21"/>
        </w:rPr>
        <w:t>5、工程结算：</w:t>
      </w:r>
      <w:bookmarkEnd w:id="252"/>
    </w:p>
    <w:p>
      <w:pPr>
        <w:widowControl/>
        <w:spacing w:line="276" w:lineRule="auto"/>
        <w:ind w:firstLine="420" w:firstLineChars="200"/>
        <w:rPr>
          <w:rFonts w:ascii="宋体" w:hAnsi="宋体" w:cs="宋体"/>
          <w:szCs w:val="21"/>
        </w:rPr>
      </w:pPr>
      <w:r>
        <w:rPr>
          <w:rFonts w:hint="eastAsia" w:ascii="宋体" w:hAnsi="宋体" w:cs="宋体"/>
          <w:szCs w:val="21"/>
        </w:rPr>
        <w:t>5.1本工程采用限定总价审计结算方法，按合同以中标单价和实际工作量计算总价，经审计后确认合同审计总价，但合同审计总价不得高于中标总价（不包含签证变更部分）。</w:t>
      </w:r>
    </w:p>
    <w:p>
      <w:pPr>
        <w:widowControl/>
        <w:spacing w:line="276" w:lineRule="auto"/>
        <w:ind w:firstLine="420" w:firstLineChars="200"/>
        <w:rPr>
          <w:rFonts w:ascii="宋体" w:hAnsi="宋体" w:cs="宋体"/>
          <w:szCs w:val="21"/>
        </w:rPr>
      </w:pPr>
      <w:r>
        <w:rPr>
          <w:rFonts w:hint="eastAsia" w:ascii="宋体" w:hAnsi="宋体" w:cs="宋体"/>
          <w:szCs w:val="21"/>
        </w:rPr>
        <w:t>5.2工程结算方式：</w:t>
      </w:r>
    </w:p>
    <w:p>
      <w:pPr>
        <w:widowControl/>
        <w:spacing w:line="276" w:lineRule="auto"/>
        <w:ind w:firstLine="420" w:firstLineChars="200"/>
        <w:rPr>
          <w:rFonts w:ascii="宋体" w:hAnsi="宋体" w:cs="宋体"/>
          <w:szCs w:val="21"/>
        </w:rPr>
      </w:pPr>
      <w:r>
        <w:rPr>
          <w:rFonts w:hint="eastAsia" w:ascii="宋体" w:hAnsi="宋体" w:cs="宋体"/>
          <w:szCs w:val="21"/>
        </w:rPr>
        <w:t>5.2.1本工程采用限定总价审计结算方法，按合同以中标单价和实际工作量计算总价，经审计后确认合同审计总价，但合同审计总价不得高于中标总价（不包含签证变更部分）。</w:t>
      </w:r>
    </w:p>
    <w:p>
      <w:pPr>
        <w:widowControl/>
        <w:spacing w:line="276" w:lineRule="auto"/>
        <w:ind w:firstLine="420" w:firstLineChars="200"/>
        <w:rPr>
          <w:rFonts w:ascii="宋体" w:hAnsi="宋体" w:cs="宋体"/>
          <w:szCs w:val="21"/>
        </w:rPr>
      </w:pPr>
      <w:r>
        <w:rPr>
          <w:rFonts w:hint="eastAsia" w:ascii="宋体" w:hAnsi="宋体" w:cs="宋体"/>
          <w:szCs w:val="21"/>
        </w:rPr>
        <w:t>5.2.2结算总价=合同审计总价+签证变更的审计总价。</w:t>
      </w:r>
    </w:p>
    <w:p>
      <w:pPr>
        <w:widowControl/>
        <w:spacing w:line="276" w:lineRule="auto"/>
        <w:ind w:firstLine="420" w:firstLineChars="200"/>
        <w:rPr>
          <w:rFonts w:ascii="宋体" w:hAnsi="宋体" w:cs="宋体"/>
          <w:szCs w:val="21"/>
        </w:rPr>
      </w:pPr>
      <w:r>
        <w:rPr>
          <w:rFonts w:hint="eastAsia" w:ascii="宋体" w:hAnsi="宋体" w:cs="宋体"/>
          <w:szCs w:val="21"/>
        </w:rPr>
        <w:t>5.2.3工程竣工验收合格后乙方应提交工程结算资料，要求资料齐全，计算准确，若本工程审计核减率(含复审)达10%(含10%以上的)，全部审计费用由施工单位承担，并由学校从施工单位的工程款中扣除；若核减率在5%-10%之间的，其审计费用由施工单位和建设单位各承担50%；若核减率(含复审)为5%及其以下的审计费用，由学校承担。</w:t>
      </w:r>
    </w:p>
    <w:p>
      <w:pPr>
        <w:widowControl/>
        <w:spacing w:line="276" w:lineRule="auto"/>
        <w:ind w:firstLine="420" w:firstLineChars="200"/>
        <w:rPr>
          <w:rFonts w:ascii="宋体" w:hAnsi="宋体" w:cs="宋体"/>
          <w:szCs w:val="21"/>
        </w:rPr>
      </w:pPr>
      <w:r>
        <w:rPr>
          <w:rFonts w:hint="eastAsia" w:ascii="宋体" w:hAnsi="宋体" w:cs="宋体"/>
          <w:szCs w:val="21"/>
        </w:rPr>
        <w:t>6、保修：本工程质保期</w:t>
      </w:r>
      <w:r>
        <w:rPr>
          <w:rFonts w:hint="eastAsia" w:ascii="宋体" w:hAnsi="宋体" w:cs="宋体"/>
          <w:b/>
          <w:bCs/>
          <w:szCs w:val="21"/>
          <w:u w:val="single"/>
        </w:rPr>
        <w:t>贰</w:t>
      </w:r>
      <w:r>
        <w:rPr>
          <w:rFonts w:hint="eastAsia" w:ascii="宋体" w:hAnsi="宋体" w:cs="宋体"/>
          <w:szCs w:val="21"/>
        </w:rPr>
        <w:t>年。质量保修期从工程竣工验收合格之日起计算，具体保修范围、保修期限、保修责任、保修金的支付、返还应按《建设工程质量管理条例》和《房屋建筑工程质量保修办法》及双方约定执行；</w:t>
      </w:r>
    </w:p>
    <w:p>
      <w:pPr>
        <w:widowControl/>
        <w:spacing w:line="276" w:lineRule="auto"/>
        <w:ind w:firstLine="420" w:firstLineChars="200"/>
        <w:rPr>
          <w:rFonts w:hint="eastAsia" w:ascii="宋体" w:hAnsi="宋体" w:cs="宋体"/>
          <w:szCs w:val="21"/>
        </w:rPr>
      </w:pPr>
      <w:r>
        <w:rPr>
          <w:rFonts w:hint="eastAsia" w:ascii="宋体" w:hAnsi="宋体" w:cs="宋体"/>
          <w:szCs w:val="21"/>
        </w:rPr>
        <w:t>6.1在质保期内，若设备因质量或设备本身问题出现故障，由成交供应商进行免费更换。对于采购人的保修服务通知，成交供应商必须在接到通知后4小时内予以响应，若有必要，成交供应商工程维修人员必须8小时内到达现场，48小时内处理完毕。若在48小时内未能有效解决，成交供应商须免费提供同档次的设备予采购人临时使用。</w:t>
      </w:r>
    </w:p>
    <w:p>
      <w:pPr>
        <w:widowControl/>
        <w:spacing w:line="276" w:lineRule="auto"/>
        <w:ind w:firstLine="420" w:firstLineChars="200"/>
      </w:pPr>
      <w:r>
        <w:rPr>
          <w:rFonts w:hint="eastAsia" w:ascii="宋体" w:hAnsi="宋体" w:cs="宋体"/>
          <w:szCs w:val="21"/>
        </w:rPr>
        <w:t>质保期外，服务响应时间与质保期内一致，同时备品备件以合理优惠价格供应。</w:t>
      </w:r>
    </w:p>
    <w:p>
      <w:pPr>
        <w:widowControl/>
        <w:spacing w:line="276" w:lineRule="auto"/>
        <w:ind w:firstLine="420" w:firstLineChars="200"/>
        <w:rPr>
          <w:rFonts w:ascii="宋体" w:hAnsi="宋体" w:cs="宋体"/>
          <w:szCs w:val="21"/>
        </w:rPr>
      </w:pPr>
      <w:r>
        <w:rPr>
          <w:rFonts w:hint="eastAsia" w:ascii="宋体" w:hAnsi="宋体" w:cs="宋体"/>
          <w:szCs w:val="21"/>
        </w:rPr>
        <w:t>7、分包：招标人不允许成交供应商将工程转包和违法分包给任何第三方，如发现转包或违法分包行为，限令改正，否则招标人有权立即中止合同，扣除履约担保，成交供应商负违约责任。</w:t>
      </w:r>
    </w:p>
    <w:p>
      <w:pPr>
        <w:widowControl/>
        <w:spacing w:line="276" w:lineRule="auto"/>
        <w:ind w:firstLine="420" w:firstLineChars="200"/>
        <w:rPr>
          <w:rFonts w:ascii="宋体" w:hAnsi="宋体" w:cs="宋体"/>
          <w:szCs w:val="21"/>
        </w:rPr>
      </w:pPr>
      <w:r>
        <w:rPr>
          <w:rFonts w:hint="eastAsia" w:ascii="宋体" w:hAnsi="宋体" w:cs="宋体"/>
          <w:szCs w:val="21"/>
        </w:rPr>
        <w:t>8、违约责任：按《民法典》执行。</w:t>
      </w:r>
    </w:p>
    <w:p>
      <w:pPr>
        <w:widowControl/>
        <w:spacing w:line="276" w:lineRule="auto"/>
        <w:ind w:firstLine="420" w:firstLineChars="200"/>
        <w:rPr>
          <w:rFonts w:ascii="宋体" w:hAnsi="宋体" w:cs="宋体"/>
          <w:szCs w:val="21"/>
        </w:rPr>
      </w:pPr>
      <w:r>
        <w:rPr>
          <w:rFonts w:hint="eastAsia" w:ascii="宋体" w:hAnsi="宋体" w:cs="宋体"/>
          <w:szCs w:val="21"/>
        </w:rPr>
        <w:t>9、特别说明</w:t>
      </w:r>
    </w:p>
    <w:p>
      <w:pPr>
        <w:widowControl/>
        <w:spacing w:line="276" w:lineRule="auto"/>
        <w:ind w:firstLine="420" w:firstLineChars="200"/>
        <w:rPr>
          <w:rFonts w:ascii="宋体" w:hAnsi="宋体" w:cs="宋体"/>
          <w:szCs w:val="21"/>
        </w:rPr>
      </w:pPr>
      <w:r>
        <w:rPr>
          <w:rFonts w:hint="eastAsia" w:ascii="宋体" w:hAnsi="宋体" w:cs="宋体"/>
          <w:szCs w:val="21"/>
        </w:rPr>
        <w:t>9.1该工程施工过程中项目经理和投标时确认的项目部人员必须常驻现场实施施工管理，并参与建设单位的日常考勤。中途项目经理和项目部人员需离岗必须履行书面请假手续并经招标人同意。若未经招标人同意而擅自离岗的，将处以每人每天 500 元的违约金，在支付工程款时从应付的工程款中扣除。若擅自离岗连续达7 天以上的，经招标人提出仍未改正的，招标人有权终止合同，因此给招标人造成损失的，招标人将依法追偿。</w:t>
      </w:r>
    </w:p>
    <w:p>
      <w:pPr>
        <w:widowControl/>
        <w:spacing w:line="276" w:lineRule="auto"/>
        <w:ind w:firstLine="420" w:firstLineChars="200"/>
        <w:rPr>
          <w:rFonts w:ascii="宋体" w:hAnsi="宋体" w:cs="宋体"/>
          <w:szCs w:val="21"/>
        </w:rPr>
      </w:pPr>
      <w:r>
        <w:rPr>
          <w:rFonts w:hint="eastAsia" w:ascii="宋体" w:hAnsi="宋体" w:cs="宋体"/>
          <w:szCs w:val="21"/>
        </w:rPr>
        <w:t>9.2成交供应商在选择材料、设备时，应在满足本项目设计标准、质量和使用要求的前提下，选用同档次的优质优价的产品。</w:t>
      </w:r>
    </w:p>
    <w:p>
      <w:pPr>
        <w:widowControl/>
        <w:spacing w:line="276" w:lineRule="auto"/>
        <w:ind w:firstLine="420" w:firstLineChars="200"/>
        <w:rPr>
          <w:rFonts w:ascii="宋体" w:hAnsi="宋体" w:cs="宋体"/>
          <w:szCs w:val="21"/>
        </w:rPr>
      </w:pPr>
      <w:r>
        <w:rPr>
          <w:rFonts w:hint="eastAsia" w:ascii="宋体" w:hAnsi="宋体" w:cs="宋体"/>
          <w:szCs w:val="21"/>
        </w:rPr>
        <w:t>9.3成交供应商已对现场进行了充分勘察，并将临时施工便道考虑在投标报价中，费用包干，成交供应商提出与此有关费用的索赔招标人不予支付。</w:t>
      </w:r>
    </w:p>
    <w:p>
      <w:pPr>
        <w:widowControl/>
        <w:spacing w:line="276" w:lineRule="auto"/>
        <w:ind w:firstLine="420" w:firstLineChars="200"/>
        <w:rPr>
          <w:rFonts w:ascii="宋体" w:hAnsi="宋体" w:cs="宋体"/>
          <w:szCs w:val="21"/>
        </w:rPr>
      </w:pPr>
      <w:r>
        <w:rPr>
          <w:rFonts w:hint="eastAsia" w:ascii="宋体" w:hAnsi="宋体" w:cs="宋体"/>
          <w:szCs w:val="21"/>
        </w:rPr>
        <w:t>9.4成交供应商已进行现场勘察，并将从招标人指定的水、电接口接至施工现场的电缆、水管等材料及施工费用考虑在投标报价中，费用包干；施工过程中所用水、电向建设单位协调，费用交建设单位。水电费损耗按所用水、电量占总用水、电量比率分摊。</w:t>
      </w:r>
    </w:p>
    <w:p>
      <w:pPr>
        <w:widowControl/>
        <w:spacing w:line="276" w:lineRule="auto"/>
        <w:ind w:firstLine="420" w:firstLineChars="200"/>
        <w:rPr>
          <w:rFonts w:ascii="宋体" w:hAnsi="宋体" w:cs="宋体"/>
          <w:szCs w:val="21"/>
        </w:rPr>
      </w:pPr>
      <w:r>
        <w:rPr>
          <w:rFonts w:hint="eastAsia" w:ascii="宋体" w:hAnsi="宋体" w:cs="宋体"/>
          <w:szCs w:val="21"/>
        </w:rPr>
        <w:t>9.5成交供应商在投标时已充分考虑在施工期间必须设置醒目的交通安全标志、标牌及警示灯，同时保证道路正常通行。</w:t>
      </w:r>
    </w:p>
    <w:p>
      <w:pPr>
        <w:widowControl/>
        <w:spacing w:line="276" w:lineRule="auto"/>
        <w:ind w:firstLine="420" w:firstLineChars="200"/>
        <w:rPr>
          <w:rFonts w:ascii="宋体" w:hAnsi="宋体" w:cs="宋体"/>
          <w:szCs w:val="21"/>
        </w:rPr>
      </w:pPr>
      <w:r>
        <w:rPr>
          <w:rFonts w:hint="eastAsia" w:ascii="宋体" w:hAnsi="宋体" w:cs="宋体"/>
          <w:szCs w:val="21"/>
        </w:rPr>
        <w:t>9.6成交供应商必须到现场进行勘察向招标人了解施工现状，充分考虑本工程施工中可预见或不可预见的情况，各项事宜必须服从招标人安排和管理。</w:t>
      </w:r>
    </w:p>
    <w:p>
      <w:pPr>
        <w:widowControl/>
        <w:spacing w:line="276" w:lineRule="auto"/>
        <w:ind w:firstLine="420" w:firstLineChars="200"/>
        <w:rPr>
          <w:rFonts w:ascii="宋体" w:hAnsi="宋体" w:cs="宋体"/>
          <w:szCs w:val="21"/>
        </w:rPr>
      </w:pPr>
      <w:r>
        <w:rPr>
          <w:rFonts w:hint="eastAsia" w:ascii="宋体" w:hAnsi="宋体" w:cs="宋体"/>
          <w:szCs w:val="21"/>
        </w:rPr>
        <w:t>9.7工程价款一律通过银行非现金结算。</w:t>
      </w:r>
    </w:p>
    <w:p>
      <w:pPr>
        <w:spacing w:line="276" w:lineRule="auto"/>
        <w:rPr>
          <w:sz w:val="20"/>
        </w:rPr>
      </w:pPr>
    </w:p>
    <w:p>
      <w:pPr>
        <w:spacing w:line="276" w:lineRule="auto"/>
        <w:ind w:firstLine="442" w:firstLineChars="200"/>
        <w:rPr>
          <w:sz w:val="20"/>
        </w:rPr>
      </w:pPr>
      <w:r>
        <w:rPr>
          <w:rFonts w:hint="eastAsia" w:ascii="宋体" w:hAnsi="宋体" w:cs="宋体"/>
          <w:b/>
          <w:sz w:val="22"/>
        </w:rPr>
        <w:t>注：采购标的的所属行业为</w:t>
      </w:r>
      <w:r>
        <w:rPr>
          <w:rFonts w:hint="eastAsia" w:ascii="宋体" w:hAnsi="宋体" w:cs="宋体"/>
          <w:b/>
          <w:sz w:val="22"/>
          <w:u w:val="single"/>
        </w:rPr>
        <w:t xml:space="preserve">  建筑业  </w:t>
      </w:r>
      <w:r>
        <w:rPr>
          <w:rFonts w:hint="eastAsia" w:ascii="宋体" w:hAnsi="宋体" w:cs="宋体"/>
          <w:b/>
          <w:sz w:val="22"/>
        </w:rPr>
        <w:t>，根据《工业和信息化部、国家统计局、国家发展和改革委员会、财政部关于印发中小企业划型标准规定的通知》（工信部联企业[2011]300号）规定的划分标准填写。</w:t>
      </w:r>
    </w:p>
    <w:p>
      <w:pPr>
        <w:pStyle w:val="2"/>
        <w:ind w:left="0" w:leftChars="0"/>
        <w:rPr>
          <w:sz w:val="20"/>
        </w:rPr>
      </w:pPr>
    </w:p>
    <w:p>
      <w:pPr>
        <w:spacing w:line="480" w:lineRule="auto"/>
        <w:jc w:val="center"/>
        <w:rPr>
          <w:rFonts w:ascii="宋体" w:hAnsi="宋体" w:cs="宋体"/>
          <w:b/>
          <w:bCs/>
          <w:sz w:val="32"/>
          <w:szCs w:val="21"/>
        </w:rPr>
      </w:pPr>
    </w:p>
    <w:p>
      <w:pPr>
        <w:spacing w:line="480" w:lineRule="auto"/>
        <w:jc w:val="both"/>
        <w:outlineLvl w:val="1"/>
        <w:rPr>
          <w:rFonts w:hint="eastAsia" w:ascii="宋体" w:hAnsi="宋体" w:cs="宋体"/>
          <w:b/>
          <w:bCs/>
          <w:sz w:val="32"/>
          <w:szCs w:val="21"/>
        </w:rPr>
      </w:pPr>
    </w:p>
    <w:p>
      <w:pPr>
        <w:spacing w:line="480" w:lineRule="auto"/>
        <w:jc w:val="center"/>
        <w:outlineLvl w:val="1"/>
        <w:rPr>
          <w:rFonts w:ascii="宋体" w:hAnsi="宋体" w:cs="宋体"/>
          <w:b/>
          <w:bCs/>
          <w:sz w:val="32"/>
          <w:szCs w:val="21"/>
        </w:rPr>
      </w:pPr>
      <w:bookmarkStart w:id="253" w:name="_Toc3902"/>
      <w:r>
        <w:rPr>
          <w:rFonts w:hint="eastAsia" w:ascii="宋体" w:hAnsi="宋体" w:cs="宋体"/>
          <w:b/>
          <w:bCs/>
          <w:sz w:val="32"/>
          <w:szCs w:val="21"/>
        </w:rPr>
        <w:t xml:space="preserve">第二项 </w:t>
      </w:r>
      <w:r>
        <w:rPr>
          <w:rFonts w:hint="eastAsia" w:ascii="宋体" w:hAnsi="宋体" w:cs="宋体"/>
          <w:b/>
          <w:sz w:val="32"/>
          <w:szCs w:val="21"/>
        </w:rPr>
        <w:t>政府采购合同（拟签订的合同文本</w:t>
      </w:r>
      <w:r>
        <w:rPr>
          <w:rFonts w:hint="eastAsia" w:ascii="宋体" w:hAnsi="宋体" w:cs="宋体"/>
          <w:b/>
          <w:bCs/>
          <w:sz w:val="32"/>
          <w:szCs w:val="21"/>
        </w:rPr>
        <w:t>）</w:t>
      </w:r>
      <w:bookmarkEnd w:id="253"/>
    </w:p>
    <w:p>
      <w:pPr>
        <w:rPr>
          <w:rFonts w:ascii="宋体" w:hAnsi="宋体" w:cs="Calibri"/>
          <w:b/>
          <w:szCs w:val="21"/>
        </w:rPr>
      </w:pPr>
    </w:p>
    <w:p>
      <w:pPr>
        <w:jc w:val="center"/>
        <w:rPr>
          <w:rFonts w:asciiTheme="minorEastAsia" w:hAnsiTheme="minorEastAsia" w:eastAsiaTheme="minorEastAsia"/>
          <w:b/>
          <w:sz w:val="84"/>
        </w:rPr>
      </w:pPr>
      <w:r>
        <w:rPr>
          <w:rFonts w:hint="eastAsia" w:asciiTheme="minorEastAsia" w:hAnsiTheme="minorEastAsia" w:eastAsiaTheme="minorEastAsia"/>
          <w:b/>
          <w:sz w:val="84"/>
        </w:rPr>
        <w:t>建设工程施工合同</w:t>
      </w:r>
    </w:p>
    <w:p>
      <w:pPr>
        <w:jc w:val="center"/>
        <w:rPr>
          <w:rFonts w:asciiTheme="minorEastAsia" w:hAnsiTheme="minorEastAsia" w:eastAsiaTheme="minorEastAsia"/>
          <w:b/>
          <w:sz w:val="52"/>
        </w:rPr>
      </w:pPr>
    </w:p>
    <w:p>
      <w:pPr>
        <w:pStyle w:val="17"/>
        <w:jc w:val="center"/>
        <w:rPr>
          <w:b/>
          <w:sz w:val="36"/>
        </w:rPr>
      </w:pPr>
      <w:bookmarkStart w:id="254" w:name="_Toc14410"/>
      <w:bookmarkStart w:id="255" w:name="_Toc5280"/>
      <w:bookmarkStart w:id="256" w:name="_Toc15708"/>
      <w:bookmarkStart w:id="257" w:name="_Toc13205"/>
      <w:r>
        <w:rPr>
          <w:rFonts w:hint="eastAsia"/>
          <w:sz w:val="36"/>
        </w:rPr>
        <w:t>GF-1999-0201</w:t>
      </w:r>
      <w:bookmarkEnd w:id="254"/>
      <w:bookmarkEnd w:id="255"/>
      <w:bookmarkEnd w:id="256"/>
      <w:bookmarkEnd w:id="257"/>
    </w:p>
    <w:p>
      <w:pPr>
        <w:rPr>
          <w:rFonts w:asciiTheme="minorEastAsia" w:hAnsiTheme="minorEastAsia" w:eastAsiaTheme="minorEastAsia"/>
        </w:rPr>
      </w:pPr>
    </w:p>
    <w:p>
      <w:pPr>
        <w:rPr>
          <w:rFonts w:asciiTheme="minorEastAsia" w:hAnsiTheme="minorEastAsia" w:eastAsiaTheme="minorEastAsia"/>
          <w:sz w:val="44"/>
        </w:rPr>
      </w:pPr>
    </w:p>
    <w:p>
      <w:pPr>
        <w:spacing w:line="700" w:lineRule="exact"/>
        <w:ind w:firstLine="1440"/>
        <w:rPr>
          <w:rFonts w:asciiTheme="minorEastAsia" w:hAnsiTheme="minorEastAsia" w:eastAsiaTheme="minorEastAsia"/>
          <w:sz w:val="44"/>
        </w:rPr>
      </w:pPr>
      <w:r>
        <w:rPr>
          <w:rFonts w:hint="eastAsia" w:asciiTheme="minorEastAsia" w:hAnsiTheme="minorEastAsia" w:eastAsiaTheme="minorEastAsia"/>
          <w:sz w:val="44"/>
        </w:rPr>
        <w:t>江  苏  省  建 设 厅</w:t>
      </w:r>
    </w:p>
    <w:p>
      <w:pPr>
        <w:spacing w:line="700" w:lineRule="exact"/>
        <w:ind w:firstLine="1440"/>
        <w:jc w:val="center"/>
        <w:rPr>
          <w:rFonts w:asciiTheme="minorEastAsia" w:hAnsiTheme="minorEastAsia" w:eastAsiaTheme="minorEastAsia"/>
          <w:sz w:val="44"/>
        </w:rPr>
      </w:pPr>
      <w:r>
        <w:rPr>
          <w:rFonts w:hint="eastAsia" w:asciiTheme="minorEastAsia" w:hAnsiTheme="minorEastAsia" w:eastAsiaTheme="minorEastAsia"/>
          <w:sz w:val="44"/>
        </w:rPr>
        <w:t xml:space="preserve">                   监制</w:t>
      </w:r>
    </w:p>
    <w:p>
      <w:pPr>
        <w:spacing w:line="700" w:lineRule="exact"/>
        <w:ind w:firstLine="1315" w:firstLineChars="299"/>
        <w:rPr>
          <w:rFonts w:asciiTheme="minorEastAsia" w:hAnsiTheme="minorEastAsia" w:eastAsiaTheme="minorEastAsia"/>
          <w:sz w:val="44"/>
        </w:rPr>
      </w:pPr>
      <w:r>
        <w:rPr>
          <w:rFonts w:hint="eastAsia" w:asciiTheme="minorEastAsia" w:hAnsiTheme="minorEastAsia" w:eastAsiaTheme="minorEastAsia"/>
          <w:sz w:val="44"/>
        </w:rPr>
        <w:t>江苏省工商行政管理厅</w:t>
      </w:r>
    </w:p>
    <w:p>
      <w:pPr>
        <w:rPr>
          <w:rFonts w:ascii="宋体" w:hAnsi="宋体" w:cs="Calibri"/>
          <w:b/>
          <w:szCs w:val="21"/>
        </w:rPr>
      </w:pPr>
    </w:p>
    <w:p>
      <w:pPr>
        <w:pStyle w:val="9"/>
      </w:pPr>
    </w:p>
    <w:p>
      <w:pPr>
        <w:pStyle w:val="10"/>
        <w:outlineLvl w:val="9"/>
      </w:pPr>
    </w:p>
    <w:p>
      <w:pPr>
        <w:pStyle w:val="12"/>
        <w:rPr>
          <w:color w:val="auto"/>
        </w:rPr>
      </w:pPr>
    </w:p>
    <w:p/>
    <w:p>
      <w:pPr>
        <w:pStyle w:val="9"/>
      </w:pPr>
    </w:p>
    <w:p>
      <w:pPr>
        <w:pStyle w:val="10"/>
        <w:outlineLvl w:val="9"/>
      </w:pPr>
    </w:p>
    <w:p>
      <w:pPr>
        <w:pStyle w:val="12"/>
        <w:rPr>
          <w:color w:val="auto"/>
        </w:rPr>
      </w:pPr>
    </w:p>
    <w:p/>
    <w:p>
      <w:pPr>
        <w:pStyle w:val="28"/>
        <w:ind w:firstLine="210"/>
      </w:pPr>
    </w:p>
    <w:p/>
    <w:p>
      <w:pPr>
        <w:pStyle w:val="28"/>
        <w:ind w:firstLine="210"/>
      </w:pPr>
    </w:p>
    <w:p/>
    <w:p>
      <w:pPr>
        <w:pStyle w:val="28"/>
        <w:ind w:firstLine="210"/>
      </w:pPr>
    </w:p>
    <w:p/>
    <w:p>
      <w:pPr>
        <w:pStyle w:val="28"/>
        <w:ind w:firstLine="210"/>
      </w:pPr>
    </w:p>
    <w:p/>
    <w:p>
      <w:pPr>
        <w:spacing w:line="440" w:lineRule="exact"/>
        <w:jc w:val="center"/>
        <w:rPr>
          <w:rFonts w:asciiTheme="minorEastAsia" w:hAnsiTheme="minorEastAsia" w:eastAsiaTheme="minorEastAsia" w:cstheme="minorEastAsia"/>
          <w:b/>
          <w:bCs/>
          <w:sz w:val="22"/>
          <w:szCs w:val="21"/>
        </w:rPr>
      </w:pPr>
    </w:p>
    <w:p>
      <w:pPr>
        <w:spacing w:line="276" w:lineRule="auto"/>
        <w:jc w:val="center"/>
        <w:rPr>
          <w:rFonts w:asciiTheme="minorEastAsia" w:hAnsiTheme="minorEastAsia" w:eastAsiaTheme="minorEastAsia" w:cstheme="minorEastAsia"/>
          <w:b/>
          <w:bCs/>
          <w:szCs w:val="21"/>
        </w:rPr>
      </w:pPr>
    </w:p>
    <w:p>
      <w:pPr>
        <w:spacing w:line="276" w:lineRule="auto"/>
        <w:jc w:val="center"/>
        <w:outlineLvl w:val="2"/>
        <w:rPr>
          <w:rFonts w:asciiTheme="minorEastAsia" w:hAnsiTheme="minorEastAsia" w:eastAsiaTheme="minorEastAsia" w:cstheme="minorEastAsia"/>
          <w:b/>
          <w:bCs/>
          <w:szCs w:val="21"/>
        </w:rPr>
      </w:pPr>
      <w:bookmarkStart w:id="258" w:name="_Toc29907"/>
      <w:r>
        <w:rPr>
          <w:rFonts w:hint="eastAsia" w:asciiTheme="minorEastAsia" w:hAnsiTheme="minorEastAsia" w:eastAsiaTheme="minorEastAsia" w:cstheme="minorEastAsia"/>
          <w:b/>
          <w:bCs/>
          <w:szCs w:val="21"/>
        </w:rPr>
        <w:t>第一部分  协议书</w:t>
      </w:r>
      <w:bookmarkEnd w:id="258"/>
    </w:p>
    <w:p>
      <w:pPr>
        <w:spacing w:line="440" w:lineRule="exact"/>
        <w:rPr>
          <w:rFonts w:asciiTheme="minorEastAsia" w:hAnsiTheme="minorEastAsia" w:eastAsiaTheme="minorEastAsia" w:cstheme="minorEastAsia"/>
          <w:szCs w:val="21"/>
        </w:rPr>
      </w:pPr>
    </w:p>
    <w:p>
      <w:pPr>
        <w:rPr>
          <w:rFonts w:asciiTheme="minorEastAsia" w:hAnsiTheme="minorEastAsia" w:eastAsiaTheme="minorEastAsia" w:cstheme="minorEastAsia"/>
          <w:spacing w:val="12"/>
          <w:szCs w:val="21"/>
        </w:rPr>
      </w:pPr>
      <w:r>
        <w:rPr>
          <w:rFonts w:hint="eastAsia" w:asciiTheme="minorEastAsia" w:hAnsiTheme="minorEastAsia" w:eastAsiaTheme="minorEastAsia" w:cstheme="minorEastAsia"/>
          <w:szCs w:val="21"/>
        </w:rPr>
        <w:t>发包人（全称）：</w:t>
      </w:r>
      <w:r>
        <w:rPr>
          <w:rFonts w:hint="eastAsia" w:asciiTheme="minorEastAsia" w:hAnsiTheme="minorEastAsia" w:eastAsiaTheme="minorEastAsia" w:cstheme="minorEastAsia"/>
          <w:szCs w:val="21"/>
          <w:u w:val="single"/>
        </w:rPr>
        <w:t xml:space="preserve">江苏医药职业学院            </w:t>
      </w:r>
    </w:p>
    <w:p>
      <w:pP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承包人（全称）：</w:t>
      </w:r>
    </w:p>
    <w:p>
      <w:pPr>
        <w:pStyle w:val="13"/>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依照《中华人民共和国民法典》、《中华人民共和国建筑法》及其他有关法律、行政法规，遵循平等、自愿、公平和诚实信用的原则，双方就本建设工程施工事项协商一致，订立本合同。</w:t>
      </w:r>
    </w:p>
    <w:p>
      <w:pPr>
        <w:outlineLvl w:val="1"/>
        <w:rPr>
          <w:rFonts w:asciiTheme="minorEastAsia" w:hAnsiTheme="minorEastAsia" w:eastAsiaTheme="minorEastAsia" w:cstheme="minorEastAsia"/>
          <w:szCs w:val="21"/>
        </w:rPr>
      </w:pPr>
      <w:bookmarkStart w:id="259" w:name="_Toc24656"/>
      <w:bookmarkStart w:id="260" w:name="_Toc8217"/>
      <w:r>
        <w:rPr>
          <w:rFonts w:hint="eastAsia" w:asciiTheme="minorEastAsia" w:hAnsiTheme="minorEastAsia" w:eastAsiaTheme="minorEastAsia" w:cstheme="minorEastAsia"/>
          <w:szCs w:val="21"/>
        </w:rPr>
        <w:t>一、工程概况</w:t>
      </w:r>
      <w:bookmarkEnd w:id="259"/>
      <w:bookmarkEnd w:id="260"/>
    </w:p>
    <w:p>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工程名称 ： </w:t>
      </w:r>
    </w:p>
    <w:p>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工程地点：</w:t>
      </w:r>
      <w:r>
        <w:rPr>
          <w:rFonts w:hint="eastAsia" w:asciiTheme="minorEastAsia" w:hAnsiTheme="minorEastAsia" w:eastAsiaTheme="minorEastAsia" w:cstheme="minorEastAsia"/>
          <w:szCs w:val="21"/>
          <w:u w:val="single"/>
        </w:rPr>
        <w:t xml:space="preserve">江苏医药职业学院内                            </w:t>
      </w:r>
    </w:p>
    <w:p>
      <w:pPr>
        <w:ind w:firstLine="420" w:firstLineChars="200"/>
        <w:rPr>
          <w:rFonts w:asciiTheme="minorEastAsia" w:hAnsiTheme="minorEastAsia" w:eastAsiaTheme="minorEastAsia" w:cstheme="minorEastAsia"/>
          <w:b/>
          <w:bCs/>
          <w:kern w:val="0"/>
          <w:szCs w:val="21"/>
          <w:u w:val="single"/>
        </w:rPr>
      </w:pPr>
      <w:r>
        <w:rPr>
          <w:rFonts w:hint="eastAsia" w:asciiTheme="minorEastAsia" w:hAnsiTheme="minorEastAsia" w:eastAsiaTheme="minorEastAsia" w:cstheme="minorEastAsia"/>
          <w:szCs w:val="21"/>
        </w:rPr>
        <w:t>工程内容：</w:t>
      </w:r>
      <w:r>
        <w:rPr>
          <w:rFonts w:hint="eastAsia" w:asciiTheme="minorEastAsia" w:hAnsiTheme="minorEastAsia" w:eastAsiaTheme="minorEastAsia" w:cstheme="minorEastAsia"/>
          <w:szCs w:val="21"/>
          <w:u w:val="single"/>
        </w:rPr>
        <w:t>项目</w:t>
      </w:r>
      <w:r>
        <w:rPr>
          <w:rFonts w:hint="eastAsia" w:asciiTheme="minorEastAsia" w:hAnsiTheme="minorEastAsia" w:eastAsiaTheme="minorEastAsia" w:cstheme="minorEastAsia"/>
          <w:bCs/>
          <w:spacing w:val="3"/>
          <w:szCs w:val="21"/>
          <w:u w:val="single"/>
        </w:rPr>
        <w:t>施工，具体以招标文件</w:t>
      </w:r>
      <w:r>
        <w:rPr>
          <w:rFonts w:hint="eastAsia" w:asciiTheme="minorEastAsia" w:hAnsiTheme="minorEastAsia" w:eastAsiaTheme="minorEastAsia" w:cstheme="minorEastAsia"/>
          <w:b/>
          <w:bCs/>
          <w:spacing w:val="3"/>
          <w:szCs w:val="21"/>
          <w:u w:val="single"/>
        </w:rPr>
        <w:t>招标内容及详细的做法要求和招标人要求为准</w:t>
      </w:r>
      <w:r>
        <w:rPr>
          <w:rFonts w:hint="eastAsia" w:asciiTheme="minorEastAsia" w:hAnsiTheme="minorEastAsia" w:eastAsiaTheme="minorEastAsia" w:cstheme="minorEastAsia"/>
          <w:bCs/>
          <w:spacing w:val="3"/>
          <w:szCs w:val="21"/>
          <w:u w:val="single"/>
        </w:rPr>
        <w:t>。</w:t>
      </w:r>
    </w:p>
    <w:p>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资金来源：</w:t>
      </w:r>
      <w:r>
        <w:rPr>
          <w:rFonts w:hint="eastAsia" w:asciiTheme="minorEastAsia" w:hAnsiTheme="minorEastAsia" w:eastAsiaTheme="minorEastAsia" w:cstheme="minorEastAsia"/>
          <w:szCs w:val="21"/>
          <w:u w:val="single"/>
        </w:rPr>
        <w:t>自筹,现已落实</w:t>
      </w:r>
    </w:p>
    <w:p>
      <w:pPr>
        <w:outlineLvl w:val="1"/>
        <w:rPr>
          <w:rFonts w:asciiTheme="minorEastAsia" w:hAnsiTheme="minorEastAsia" w:eastAsiaTheme="minorEastAsia" w:cstheme="minorEastAsia"/>
          <w:szCs w:val="21"/>
        </w:rPr>
      </w:pPr>
      <w:bookmarkStart w:id="261" w:name="_Toc29622"/>
      <w:bookmarkStart w:id="262" w:name="_Toc6055"/>
      <w:r>
        <w:rPr>
          <w:rFonts w:hint="eastAsia" w:asciiTheme="minorEastAsia" w:hAnsiTheme="minorEastAsia" w:eastAsiaTheme="minorEastAsia" w:cstheme="minorEastAsia"/>
          <w:szCs w:val="21"/>
        </w:rPr>
        <w:t>二、工程承包范围</w:t>
      </w:r>
      <w:bookmarkEnd w:id="261"/>
      <w:bookmarkEnd w:id="262"/>
    </w:p>
    <w:p>
      <w:pPr>
        <w:ind w:firstLine="420" w:firstLineChars="200"/>
        <w:rPr>
          <w:rFonts w:asciiTheme="minorEastAsia" w:hAnsiTheme="minorEastAsia" w:eastAsiaTheme="minorEastAsia" w:cstheme="minorEastAsia"/>
          <w:bCs/>
          <w:spacing w:val="3"/>
          <w:szCs w:val="21"/>
          <w:u w:val="single"/>
        </w:rPr>
      </w:pPr>
      <w:r>
        <w:rPr>
          <w:rFonts w:hint="eastAsia" w:asciiTheme="minorEastAsia" w:hAnsiTheme="minorEastAsia" w:eastAsiaTheme="minorEastAsia" w:cstheme="minorEastAsia"/>
          <w:szCs w:val="21"/>
        </w:rPr>
        <w:t>承包范围：</w:t>
      </w:r>
      <w:r>
        <w:rPr>
          <w:rFonts w:hint="eastAsia" w:asciiTheme="minorEastAsia" w:hAnsiTheme="minorEastAsia" w:eastAsiaTheme="minorEastAsia" w:cstheme="minorEastAsia"/>
          <w:szCs w:val="21"/>
          <w:u w:val="single"/>
        </w:rPr>
        <w:t>项目施工</w:t>
      </w:r>
      <w:r>
        <w:rPr>
          <w:rFonts w:hint="eastAsia" w:asciiTheme="minorEastAsia" w:hAnsiTheme="minorEastAsia" w:eastAsiaTheme="minorEastAsia" w:cstheme="minorEastAsia"/>
          <w:bCs/>
          <w:spacing w:val="3"/>
          <w:szCs w:val="21"/>
          <w:u w:val="single"/>
        </w:rPr>
        <w:t>，具体以招标文件</w:t>
      </w:r>
      <w:r>
        <w:rPr>
          <w:rFonts w:hint="eastAsia" w:asciiTheme="minorEastAsia" w:hAnsiTheme="minorEastAsia" w:eastAsiaTheme="minorEastAsia" w:cstheme="minorEastAsia"/>
          <w:b/>
          <w:bCs/>
          <w:spacing w:val="3"/>
          <w:szCs w:val="21"/>
          <w:u w:val="single"/>
        </w:rPr>
        <w:t>招标内容及详细的做法要求和招标人要求为准</w:t>
      </w:r>
      <w:r>
        <w:rPr>
          <w:rFonts w:hint="eastAsia" w:asciiTheme="minorEastAsia" w:hAnsiTheme="minorEastAsia" w:eastAsiaTheme="minorEastAsia" w:cstheme="minorEastAsia"/>
          <w:bCs/>
          <w:spacing w:val="3"/>
          <w:szCs w:val="21"/>
          <w:u w:val="single"/>
        </w:rPr>
        <w:t>。招标人保留对上述工程量及范围适当调整的权利（招标人可根据建设需要对招标内容进行调整，中标人不得拒绝，否则按违约处理，招标人并有权终止协议，由此造成的损失均由中标单位承担）</w:t>
      </w:r>
    </w:p>
    <w:p>
      <w:pPr>
        <w:outlineLvl w:val="1"/>
        <w:rPr>
          <w:rFonts w:asciiTheme="minorEastAsia" w:hAnsiTheme="minorEastAsia" w:eastAsiaTheme="minorEastAsia" w:cstheme="minorEastAsia"/>
          <w:szCs w:val="21"/>
        </w:rPr>
      </w:pPr>
      <w:bookmarkStart w:id="263" w:name="_Toc31664"/>
      <w:bookmarkStart w:id="264" w:name="_Toc23687"/>
      <w:r>
        <w:rPr>
          <w:rFonts w:hint="eastAsia" w:asciiTheme="minorEastAsia" w:hAnsiTheme="minorEastAsia" w:eastAsiaTheme="minorEastAsia" w:cstheme="minorEastAsia"/>
          <w:szCs w:val="21"/>
        </w:rPr>
        <w:t>三、合同工期</w:t>
      </w:r>
      <w:bookmarkEnd w:id="263"/>
      <w:bookmarkEnd w:id="264"/>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开工日期：</w:t>
      </w:r>
      <w:r>
        <w:rPr>
          <w:rFonts w:hint="eastAsia" w:asciiTheme="minorEastAsia" w:hAnsiTheme="minorEastAsia" w:eastAsiaTheme="minorEastAsia" w:cstheme="minorEastAsia"/>
          <w:szCs w:val="21"/>
          <w:u w:val="single"/>
        </w:rPr>
        <w:t>实际开工日期以发包人的书面开工令为准。</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合同工期：总日历天数： 日历天。</w:t>
      </w:r>
    </w:p>
    <w:p>
      <w:pPr>
        <w:outlineLvl w:val="1"/>
        <w:rPr>
          <w:rFonts w:asciiTheme="minorEastAsia" w:hAnsiTheme="minorEastAsia" w:eastAsiaTheme="minorEastAsia" w:cstheme="minorEastAsia"/>
          <w:szCs w:val="21"/>
        </w:rPr>
      </w:pPr>
      <w:bookmarkStart w:id="265" w:name="_Toc12400"/>
      <w:bookmarkStart w:id="266" w:name="_Toc1084"/>
      <w:r>
        <w:rPr>
          <w:rFonts w:hint="eastAsia" w:asciiTheme="minorEastAsia" w:hAnsiTheme="minorEastAsia" w:eastAsiaTheme="minorEastAsia" w:cstheme="minorEastAsia"/>
          <w:szCs w:val="21"/>
        </w:rPr>
        <w:t>四、质量标准：</w:t>
      </w:r>
      <w:bookmarkEnd w:id="265"/>
      <w:bookmarkEnd w:id="266"/>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工程质量标准：</w:t>
      </w:r>
      <w:r>
        <w:rPr>
          <w:rFonts w:hint="eastAsia" w:asciiTheme="minorEastAsia" w:hAnsiTheme="minorEastAsia" w:eastAsiaTheme="minorEastAsia" w:cstheme="minorEastAsia"/>
          <w:szCs w:val="21"/>
          <w:u w:val="single"/>
        </w:rPr>
        <w:t xml:space="preserve">工程质量确保达到国家合格等级；     </w:t>
      </w:r>
    </w:p>
    <w:p>
      <w:pPr>
        <w:outlineLvl w:val="1"/>
        <w:rPr>
          <w:rFonts w:asciiTheme="minorEastAsia" w:hAnsiTheme="minorEastAsia" w:eastAsiaTheme="minorEastAsia" w:cstheme="minorEastAsia"/>
          <w:szCs w:val="21"/>
        </w:rPr>
      </w:pPr>
      <w:bookmarkStart w:id="267" w:name="_Toc12948"/>
      <w:bookmarkStart w:id="268" w:name="_Toc32594"/>
      <w:r>
        <w:rPr>
          <w:rFonts w:hint="eastAsia" w:asciiTheme="minorEastAsia" w:hAnsiTheme="minorEastAsia" w:eastAsiaTheme="minorEastAsia" w:cstheme="minorEastAsia"/>
          <w:szCs w:val="21"/>
        </w:rPr>
        <w:t>五、合同价款</w:t>
      </w:r>
      <w:bookmarkEnd w:id="267"/>
      <w:bookmarkEnd w:id="268"/>
    </w:p>
    <w:p>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合同总价为：</w:t>
      </w:r>
      <w:r>
        <w:rPr>
          <w:rFonts w:hint="eastAsia" w:asciiTheme="minorEastAsia" w:hAnsiTheme="minorEastAsia" w:eastAsiaTheme="minorEastAsia" w:cstheme="minorEastAsia"/>
          <w:b/>
          <w:szCs w:val="21"/>
          <w:u w:val="single"/>
        </w:rPr>
        <w:t xml:space="preserve">                         （小写：             元）。</w:t>
      </w:r>
    </w:p>
    <w:p>
      <w:pPr>
        <w:outlineLvl w:val="1"/>
        <w:rPr>
          <w:rFonts w:asciiTheme="minorEastAsia" w:hAnsiTheme="minorEastAsia" w:eastAsiaTheme="minorEastAsia" w:cstheme="minorEastAsia"/>
          <w:szCs w:val="21"/>
        </w:rPr>
      </w:pPr>
      <w:bookmarkStart w:id="269" w:name="_Toc30639"/>
      <w:bookmarkStart w:id="270" w:name="_Toc30687"/>
      <w:r>
        <w:rPr>
          <w:rFonts w:hint="eastAsia" w:asciiTheme="minorEastAsia" w:hAnsiTheme="minorEastAsia" w:eastAsiaTheme="minorEastAsia" w:cstheme="minorEastAsia"/>
          <w:szCs w:val="21"/>
        </w:rPr>
        <w:t>六、组成合同的文件</w:t>
      </w:r>
      <w:bookmarkEnd w:id="269"/>
      <w:bookmarkEnd w:id="270"/>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组成本合同的文件包括</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1、本合同协议书</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2、招标文件、投标文件、评标结果及其附件 </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双方有关工程的洽商、变更等书面协议或文件视为本合同的组成部分。</w:t>
      </w:r>
    </w:p>
    <w:p>
      <w:pPr>
        <w:outlineLvl w:val="1"/>
        <w:rPr>
          <w:rFonts w:asciiTheme="minorEastAsia" w:hAnsiTheme="minorEastAsia" w:eastAsiaTheme="minorEastAsia" w:cstheme="minorEastAsia"/>
          <w:szCs w:val="21"/>
        </w:rPr>
      </w:pPr>
      <w:bookmarkStart w:id="271" w:name="_Toc32699"/>
      <w:bookmarkStart w:id="272" w:name="_Toc20346"/>
      <w:r>
        <w:rPr>
          <w:rFonts w:hint="eastAsia" w:asciiTheme="minorEastAsia" w:hAnsiTheme="minorEastAsia" w:eastAsiaTheme="minorEastAsia" w:cstheme="minorEastAsia"/>
          <w:szCs w:val="21"/>
        </w:rPr>
        <w:t>七、合同生效</w:t>
      </w:r>
      <w:bookmarkEnd w:id="271"/>
      <w:bookmarkEnd w:id="272"/>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合同订立时间：</w:t>
      </w:r>
      <w:r>
        <w:rPr>
          <w:rFonts w:hint="eastAsia" w:asciiTheme="minorEastAsia" w:hAnsiTheme="minorEastAsia" w:eastAsiaTheme="minorEastAsia" w:cstheme="minorEastAsia"/>
          <w:szCs w:val="21"/>
          <w:u w:val="single"/>
        </w:rPr>
        <w:t xml:space="preserve">       年    月   日  </w:t>
      </w:r>
    </w:p>
    <w:p>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合同订立地点：</w:t>
      </w:r>
      <w:r>
        <w:rPr>
          <w:rFonts w:hint="eastAsia" w:asciiTheme="minorEastAsia" w:hAnsiTheme="minorEastAsia" w:eastAsiaTheme="minorEastAsia" w:cstheme="minorEastAsia"/>
          <w:szCs w:val="21"/>
          <w:u w:val="single"/>
        </w:rPr>
        <w:t xml:space="preserve">江苏医药职业学院内                      </w:t>
      </w:r>
    </w:p>
    <w:p>
      <w:pPr>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本合同双方约定： </w:t>
      </w:r>
      <w:r>
        <w:rPr>
          <w:rFonts w:hint="eastAsia" w:asciiTheme="minorEastAsia" w:hAnsiTheme="minorEastAsia" w:eastAsiaTheme="minorEastAsia" w:cstheme="minorEastAsia"/>
          <w:szCs w:val="21"/>
          <w:u w:val="single"/>
        </w:rPr>
        <w:t xml:space="preserve">签字盖章 </w:t>
      </w:r>
      <w:r>
        <w:rPr>
          <w:rFonts w:hint="eastAsia" w:asciiTheme="minorEastAsia" w:hAnsiTheme="minorEastAsia" w:eastAsiaTheme="minorEastAsia" w:cstheme="minorEastAsia"/>
          <w:szCs w:val="21"/>
        </w:rPr>
        <w:t>后生效。</w:t>
      </w:r>
    </w:p>
    <w:p>
      <w:pPr>
        <w:ind w:firstLine="420" w:firstLineChars="200"/>
        <w:rPr>
          <w:rFonts w:asciiTheme="minorEastAsia" w:hAnsiTheme="minorEastAsia" w:eastAsiaTheme="minorEastAsia" w:cstheme="minorEastAsia"/>
          <w:szCs w:val="21"/>
        </w:rPr>
      </w:pPr>
    </w:p>
    <w:p>
      <w:pPr>
        <w:ind w:firstLine="420" w:firstLineChars="200"/>
        <w:rPr>
          <w:rFonts w:asciiTheme="minorEastAsia" w:hAnsiTheme="minorEastAsia" w:eastAsiaTheme="minorEastAsia" w:cstheme="minorEastAsia"/>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发包人：(公章)                           承包人：(公章)</w:t>
      </w:r>
    </w:p>
    <w:p>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住所：                                   住所：</w:t>
      </w:r>
    </w:p>
    <w:p>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法定代表人：                             法定代表人：</w:t>
      </w:r>
    </w:p>
    <w:p>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委托代表人：                             委托代表人：</w:t>
      </w:r>
    </w:p>
    <w:p>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电话：                                   电话：</w:t>
      </w:r>
    </w:p>
    <w:p>
      <w:pPr>
        <w:widowControl/>
        <w:ind w:firstLine="420" w:firstLine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szCs w:val="21"/>
        </w:rPr>
        <w:t>传真：                                   传真：</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                               开户银行：</w:t>
      </w:r>
    </w:p>
    <w:p>
      <w:pPr>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账号：                                   账号：</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                               邮政编码：</w:t>
      </w:r>
    </w:p>
    <w:p>
      <w:pPr>
        <w:pStyle w:val="29"/>
        <w:ind w:firstLine="640"/>
        <w:rPr>
          <w:rFonts w:hint="eastAsia"/>
        </w:rPr>
      </w:pPr>
    </w:p>
    <w:p/>
    <w:p>
      <w:pPr>
        <w:spacing w:line="276" w:lineRule="auto"/>
        <w:jc w:val="center"/>
        <w:outlineLvl w:val="2"/>
        <w:rPr>
          <w:rFonts w:asciiTheme="minorEastAsia" w:hAnsiTheme="minorEastAsia" w:eastAsiaTheme="minorEastAsia" w:cstheme="minorEastAsia"/>
          <w:b/>
          <w:bCs/>
          <w:szCs w:val="21"/>
        </w:rPr>
      </w:pPr>
      <w:bookmarkStart w:id="273" w:name="_Toc29612"/>
      <w:bookmarkStart w:id="274" w:name="_Toc18649"/>
      <w:r>
        <w:rPr>
          <w:rFonts w:hint="eastAsia" w:asciiTheme="minorEastAsia" w:hAnsiTheme="minorEastAsia" w:eastAsiaTheme="minorEastAsia" w:cstheme="minorEastAsia"/>
          <w:b/>
          <w:bCs/>
          <w:szCs w:val="21"/>
        </w:rPr>
        <w:t>第二部分 通用合同条款</w:t>
      </w:r>
      <w:bookmarkEnd w:id="273"/>
      <w:bookmarkEnd w:id="274"/>
    </w:p>
    <w:p>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同建设工程施工合同（示范文本）（GF—2013—0201）内的通用合同条款</w:t>
      </w:r>
    </w:p>
    <w:p>
      <w:pPr>
        <w:spacing w:line="276" w:lineRule="auto"/>
        <w:jc w:val="center"/>
        <w:outlineLvl w:val="2"/>
        <w:rPr>
          <w:rFonts w:asciiTheme="minorEastAsia" w:hAnsiTheme="minorEastAsia" w:eastAsiaTheme="minorEastAsia" w:cstheme="minorEastAsia"/>
          <w:b/>
          <w:bCs/>
          <w:szCs w:val="21"/>
        </w:rPr>
      </w:pPr>
      <w:bookmarkStart w:id="275" w:name="_Toc32013"/>
      <w:bookmarkStart w:id="276" w:name="_Toc20574"/>
      <w:r>
        <w:rPr>
          <w:rFonts w:hint="eastAsia" w:asciiTheme="minorEastAsia" w:hAnsiTheme="minorEastAsia" w:eastAsiaTheme="minorEastAsia" w:cstheme="minorEastAsia"/>
          <w:b/>
          <w:bCs/>
          <w:szCs w:val="21"/>
        </w:rPr>
        <w:t>第三部分  专用合同条款</w:t>
      </w:r>
      <w:bookmarkEnd w:id="275"/>
      <w:bookmarkEnd w:id="276"/>
    </w:p>
    <w:p>
      <w:pPr>
        <w:spacing w:line="276" w:lineRule="auto"/>
        <w:rPr>
          <w:rFonts w:asciiTheme="minorEastAsia" w:hAnsiTheme="minorEastAsia" w:eastAsiaTheme="minorEastAsia" w:cstheme="minorEastAsia"/>
          <w:szCs w:val="21"/>
        </w:rPr>
      </w:pPr>
      <w:bookmarkStart w:id="277" w:name="_Toc21756"/>
      <w:r>
        <w:rPr>
          <w:rFonts w:hint="eastAsia" w:asciiTheme="minorEastAsia" w:hAnsiTheme="minorEastAsia" w:eastAsiaTheme="minorEastAsia" w:cstheme="minorEastAsia"/>
          <w:szCs w:val="21"/>
        </w:rPr>
        <w:t>一、词语定义及合同文件</w:t>
      </w:r>
      <w:bookmarkEnd w:id="277"/>
    </w:p>
    <w:p>
      <w:pPr>
        <w:spacing w:line="276" w:lineRule="auto"/>
        <w:ind w:firstLine="378" w:firstLineChars="180"/>
        <w:rPr>
          <w:rFonts w:asciiTheme="minorEastAsia" w:hAnsiTheme="minorEastAsia" w:eastAsiaTheme="minorEastAsia" w:cstheme="minorEastAsia"/>
          <w:szCs w:val="21"/>
        </w:rPr>
      </w:pPr>
      <w:bookmarkStart w:id="278" w:name="_Toc17901"/>
      <w:r>
        <w:rPr>
          <w:rFonts w:hint="eastAsia" w:asciiTheme="minorEastAsia" w:hAnsiTheme="minorEastAsia" w:eastAsiaTheme="minorEastAsia" w:cstheme="minorEastAsia"/>
          <w:szCs w:val="21"/>
        </w:rPr>
        <w:t>1．合同文件及解释顺序</w:t>
      </w:r>
      <w:bookmarkEnd w:id="278"/>
    </w:p>
    <w:p>
      <w:pPr>
        <w:tabs>
          <w:tab w:val="left" w:pos="0"/>
        </w:tabs>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合同文件组成及解释顺序：   </w:t>
      </w:r>
      <w:r>
        <w:rPr>
          <w:rFonts w:hint="eastAsia" w:asciiTheme="minorEastAsia" w:hAnsiTheme="minorEastAsia" w:eastAsiaTheme="minorEastAsia" w:cstheme="minorEastAsia"/>
          <w:szCs w:val="21"/>
          <w:u w:val="single"/>
        </w:rPr>
        <w:t xml:space="preserve"> 按国家及省市有关规定执行。</w:t>
      </w:r>
    </w:p>
    <w:p>
      <w:pPr>
        <w:spacing w:line="276" w:lineRule="auto"/>
        <w:ind w:firstLine="378" w:firstLineChars="180"/>
        <w:rPr>
          <w:rFonts w:asciiTheme="minorEastAsia" w:hAnsiTheme="minorEastAsia" w:eastAsiaTheme="minorEastAsia" w:cstheme="minorEastAsia"/>
          <w:szCs w:val="21"/>
        </w:rPr>
      </w:pPr>
      <w:bookmarkStart w:id="279" w:name="_Toc18958"/>
      <w:r>
        <w:rPr>
          <w:rFonts w:hint="eastAsia" w:asciiTheme="minorEastAsia" w:hAnsiTheme="minorEastAsia" w:eastAsiaTheme="minorEastAsia" w:cstheme="minorEastAsia"/>
          <w:szCs w:val="21"/>
        </w:rPr>
        <w:t>2．语言文字和适用法律、标准及规范</w:t>
      </w:r>
      <w:bookmarkEnd w:id="279"/>
    </w:p>
    <w:p>
      <w:pPr>
        <w:tabs>
          <w:tab w:val="left" w:pos="0"/>
        </w:tabs>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2．1本合同除使用汉语外，还使用 </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语言文字。</w:t>
      </w:r>
    </w:p>
    <w:p>
      <w:pPr>
        <w:tabs>
          <w:tab w:val="left" w:pos="0"/>
        </w:tabs>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2．2适用法律和行政法规</w:t>
      </w:r>
    </w:p>
    <w:p>
      <w:pPr>
        <w:tabs>
          <w:tab w:val="left" w:pos="0"/>
        </w:tabs>
        <w:spacing w:line="276" w:lineRule="auto"/>
        <w:ind w:firstLine="392" w:firstLineChars="187"/>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需要明示的法律、行政法规：</w:t>
      </w:r>
      <w:r>
        <w:rPr>
          <w:rFonts w:hint="eastAsia" w:asciiTheme="minorEastAsia" w:hAnsiTheme="minorEastAsia" w:eastAsiaTheme="minorEastAsia" w:cstheme="minorEastAsia"/>
          <w:szCs w:val="21"/>
          <w:u w:val="single"/>
        </w:rPr>
        <w:t>《中华人民共和国建筑法》、《中华人民共和国民法典》、《中华人民共和国招标投标法》、《江苏省工程建设管理条例》、《江苏省建筑市场管理条例》、《江苏省建设工程招标投标管理办法》、《江苏省房屋建筑和市政基础设施工程项目工程量清单施工招标投标评标规则》（试行）及相关规定</w:t>
      </w:r>
      <w:r>
        <w:rPr>
          <w:rFonts w:hint="eastAsia" w:asciiTheme="minorEastAsia" w:hAnsiTheme="minorEastAsia" w:eastAsiaTheme="minorEastAsia" w:cstheme="minorEastAsia"/>
          <w:szCs w:val="21"/>
        </w:rPr>
        <w:t>。</w:t>
      </w:r>
    </w:p>
    <w:p>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2．3适用标准、规范</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适用标准、规范的名称：</w:t>
      </w:r>
      <w:r>
        <w:rPr>
          <w:rFonts w:hint="eastAsia" w:asciiTheme="minorEastAsia" w:hAnsiTheme="minorEastAsia" w:eastAsiaTheme="minorEastAsia" w:cstheme="minorEastAsia"/>
          <w:szCs w:val="21"/>
          <w:u w:val="single"/>
        </w:rPr>
        <w:t xml:space="preserve">国家现行通用建筑施工规范、标准和有关地方规定。 </w:t>
      </w:r>
    </w:p>
    <w:p>
      <w:pPr>
        <w:spacing w:line="276" w:lineRule="auto"/>
        <w:rPr>
          <w:rFonts w:asciiTheme="minorEastAsia" w:hAnsiTheme="minorEastAsia" w:eastAsiaTheme="minorEastAsia" w:cstheme="minorEastAsia"/>
          <w:szCs w:val="21"/>
        </w:rPr>
      </w:pPr>
      <w:bookmarkStart w:id="280" w:name="_Toc13630"/>
      <w:r>
        <w:rPr>
          <w:rFonts w:hint="eastAsia" w:asciiTheme="minorEastAsia" w:hAnsiTheme="minorEastAsia" w:eastAsiaTheme="minorEastAsia" w:cstheme="minorEastAsia"/>
          <w:szCs w:val="21"/>
        </w:rPr>
        <w:t>二、双方一般权利和义务</w:t>
      </w:r>
      <w:bookmarkEnd w:id="280"/>
    </w:p>
    <w:p>
      <w:pPr>
        <w:spacing w:line="276" w:lineRule="auto"/>
        <w:ind w:firstLine="378" w:firstLineChars="180"/>
        <w:rPr>
          <w:rFonts w:asciiTheme="minorEastAsia" w:hAnsiTheme="minorEastAsia" w:eastAsiaTheme="minorEastAsia" w:cstheme="minorEastAsia"/>
          <w:szCs w:val="21"/>
        </w:rPr>
      </w:pPr>
      <w:bookmarkStart w:id="281" w:name="_Toc22438"/>
      <w:r>
        <w:rPr>
          <w:rFonts w:hint="eastAsia" w:asciiTheme="minorEastAsia" w:hAnsiTheme="minorEastAsia" w:eastAsiaTheme="minorEastAsia" w:cstheme="minorEastAsia"/>
          <w:szCs w:val="21"/>
        </w:rPr>
        <w:t>3．工程师</w:t>
      </w:r>
      <w:bookmarkEnd w:id="281"/>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3．1发包人派驻的工程师</w:t>
      </w:r>
    </w:p>
    <w:p>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姓名：                     职务：</w:t>
      </w:r>
    </w:p>
    <w:p>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职权：</w:t>
      </w:r>
      <w:r>
        <w:rPr>
          <w:rFonts w:hint="eastAsia" w:asciiTheme="minorEastAsia" w:hAnsiTheme="minorEastAsia" w:eastAsiaTheme="minorEastAsia" w:cstheme="minorEastAsia"/>
          <w:szCs w:val="21"/>
          <w:u w:val="single"/>
        </w:rPr>
        <w:t>对本工程的施工进度、质量、工期、付款等全面跟踪监督及服务</w:t>
      </w:r>
      <w:r>
        <w:rPr>
          <w:rFonts w:hint="eastAsia" w:asciiTheme="minorEastAsia" w:hAnsiTheme="minorEastAsia" w:eastAsiaTheme="minorEastAsia" w:cstheme="minorEastAsia"/>
          <w:szCs w:val="21"/>
        </w:rPr>
        <w:t>。</w:t>
      </w:r>
    </w:p>
    <w:p>
      <w:pPr>
        <w:spacing w:line="276" w:lineRule="auto"/>
        <w:ind w:firstLine="378" w:firstLineChars="180"/>
        <w:rPr>
          <w:rFonts w:asciiTheme="minorEastAsia" w:hAnsiTheme="minorEastAsia" w:eastAsiaTheme="minorEastAsia" w:cstheme="minorEastAsia"/>
          <w:szCs w:val="21"/>
        </w:rPr>
      </w:pPr>
      <w:bookmarkStart w:id="282" w:name="_Toc9336"/>
      <w:r>
        <w:rPr>
          <w:rFonts w:hint="eastAsia" w:asciiTheme="minorEastAsia" w:hAnsiTheme="minorEastAsia" w:eastAsiaTheme="minorEastAsia" w:cstheme="minorEastAsia"/>
          <w:szCs w:val="21"/>
        </w:rPr>
        <w:t>4．项目经理</w:t>
      </w:r>
      <w:bookmarkEnd w:id="282"/>
    </w:p>
    <w:p>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姓名：                  职务： </w:t>
      </w:r>
    </w:p>
    <w:p>
      <w:pPr>
        <w:spacing w:line="276" w:lineRule="auto"/>
        <w:ind w:firstLine="379" w:firstLineChars="180"/>
        <w:rPr>
          <w:rFonts w:asciiTheme="minorEastAsia" w:hAnsiTheme="minorEastAsia" w:eastAsiaTheme="minorEastAsia" w:cstheme="minorEastAsia"/>
          <w:szCs w:val="21"/>
        </w:rPr>
      </w:pPr>
      <w:bookmarkStart w:id="283" w:name="_Toc16914"/>
      <w:r>
        <w:rPr>
          <w:rFonts w:hint="eastAsia" w:asciiTheme="minorEastAsia" w:hAnsiTheme="minorEastAsia" w:eastAsiaTheme="minorEastAsia" w:cstheme="minorEastAsia"/>
          <w:b/>
          <w:bCs/>
          <w:szCs w:val="21"/>
        </w:rPr>
        <w:t>5</w:t>
      </w:r>
      <w:r>
        <w:rPr>
          <w:rFonts w:hint="eastAsia" w:asciiTheme="minorEastAsia" w:hAnsiTheme="minorEastAsia" w:eastAsiaTheme="minorEastAsia" w:cstheme="minorEastAsia"/>
          <w:szCs w:val="21"/>
        </w:rPr>
        <w:t>．发包人工作</w:t>
      </w:r>
      <w:bookmarkEnd w:id="283"/>
    </w:p>
    <w:p>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5．1发包人应按约定的时间和要求完成以下工作：</w:t>
      </w:r>
    </w:p>
    <w:p>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（1）施工场地具备施工条件的要求及完成的时间：</w:t>
      </w:r>
      <w:r>
        <w:rPr>
          <w:rFonts w:hint="eastAsia" w:asciiTheme="minorEastAsia" w:hAnsiTheme="minorEastAsia" w:eastAsiaTheme="minorEastAsia" w:cstheme="minorEastAsia"/>
          <w:szCs w:val="21"/>
          <w:u w:val="single"/>
        </w:rPr>
        <w:t xml:space="preserve">           /            。</w:t>
      </w:r>
    </w:p>
    <w:p>
      <w:pPr>
        <w:spacing w:line="276" w:lineRule="auto"/>
        <w:ind w:firstLine="378" w:firstLineChars="180"/>
        <w:jc w:val="distribute"/>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（2）将施工所需的水、电、电讯线路接至施工现场的时间、地点和供应要求：</w:t>
      </w:r>
      <w:r>
        <w:rPr>
          <w:rFonts w:hint="eastAsia" w:asciiTheme="minorEastAsia" w:hAnsiTheme="minorEastAsia" w:eastAsiaTheme="minorEastAsia" w:cstheme="minorEastAsia"/>
          <w:szCs w:val="21"/>
          <w:u w:val="single"/>
        </w:rPr>
        <w:t>施</w:t>
      </w:r>
    </w:p>
    <w:p>
      <w:pPr>
        <w:tabs>
          <w:tab w:val="left" w:pos="0"/>
        </w:tabs>
        <w:spacing w:line="276"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工现场用水、电和通讯由承包人自行解决</w:t>
      </w:r>
      <w:r>
        <w:rPr>
          <w:rFonts w:hint="eastAsia" w:asciiTheme="minorEastAsia" w:hAnsiTheme="minorEastAsia" w:eastAsiaTheme="minorEastAsia" w:cstheme="minorEastAsia"/>
          <w:szCs w:val="21"/>
        </w:rPr>
        <w:t>。</w:t>
      </w:r>
    </w:p>
    <w:p>
      <w:pPr>
        <w:tabs>
          <w:tab w:val="left" w:pos="0"/>
        </w:tabs>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（3）施工场地与公共道路开通时间和要求：</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tabs>
          <w:tab w:val="left" w:pos="0"/>
        </w:tabs>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（4）工程地质和地下管线资料的提供时间：</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spacing w:line="276" w:lineRule="auto"/>
        <w:ind w:firstLine="415" w:firstLineChars="197"/>
        <w:rPr>
          <w:rFonts w:asciiTheme="minorEastAsia" w:hAnsiTheme="minorEastAsia" w:eastAsiaTheme="minorEastAsia" w:cstheme="minorEastAsia"/>
          <w:szCs w:val="21"/>
        </w:rPr>
      </w:pPr>
      <w:bookmarkStart w:id="284" w:name="_Toc15488"/>
      <w:r>
        <w:rPr>
          <w:rFonts w:hint="eastAsia" w:asciiTheme="minorEastAsia" w:hAnsiTheme="minorEastAsia" w:eastAsiaTheme="minorEastAsia" w:cstheme="minorEastAsia"/>
          <w:b/>
          <w:bCs/>
          <w:szCs w:val="21"/>
        </w:rPr>
        <w:t>6</w:t>
      </w:r>
      <w:r>
        <w:rPr>
          <w:rFonts w:hint="eastAsia" w:asciiTheme="minorEastAsia" w:hAnsiTheme="minorEastAsia" w:eastAsiaTheme="minorEastAsia" w:cstheme="minorEastAsia"/>
          <w:szCs w:val="21"/>
        </w:rPr>
        <w:t>．承包人工作</w:t>
      </w:r>
      <w:bookmarkEnd w:id="284"/>
    </w:p>
    <w:p>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6．1承包人应按约定时间和要求，完成以下工作：</w:t>
      </w:r>
    </w:p>
    <w:p>
      <w:pPr>
        <w:spacing w:line="276" w:lineRule="auto"/>
        <w:ind w:left="239" w:leftChars="114"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（1）需由设计资质等级和业务范围允许的承包人完成的设计文件提交时间</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spacing w:line="276"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（2）应提供计划、报表的名称及完成时间：</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spacing w:line="276" w:lineRule="auto"/>
        <w:ind w:firstLine="315" w:firstLineChars="15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（3）承包施工安全保卫工作及非夜间施工照时的责任和要求：</w:t>
      </w:r>
      <w:r>
        <w:rPr>
          <w:rFonts w:hint="eastAsia" w:asciiTheme="minorEastAsia" w:hAnsiTheme="minorEastAsia" w:eastAsiaTheme="minorEastAsia" w:cstheme="minorEastAsia"/>
          <w:szCs w:val="21"/>
          <w:u w:val="single"/>
        </w:rPr>
        <w:t>承包人应按建设行</w:t>
      </w:r>
    </w:p>
    <w:p>
      <w:pPr>
        <w:spacing w:line="276"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政管理部门和相关部门的要求，自费承担安全保卫工作等相应设施，以保护公共安全。</w:t>
      </w:r>
    </w:p>
    <w:p>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（4）向发包人提供的办公和生活房屋及设施的要求：</w:t>
      </w:r>
      <w:r>
        <w:rPr>
          <w:rFonts w:hint="eastAsia" w:asciiTheme="minorEastAsia" w:hAnsiTheme="minorEastAsia" w:eastAsiaTheme="minorEastAsia" w:cstheme="minorEastAsia"/>
          <w:szCs w:val="21"/>
          <w:u w:val="single"/>
        </w:rPr>
        <w:t>不要求提供</w:t>
      </w:r>
      <w:r>
        <w:rPr>
          <w:rFonts w:hint="eastAsia" w:asciiTheme="minorEastAsia" w:hAnsiTheme="minorEastAsia" w:eastAsiaTheme="minorEastAsia" w:cstheme="minorEastAsia"/>
          <w:szCs w:val="21"/>
        </w:rPr>
        <w:t>。</w:t>
      </w:r>
    </w:p>
    <w:p>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（5）需承包人办理的有关施工场地交通、环卫和施工噪音管理等手续：</w:t>
      </w:r>
      <w:r>
        <w:rPr>
          <w:rFonts w:hint="eastAsia" w:asciiTheme="minorEastAsia" w:hAnsiTheme="minorEastAsia" w:eastAsiaTheme="minorEastAsia" w:cstheme="minorEastAsia"/>
          <w:szCs w:val="21"/>
          <w:u w:val="single"/>
        </w:rPr>
        <w:t>遵守政府</w:t>
      </w:r>
    </w:p>
    <w:p>
      <w:pPr>
        <w:spacing w:line="276"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有关主管部门对施工场地的管理规定，按规定办理有关手续，承担由此发生的费用和因承包人责任造成的罚款</w:t>
      </w:r>
      <w:r>
        <w:rPr>
          <w:rFonts w:hint="eastAsia" w:asciiTheme="minorEastAsia" w:hAnsiTheme="minorEastAsia" w:eastAsiaTheme="minorEastAsia" w:cstheme="minorEastAsia"/>
          <w:szCs w:val="21"/>
        </w:rPr>
        <w:t>。</w:t>
      </w:r>
    </w:p>
    <w:p>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（6）已完工程成品的特殊要求及费用承担：</w:t>
      </w:r>
      <w:r>
        <w:rPr>
          <w:rFonts w:hint="eastAsia" w:asciiTheme="minorEastAsia" w:hAnsiTheme="minorEastAsia" w:eastAsiaTheme="minorEastAsia" w:cstheme="minorEastAsia"/>
          <w:szCs w:val="21"/>
          <w:u w:val="single"/>
        </w:rPr>
        <w:t>工程交付前由承包人负责，交付后由</w:t>
      </w:r>
    </w:p>
    <w:p>
      <w:pPr>
        <w:spacing w:line="276"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发包人负责</w:t>
      </w:r>
      <w:r>
        <w:rPr>
          <w:rFonts w:hint="eastAsia" w:asciiTheme="minorEastAsia" w:hAnsiTheme="minorEastAsia" w:eastAsiaTheme="minorEastAsia" w:cstheme="minorEastAsia"/>
          <w:szCs w:val="21"/>
        </w:rPr>
        <w:t>。</w:t>
      </w:r>
    </w:p>
    <w:p>
      <w:pPr>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（7）施工场地周围地下管线和邻近建筑物、构筑物（含文物保护建筑）、古树名木</w:t>
      </w:r>
    </w:p>
    <w:p>
      <w:pPr>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的保护要求及费用承担：</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（8）工场地清洁卫生的要求：</w:t>
      </w:r>
      <w:r>
        <w:rPr>
          <w:rFonts w:hint="eastAsia" w:asciiTheme="minorEastAsia" w:hAnsiTheme="minorEastAsia" w:eastAsiaTheme="minorEastAsia" w:cstheme="minorEastAsia"/>
          <w:szCs w:val="21"/>
          <w:u w:val="single"/>
        </w:rPr>
        <w:t>承包人按建设行政主管部门和相关部门的规定办理，所需费用由承包人承担</w:t>
      </w:r>
      <w:r>
        <w:rPr>
          <w:rFonts w:hint="eastAsia" w:asciiTheme="minorEastAsia" w:hAnsiTheme="minorEastAsia" w:eastAsiaTheme="minorEastAsia" w:cstheme="minorEastAsia"/>
          <w:szCs w:val="21"/>
        </w:rPr>
        <w:t>。</w:t>
      </w:r>
    </w:p>
    <w:p>
      <w:pPr>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（9）双方约定承包人应做的其他工作：</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spacing w:line="276" w:lineRule="auto"/>
        <w:rPr>
          <w:rFonts w:asciiTheme="minorEastAsia" w:hAnsiTheme="minorEastAsia" w:eastAsiaTheme="minorEastAsia" w:cstheme="minorEastAsia"/>
          <w:szCs w:val="21"/>
        </w:rPr>
      </w:pPr>
      <w:bookmarkStart w:id="285" w:name="_Toc30002"/>
      <w:r>
        <w:rPr>
          <w:rFonts w:hint="eastAsia" w:asciiTheme="minorEastAsia" w:hAnsiTheme="minorEastAsia" w:eastAsiaTheme="minorEastAsia" w:cstheme="minorEastAsia"/>
          <w:szCs w:val="21"/>
        </w:rPr>
        <w:t>三、施工组织设计和工期</w:t>
      </w:r>
      <w:bookmarkEnd w:id="285"/>
    </w:p>
    <w:p>
      <w:pPr>
        <w:spacing w:line="276" w:lineRule="auto"/>
        <w:ind w:firstLine="379" w:firstLineChars="180"/>
        <w:rPr>
          <w:rFonts w:asciiTheme="minorEastAsia" w:hAnsiTheme="minorEastAsia" w:eastAsiaTheme="minorEastAsia" w:cstheme="minorEastAsia"/>
          <w:szCs w:val="21"/>
        </w:rPr>
      </w:pPr>
      <w:bookmarkStart w:id="286" w:name="_Toc11806"/>
      <w:r>
        <w:rPr>
          <w:rFonts w:hint="eastAsia" w:asciiTheme="minorEastAsia" w:hAnsiTheme="minorEastAsia" w:eastAsiaTheme="minorEastAsia" w:cstheme="minorEastAsia"/>
          <w:b/>
          <w:bCs/>
          <w:szCs w:val="21"/>
        </w:rPr>
        <w:t>7．</w:t>
      </w:r>
      <w:r>
        <w:rPr>
          <w:rFonts w:hint="eastAsia" w:asciiTheme="minorEastAsia" w:hAnsiTheme="minorEastAsia" w:eastAsiaTheme="minorEastAsia" w:cstheme="minorEastAsia"/>
          <w:szCs w:val="21"/>
        </w:rPr>
        <w:t>进度计划</w:t>
      </w:r>
      <w:bookmarkEnd w:id="286"/>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7．1承包人提供施工组织设计（施工方案）和进度计划的时间：</w:t>
      </w:r>
      <w:r>
        <w:rPr>
          <w:rFonts w:hint="eastAsia" w:asciiTheme="minorEastAsia" w:hAnsiTheme="minorEastAsia" w:eastAsiaTheme="minorEastAsia" w:cstheme="minorEastAsia"/>
          <w:szCs w:val="21"/>
          <w:u w:val="single"/>
        </w:rPr>
        <w:t xml:space="preserve">        。</w:t>
      </w:r>
    </w:p>
    <w:p>
      <w:pPr>
        <w:spacing w:line="276" w:lineRule="auto"/>
        <w:ind w:firstLine="422" w:firstLineChars="200"/>
        <w:rPr>
          <w:rFonts w:asciiTheme="minorEastAsia" w:hAnsiTheme="minorEastAsia" w:eastAsiaTheme="minorEastAsia" w:cstheme="minorEastAsia"/>
          <w:szCs w:val="21"/>
        </w:rPr>
      </w:pPr>
      <w:bookmarkStart w:id="287" w:name="_Toc2435"/>
      <w:r>
        <w:rPr>
          <w:rFonts w:hint="eastAsia" w:asciiTheme="minorEastAsia" w:hAnsiTheme="minorEastAsia" w:eastAsiaTheme="minorEastAsia" w:cstheme="minorEastAsia"/>
          <w:b/>
          <w:bCs/>
          <w:szCs w:val="21"/>
        </w:rPr>
        <w:t>8．</w:t>
      </w:r>
      <w:r>
        <w:rPr>
          <w:rFonts w:hint="eastAsia" w:asciiTheme="minorEastAsia" w:hAnsiTheme="minorEastAsia" w:eastAsiaTheme="minorEastAsia" w:cstheme="minorEastAsia"/>
          <w:szCs w:val="21"/>
        </w:rPr>
        <w:t>工期延误</w:t>
      </w:r>
      <w:bookmarkEnd w:id="287"/>
    </w:p>
    <w:p>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8．1双方约定工期顺延的其他情况：</w:t>
      </w:r>
      <w:r>
        <w:rPr>
          <w:rFonts w:hint="eastAsia" w:asciiTheme="minorEastAsia" w:hAnsiTheme="minorEastAsia" w:eastAsiaTheme="minorEastAsia" w:cstheme="minorEastAsia"/>
          <w:szCs w:val="21"/>
          <w:u w:val="single"/>
        </w:rPr>
        <w:t>非承包人的原因可能出现的特殊情况</w:t>
      </w:r>
      <w:r>
        <w:rPr>
          <w:rFonts w:hint="eastAsia" w:asciiTheme="minorEastAsia" w:hAnsiTheme="minorEastAsia" w:eastAsiaTheme="minorEastAsia" w:cstheme="minorEastAsia"/>
          <w:szCs w:val="21"/>
        </w:rPr>
        <w:t>。</w:t>
      </w:r>
    </w:p>
    <w:p>
      <w:pPr>
        <w:spacing w:line="276" w:lineRule="auto"/>
        <w:rPr>
          <w:rFonts w:asciiTheme="minorEastAsia" w:hAnsiTheme="minorEastAsia" w:eastAsiaTheme="minorEastAsia" w:cstheme="minorEastAsia"/>
          <w:szCs w:val="21"/>
        </w:rPr>
      </w:pPr>
      <w:bookmarkStart w:id="288" w:name="_Toc5959"/>
      <w:r>
        <w:rPr>
          <w:rFonts w:hint="eastAsia" w:asciiTheme="minorEastAsia" w:hAnsiTheme="minorEastAsia" w:eastAsiaTheme="minorEastAsia" w:cstheme="minorEastAsia"/>
          <w:szCs w:val="21"/>
        </w:rPr>
        <w:t>四、安全施工</w:t>
      </w:r>
      <w:bookmarkEnd w:id="288"/>
      <w:r>
        <w:rPr>
          <w:rFonts w:hint="eastAsia" w:asciiTheme="minorEastAsia" w:hAnsiTheme="minorEastAsia" w:eastAsiaTheme="minorEastAsia" w:cstheme="minorEastAsia"/>
          <w:szCs w:val="21"/>
        </w:rPr>
        <w:t xml:space="preserve">                </w:t>
      </w:r>
    </w:p>
    <w:p>
      <w:pPr>
        <w:spacing w:line="276"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此工程必须确保安全，若因中标人原因发生的不安全问题，由中标人自行负责处理并承担一切责任。</w:t>
      </w:r>
    </w:p>
    <w:p>
      <w:pPr>
        <w:spacing w:line="276" w:lineRule="auto"/>
        <w:rPr>
          <w:rFonts w:asciiTheme="minorEastAsia" w:hAnsiTheme="minorEastAsia" w:eastAsiaTheme="minorEastAsia" w:cstheme="minorEastAsia"/>
          <w:szCs w:val="21"/>
        </w:rPr>
      </w:pPr>
      <w:bookmarkStart w:id="289" w:name="_Toc14034"/>
      <w:r>
        <w:rPr>
          <w:rFonts w:hint="eastAsia" w:asciiTheme="minorEastAsia" w:hAnsiTheme="minorEastAsia" w:eastAsiaTheme="minorEastAsia" w:cstheme="minorEastAsia"/>
          <w:szCs w:val="21"/>
        </w:rPr>
        <w:t>五、工程预付款</w:t>
      </w:r>
      <w:bookmarkEnd w:id="289"/>
    </w:p>
    <w:p>
      <w:pPr>
        <w:spacing w:line="276" w:lineRule="auto"/>
        <w:ind w:firstLine="378" w:firstLineChars="180"/>
        <w:rPr>
          <w:rFonts w:asciiTheme="minorEastAsia" w:hAnsiTheme="minorEastAsia" w:eastAsiaTheme="minorEastAsia" w:cstheme="minorEastAsia"/>
          <w:szCs w:val="21"/>
        </w:rPr>
      </w:pPr>
      <w:bookmarkStart w:id="290" w:name="_Toc17303"/>
      <w:r>
        <w:rPr>
          <w:rFonts w:hint="eastAsia" w:asciiTheme="minorEastAsia" w:hAnsiTheme="minorEastAsia" w:eastAsiaTheme="minorEastAsia" w:cstheme="minorEastAsia"/>
          <w:szCs w:val="21"/>
        </w:rPr>
        <w:t>9．工程款（进度款）支付</w:t>
      </w:r>
      <w:bookmarkEnd w:id="290"/>
    </w:p>
    <w:p>
      <w:pPr>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按工程形象进度付款，具体付款幅度如下：</w:t>
      </w:r>
    </w:p>
    <w:p>
      <w:pPr>
        <w:snapToGrid w:val="0"/>
        <w:spacing w:line="276" w:lineRule="auto"/>
        <w:ind w:firstLine="316" w:firstLineChars="150"/>
        <w:rPr>
          <w:rFonts w:asciiTheme="minorEastAsia" w:hAnsiTheme="minorEastAsia" w:eastAsiaTheme="minorEastAsia" w:cstheme="minorEastAsia"/>
          <w:szCs w:val="21"/>
        </w:rPr>
      </w:pPr>
      <w:r>
        <w:rPr>
          <w:rFonts w:hint="eastAsia" w:cs="宋体"/>
          <w:b/>
          <w:color w:val="auto"/>
        </w:rPr>
        <w:t>项目完工且环境指标通过第三方环境检测并验收合格后付至合同价的70%，项目审计合格后付至审计价的90%，余款10%待质保结束后无质量问题一次性无息付清。</w:t>
      </w:r>
    </w:p>
    <w:p>
      <w:pPr>
        <w:spacing w:line="276" w:lineRule="auto"/>
        <w:rPr>
          <w:rFonts w:asciiTheme="minorEastAsia" w:hAnsiTheme="minorEastAsia" w:eastAsiaTheme="minorEastAsia" w:cstheme="minorEastAsia"/>
          <w:szCs w:val="21"/>
        </w:rPr>
      </w:pPr>
      <w:bookmarkStart w:id="291" w:name="_Toc18760"/>
      <w:r>
        <w:rPr>
          <w:rFonts w:hint="eastAsia" w:asciiTheme="minorEastAsia" w:hAnsiTheme="minorEastAsia" w:eastAsiaTheme="minorEastAsia" w:cstheme="minorEastAsia"/>
          <w:szCs w:val="21"/>
        </w:rPr>
        <w:t>六、违约、索赔和争议</w:t>
      </w:r>
      <w:bookmarkEnd w:id="291"/>
    </w:p>
    <w:p>
      <w:pPr>
        <w:spacing w:line="276" w:lineRule="auto"/>
        <w:ind w:firstLine="377" w:firstLineChars="179"/>
        <w:rPr>
          <w:rFonts w:asciiTheme="minorEastAsia" w:hAnsiTheme="minorEastAsia" w:eastAsiaTheme="minorEastAsia" w:cstheme="minorEastAsia"/>
          <w:szCs w:val="21"/>
        </w:rPr>
      </w:pPr>
      <w:bookmarkStart w:id="292" w:name="_Toc10664"/>
      <w:r>
        <w:rPr>
          <w:rFonts w:hint="eastAsia" w:asciiTheme="minorEastAsia" w:hAnsiTheme="minorEastAsia" w:eastAsiaTheme="minorEastAsia" w:cstheme="minorEastAsia"/>
          <w:b/>
          <w:bCs/>
          <w:szCs w:val="21"/>
        </w:rPr>
        <w:t>10</w:t>
      </w:r>
      <w:r>
        <w:rPr>
          <w:rFonts w:hint="eastAsia" w:asciiTheme="minorEastAsia" w:hAnsiTheme="minorEastAsia" w:eastAsiaTheme="minorEastAsia" w:cstheme="minorEastAsia"/>
          <w:szCs w:val="21"/>
        </w:rPr>
        <w:t>．违约</w:t>
      </w:r>
      <w:bookmarkEnd w:id="292"/>
    </w:p>
    <w:p>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10．1本合同中关于双方违约的具体责任如下：</w:t>
      </w:r>
    </w:p>
    <w:p>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本合同通用条款约定发包人违约应承担的违约责任：</w:t>
      </w:r>
      <w:r>
        <w:rPr>
          <w:rFonts w:hint="eastAsia" w:asciiTheme="minorEastAsia" w:hAnsiTheme="minorEastAsia" w:eastAsiaTheme="minorEastAsia" w:cstheme="minorEastAsia"/>
          <w:szCs w:val="21"/>
          <w:u w:val="single"/>
        </w:rPr>
        <w:t>按通用条款执行</w:t>
      </w:r>
      <w:r>
        <w:rPr>
          <w:rFonts w:hint="eastAsia" w:asciiTheme="minorEastAsia" w:hAnsiTheme="minorEastAsia" w:eastAsiaTheme="minorEastAsia" w:cstheme="minorEastAsia"/>
          <w:szCs w:val="21"/>
        </w:rPr>
        <w:t>。</w:t>
      </w:r>
    </w:p>
    <w:p>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本合同通用条款约定承包人违约应承担的违约责任：</w:t>
      </w:r>
      <w:r>
        <w:rPr>
          <w:rFonts w:hint="eastAsia" w:asciiTheme="minorEastAsia" w:hAnsiTheme="minorEastAsia" w:eastAsiaTheme="minorEastAsia" w:cstheme="minorEastAsia"/>
          <w:szCs w:val="21"/>
          <w:u w:val="single"/>
        </w:rPr>
        <w:t>按通用条款执行</w:t>
      </w:r>
      <w:r>
        <w:rPr>
          <w:rFonts w:hint="eastAsia" w:asciiTheme="minorEastAsia" w:hAnsiTheme="minorEastAsia" w:eastAsiaTheme="minorEastAsia" w:cstheme="minorEastAsia"/>
          <w:szCs w:val="21"/>
        </w:rPr>
        <w:t>。</w:t>
      </w:r>
    </w:p>
    <w:p>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双方约定的其他违约责任：</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 xml:space="preserve">。             </w:t>
      </w:r>
    </w:p>
    <w:p>
      <w:pPr>
        <w:spacing w:line="276" w:lineRule="auto"/>
        <w:ind w:firstLine="379" w:firstLineChars="180"/>
        <w:rPr>
          <w:rFonts w:asciiTheme="minorEastAsia" w:hAnsiTheme="minorEastAsia" w:eastAsiaTheme="minorEastAsia" w:cstheme="minorEastAsia"/>
          <w:szCs w:val="21"/>
        </w:rPr>
      </w:pPr>
      <w:bookmarkStart w:id="293" w:name="_Toc5085"/>
      <w:r>
        <w:rPr>
          <w:rFonts w:hint="eastAsia" w:asciiTheme="minorEastAsia" w:hAnsiTheme="minorEastAsia" w:eastAsiaTheme="minorEastAsia" w:cstheme="minorEastAsia"/>
          <w:b/>
          <w:bCs/>
          <w:szCs w:val="21"/>
        </w:rPr>
        <w:t>11</w:t>
      </w:r>
      <w:r>
        <w:rPr>
          <w:rFonts w:hint="eastAsia" w:asciiTheme="minorEastAsia" w:hAnsiTheme="minorEastAsia" w:eastAsiaTheme="minorEastAsia" w:cstheme="minorEastAsia"/>
          <w:szCs w:val="21"/>
        </w:rPr>
        <w:t>．争议</w:t>
      </w:r>
      <w:bookmarkEnd w:id="293"/>
    </w:p>
    <w:p>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11．1本合同在履行过程中发生的争议，由双方当事人协商解决，协商不成的，按下列第</w:t>
      </w:r>
      <w:r>
        <w:rPr>
          <w:rFonts w:hint="eastAsia" w:asciiTheme="minorEastAsia" w:hAnsiTheme="minorEastAsia" w:eastAsiaTheme="minorEastAsia" w:cstheme="minorEastAsia"/>
          <w:szCs w:val="21"/>
          <w:u w:val="single"/>
        </w:rPr>
        <w:t xml:space="preserve"> 2 </w:t>
      </w:r>
      <w:r>
        <w:rPr>
          <w:rFonts w:hint="eastAsia" w:asciiTheme="minorEastAsia" w:hAnsiTheme="minorEastAsia" w:eastAsiaTheme="minorEastAsia" w:cstheme="minorEastAsia"/>
          <w:szCs w:val="21"/>
        </w:rPr>
        <w:t>种方式解决：</w:t>
      </w:r>
    </w:p>
    <w:p>
      <w:pPr>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（1）提交</w:t>
      </w:r>
      <w:r>
        <w:rPr>
          <w:rFonts w:hint="eastAsia" w:asciiTheme="minorEastAsia" w:hAnsiTheme="minorEastAsia" w:eastAsiaTheme="minorEastAsia" w:cstheme="minorEastAsia"/>
          <w:szCs w:val="21"/>
          <w:u w:val="single"/>
        </w:rPr>
        <w:t xml:space="preserve"> 盐城</w:t>
      </w:r>
      <w:r>
        <w:rPr>
          <w:rFonts w:hint="eastAsia" w:asciiTheme="minorEastAsia" w:hAnsiTheme="minorEastAsia" w:eastAsiaTheme="minorEastAsia" w:cstheme="minorEastAsia"/>
          <w:szCs w:val="21"/>
        </w:rPr>
        <w:t>仲裁委员会（建设工程仲裁办事处）仲裁；</w:t>
      </w:r>
    </w:p>
    <w:p>
      <w:pPr>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（2）依法向人民法院起诉。</w:t>
      </w:r>
    </w:p>
    <w:p>
      <w:pPr>
        <w:spacing w:line="276" w:lineRule="auto"/>
        <w:ind w:firstLine="379" w:firstLineChars="180"/>
        <w:rPr>
          <w:rFonts w:asciiTheme="minorEastAsia" w:hAnsiTheme="minorEastAsia" w:eastAsiaTheme="minorEastAsia" w:cstheme="minorEastAsia"/>
          <w:szCs w:val="21"/>
        </w:rPr>
      </w:pPr>
      <w:bookmarkStart w:id="294" w:name="_Toc21555"/>
      <w:r>
        <w:rPr>
          <w:rFonts w:hint="eastAsia" w:asciiTheme="minorEastAsia" w:hAnsiTheme="minorEastAsia" w:eastAsiaTheme="minorEastAsia" w:cstheme="minorEastAsia"/>
          <w:b/>
          <w:bCs/>
          <w:szCs w:val="21"/>
        </w:rPr>
        <w:t>12</w:t>
      </w:r>
      <w:r>
        <w:rPr>
          <w:rFonts w:hint="eastAsia" w:asciiTheme="minorEastAsia" w:hAnsiTheme="minorEastAsia" w:eastAsiaTheme="minorEastAsia" w:cstheme="minorEastAsia"/>
          <w:szCs w:val="21"/>
        </w:rPr>
        <w:t>．不可抗力</w:t>
      </w:r>
      <w:bookmarkEnd w:id="294"/>
    </w:p>
    <w:p>
      <w:pPr>
        <w:spacing w:line="276" w:lineRule="auto"/>
        <w:ind w:firstLine="482" w:firstLineChars="23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12．1双方关于不可抗力的约定：</w:t>
      </w:r>
      <w:r>
        <w:rPr>
          <w:rFonts w:hint="eastAsia" w:asciiTheme="minorEastAsia" w:hAnsiTheme="minorEastAsia" w:eastAsiaTheme="minorEastAsia" w:cstheme="minorEastAsia"/>
          <w:szCs w:val="21"/>
          <w:u w:val="single"/>
        </w:rPr>
        <w:t>按通用条款规定执行</w:t>
      </w:r>
      <w:r>
        <w:rPr>
          <w:rFonts w:hint="eastAsia" w:asciiTheme="minorEastAsia" w:hAnsiTheme="minorEastAsia" w:eastAsiaTheme="minorEastAsia" w:cstheme="minorEastAsia"/>
          <w:szCs w:val="21"/>
        </w:rPr>
        <w:t>。</w:t>
      </w:r>
    </w:p>
    <w:p>
      <w:pPr>
        <w:spacing w:line="276" w:lineRule="auto"/>
        <w:ind w:firstLine="378" w:firstLineChars="180"/>
        <w:rPr>
          <w:rFonts w:asciiTheme="minorEastAsia" w:hAnsiTheme="minorEastAsia" w:eastAsiaTheme="minorEastAsia" w:cstheme="minorEastAsia"/>
          <w:szCs w:val="21"/>
        </w:rPr>
      </w:pPr>
      <w:bookmarkStart w:id="295" w:name="_Toc29569"/>
      <w:r>
        <w:rPr>
          <w:rFonts w:hint="eastAsia" w:asciiTheme="minorEastAsia" w:hAnsiTheme="minorEastAsia" w:eastAsiaTheme="minorEastAsia" w:cstheme="minorEastAsia"/>
          <w:szCs w:val="21"/>
        </w:rPr>
        <w:t>13．保险</w:t>
      </w:r>
      <w:bookmarkEnd w:id="295"/>
    </w:p>
    <w:p>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13.1本工程双方约定投保内容如下：</w:t>
      </w:r>
    </w:p>
    <w:p>
      <w:pPr>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（1）发包人投包内容：</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发包人委托承包人办理的保险事项：</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（2）承包人投保内容：</w:t>
      </w:r>
      <w:r>
        <w:rPr>
          <w:rFonts w:hint="eastAsia" w:asciiTheme="minorEastAsia" w:hAnsiTheme="minorEastAsia" w:eastAsiaTheme="minorEastAsia" w:cstheme="minorEastAsia"/>
          <w:szCs w:val="21"/>
          <w:u w:val="single"/>
        </w:rPr>
        <w:t>按要求对施工现场内的员工的人身伤害及财产、从事危险作业员工的意外伤害参加保险</w:t>
      </w:r>
      <w:r>
        <w:rPr>
          <w:rFonts w:hint="eastAsia" w:asciiTheme="minorEastAsia" w:hAnsiTheme="minorEastAsia" w:eastAsiaTheme="minorEastAsia" w:cstheme="minorEastAsia"/>
          <w:szCs w:val="21"/>
        </w:rPr>
        <w:t>。</w:t>
      </w:r>
    </w:p>
    <w:p>
      <w:pPr>
        <w:spacing w:line="276" w:lineRule="auto"/>
        <w:ind w:firstLine="379" w:firstLineChars="180"/>
        <w:rPr>
          <w:rFonts w:asciiTheme="minorEastAsia" w:hAnsiTheme="minorEastAsia" w:eastAsiaTheme="minorEastAsia" w:cstheme="minorEastAsia"/>
          <w:szCs w:val="21"/>
        </w:rPr>
      </w:pPr>
      <w:bookmarkStart w:id="296" w:name="_Toc7448"/>
      <w:r>
        <w:rPr>
          <w:rFonts w:hint="eastAsia" w:asciiTheme="minorEastAsia" w:hAnsiTheme="minorEastAsia" w:eastAsiaTheme="minorEastAsia" w:cstheme="minorEastAsia"/>
          <w:b/>
          <w:bCs/>
          <w:szCs w:val="21"/>
        </w:rPr>
        <w:t>14</w:t>
      </w:r>
      <w:r>
        <w:rPr>
          <w:rFonts w:hint="eastAsia" w:asciiTheme="minorEastAsia" w:hAnsiTheme="minorEastAsia" w:eastAsiaTheme="minorEastAsia" w:cstheme="minorEastAsia"/>
          <w:szCs w:val="21"/>
        </w:rPr>
        <w:t>．担保</w:t>
      </w:r>
      <w:bookmarkEnd w:id="296"/>
    </w:p>
    <w:p>
      <w:pPr>
        <w:spacing w:line="276" w:lineRule="auto"/>
        <w:ind w:firstLine="482" w:firstLineChars="23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14.1本工程双方约定担保事项如下：</w:t>
      </w:r>
    </w:p>
    <w:p>
      <w:pPr>
        <w:spacing w:line="276" w:lineRule="auto"/>
        <w:ind w:firstLine="363" w:firstLineChars="18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 发包人向承包人提供履约担保，担保方式为：</w:t>
      </w:r>
      <w:r>
        <w:rPr>
          <w:rFonts w:hint="eastAsia" w:asciiTheme="minorEastAsia" w:hAnsiTheme="minorEastAsia" w:eastAsiaTheme="minorEastAsia" w:cstheme="minorEastAsia"/>
          <w:spacing w:val="-4"/>
          <w:szCs w:val="21"/>
          <w:u w:val="single"/>
        </w:rPr>
        <w:t xml:space="preserve">  /  </w:t>
      </w:r>
      <w:r>
        <w:rPr>
          <w:rFonts w:hint="eastAsia" w:asciiTheme="minorEastAsia" w:hAnsiTheme="minorEastAsia" w:eastAsiaTheme="minorEastAsia" w:cstheme="minorEastAsia"/>
          <w:spacing w:val="-4"/>
          <w:szCs w:val="21"/>
        </w:rPr>
        <w:t>担保合同作为本合同的附件。</w:t>
      </w:r>
    </w:p>
    <w:p>
      <w:pPr>
        <w:spacing w:line="276" w:lineRule="auto"/>
        <w:ind w:firstLine="378" w:firstLineChars="1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（2）承包人向发包人提供履约保证金为：</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spacing w:line="276" w:lineRule="auto"/>
        <w:ind w:firstLine="378" w:firstLineChars="1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（3）双方约定的其他担保事项：</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pPr>
        <w:spacing w:line="276" w:lineRule="auto"/>
        <w:ind w:firstLine="379" w:firstLineChars="180"/>
        <w:rPr>
          <w:rFonts w:asciiTheme="minorEastAsia" w:hAnsiTheme="minorEastAsia" w:eastAsiaTheme="minorEastAsia" w:cstheme="minorEastAsia"/>
          <w:b/>
          <w:bCs/>
          <w:szCs w:val="21"/>
        </w:rPr>
      </w:pPr>
      <w:bookmarkStart w:id="297" w:name="_Toc20605"/>
      <w:r>
        <w:rPr>
          <w:rFonts w:hint="eastAsia" w:asciiTheme="minorEastAsia" w:hAnsiTheme="minorEastAsia" w:eastAsiaTheme="minorEastAsia" w:cstheme="minorEastAsia"/>
          <w:b/>
          <w:bCs/>
          <w:szCs w:val="21"/>
        </w:rPr>
        <w:t>15．其他</w:t>
      </w:r>
      <w:bookmarkEnd w:id="297"/>
    </w:p>
    <w:p>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15.1  投标承诺的项目经理及项目组成员必须全部到场，投标中标的项目经理必须到现场组织指挥施工，否则，按违约处理。</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15.2  工期：合同签订后30天内完成工程建设及设备安装调试。</w:t>
      </w:r>
    </w:p>
    <w:p>
      <w:pPr>
        <w:ind w:firstLine="422" w:firstLineChars="200"/>
        <w:rPr>
          <w:rFonts w:asciiTheme="minorEastAsia" w:hAnsiTheme="minorEastAsia" w:eastAsiaTheme="minorEastAsia" w:cstheme="minorEastAsia"/>
          <w:szCs w:val="21"/>
        </w:rPr>
      </w:pPr>
      <w:r>
        <w:rPr>
          <w:rFonts w:hint="eastAsia" w:ascii="宋体" w:hAnsi="宋体" w:cs="宋体"/>
          <w:b/>
          <w:bCs/>
          <w:szCs w:val="21"/>
        </w:rPr>
        <w:t>注：</w:t>
      </w:r>
      <w:r>
        <w:rPr>
          <w:rFonts w:hint="eastAsia" w:asciiTheme="minorEastAsia" w:hAnsiTheme="minorEastAsia" w:eastAsiaTheme="minorEastAsia" w:cstheme="minorEastAsia"/>
          <w:b/>
          <w:bCs/>
          <w:szCs w:val="21"/>
        </w:rPr>
        <w:t>如因施工单位自身施工组织问题造成工期延误的，延误时间如超过3天，每延误一天，处罚1000元，如因工期延误，造成学校重大影响的，学校有权追究责任。（工程延误处罚款项在审计时直接扣除）</w:t>
      </w:r>
    </w:p>
    <w:p>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合同工期按承包人投标时的承诺工期。承包人应按照投标文件承诺的工期确保工程验收，并交付使用。</w:t>
      </w:r>
    </w:p>
    <w:p>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15.3  安全施工： 此工程必须确保安全，若因中标人原因发生的不安全问题，由中标人自行负责处理并承担一切责任。</w:t>
      </w:r>
    </w:p>
    <w:p>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15.4   工程结算：</w:t>
      </w:r>
    </w:p>
    <w:p>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15.4.1本工程采用限定总价审计结算方法，经审计后确认合同审计总价（审计时中标单价不作调整），但合同审计总价不得高于中标总价（不包含签证变更部分）</w:t>
      </w:r>
    </w:p>
    <w:p>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15.4.2结算总价=合同审计总价+签证变更的审计总价</w:t>
      </w:r>
    </w:p>
    <w:p>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15.4.3 工程竣工验收合格后乙方应提交工程结算资料，要求资料齐全，计算准确，若本工程审计核减率(含复审)达10%(含10%以上的)，全部审计费用由施工单位承担，并由学校从施工单位的工程款中扣除；若核减率在5%-10%之间的，其审计费用由施工单位和建设单位各承担50%；若核减率(含复审)为5%及其以下的审计费用，由学校承担。</w:t>
      </w:r>
    </w:p>
    <w:p>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15.4.4  中标后竣工结算时合同总价不调整，结算总价调整幅度不超过中标总价。</w:t>
      </w:r>
    </w:p>
    <w:p>
      <w:pPr>
        <w:snapToGrid w:val="0"/>
        <w:spacing w:line="276"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15.5  保修：本项目质保期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年，质量保修期从工程竣工验收合格之日起计算，具体保修范围、保修期限、保修责任、保修金的支付、返还应按《建设工程质量管理条例》和《房屋建筑工程质量保修办法》及双方约定执行。</w:t>
      </w:r>
    </w:p>
    <w:p>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15.6  分包：发包人不允许承包人将工程转包和违法分包给任何第三方，如发现转包或违法分包行为，限令改正，否则发包方有权立即中止合同，扣除履约担保，承包方负违约责任。</w:t>
      </w:r>
    </w:p>
    <w:p>
      <w:pPr>
        <w:snapToGrid w:val="0"/>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15.7  违约责任：按《民法典》执行</w:t>
      </w:r>
    </w:p>
    <w:p>
      <w:pPr>
        <w:snapToGrid w:val="0"/>
        <w:spacing w:line="276" w:lineRule="auto"/>
        <w:ind w:firstLine="417" w:firstLineChars="198"/>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15.8、特别说明：</w:t>
      </w:r>
    </w:p>
    <w:p>
      <w:pPr>
        <w:snapToGrid w:val="0"/>
        <w:spacing w:line="276"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该工程施工过程中项目负责人和投标时确认的项目部人员必须常驻现场实施施工管理，并参与建设单位的日常考勤。中途项目负责人和项目部人员需离岗必须履行书面请假手续并经发包人同意。若未经发包人同意而擅自离岗的，将处以每人每天 500元的违约金，在支付工程款时从应付的工程款中扣除。若擅自离岗连续达7天以上的，经发包人提出仍未改正的，发包人有权终止合同，因此给发包人造成损失的，发包人将依法追偿。</w:t>
      </w:r>
    </w:p>
    <w:p>
      <w:pPr>
        <w:snapToGrid w:val="0"/>
        <w:spacing w:line="276"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2．承包人在选择材料、设备时，应在满足本项目设计标准、质量和使用要求的前提下，选用同档次的优质优价的产品。</w:t>
      </w:r>
    </w:p>
    <w:p>
      <w:pPr>
        <w:snapToGrid w:val="0"/>
        <w:spacing w:line="276"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3．承包人已对现场进行了充分勘察，并将临时施工便道考虑在投标报价中，费用包干，承包方提出与此有关费用的索赔发包人不予支付。</w:t>
      </w:r>
    </w:p>
    <w:p>
      <w:pPr>
        <w:snapToGrid w:val="0"/>
        <w:spacing w:line="276"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4．承包人已进行现场勘察，并将从发包人指定的水、电接口接至施工现场的电缆、</w:t>
      </w:r>
    </w:p>
    <w:p>
      <w:pPr>
        <w:snapToGrid w:val="0"/>
        <w:spacing w:line="276"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水管等材料及施工费用考虑在投标报价中，费用包干；施工过程中所用水、电向建设单</w:t>
      </w:r>
    </w:p>
    <w:p>
      <w:pPr>
        <w:snapToGrid w:val="0"/>
        <w:spacing w:line="276"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位协调，费用交建设单位。水电费损耗按所用水、电量占总用水、电量比率分摊。</w:t>
      </w:r>
    </w:p>
    <w:p>
      <w:pPr>
        <w:snapToGrid w:val="0"/>
        <w:spacing w:line="276"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5．承包人在投标时已充分考虑在施工期间必须设置醒目的交通安全标志、标牌及警示灯，同时保证道路正常通行。</w:t>
      </w:r>
    </w:p>
    <w:p>
      <w:pPr>
        <w:snapToGrid w:val="0"/>
        <w:spacing w:line="276"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6．承包人必须到现场进行勘察向发包人了解施工现状，充分考虑本工程施工中可预见或不可预见的情况，各项事宜必须服从发包人安排和管理。</w:t>
      </w:r>
    </w:p>
    <w:p>
      <w:pPr>
        <w:snapToGrid w:val="0"/>
        <w:spacing w:line="276"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bookmarkStart w:id="298" w:name="_Toc4544"/>
      <w:r>
        <w:rPr>
          <w:rFonts w:hint="eastAsia" w:asciiTheme="minorEastAsia" w:hAnsiTheme="minorEastAsia" w:eastAsiaTheme="minorEastAsia" w:cstheme="minorEastAsia"/>
          <w:kern w:val="0"/>
          <w:szCs w:val="21"/>
        </w:rPr>
        <w:t>7．工程价款一律通过银行非现金结算。</w:t>
      </w:r>
      <w:bookmarkEnd w:id="298"/>
    </w:p>
    <w:p>
      <w:pPr>
        <w:spacing w:line="276" w:lineRule="auto"/>
        <w:ind w:firstLine="415" w:firstLineChars="197"/>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15.9 招标内容及详细的做法要求（任务要求）</w:t>
      </w:r>
    </w:p>
    <w:p>
      <w:pPr>
        <w:snapToGrid w:val="0"/>
        <w:spacing w:line="276"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本招标项目内容、任务、要求以招标文件、施工设计方案和招标人要求为准，基本要求如下（附任务清单）：</w:t>
      </w:r>
    </w:p>
    <w:p>
      <w:pPr>
        <w:snapToGrid w:val="0"/>
        <w:spacing w:line="276"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特别说明：</w:t>
      </w:r>
    </w:p>
    <w:p>
      <w:pPr>
        <w:spacing w:line="276" w:lineRule="auto"/>
        <w:ind w:firstLine="417" w:firstLineChars="199"/>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投标人应自行根据勘察情况进行测算，勘察测算中有不清楚和设计深度不足的部分，一律由投标人自行深化并报价。参考任务清单有漏项、漏算等的，投标人可自行增加项目并报价，否则，视为优惠。中标后除超出范围的设计变更外，中标人一律无权要求调整总价。</w:t>
      </w:r>
    </w:p>
    <w:p>
      <w:pPr>
        <w:spacing w:line="276" w:lineRule="auto"/>
        <w:ind w:firstLine="417" w:firstLineChars="199"/>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2、报价书的格式投标自拟装修清单格式报价。管理费、税金等的费率由投标人自行测试计取，竣工结算时向招标人提供建安发票。</w:t>
      </w:r>
    </w:p>
    <w:p>
      <w:pPr>
        <w:spacing w:line="276" w:lineRule="auto"/>
        <w:ind w:firstLine="417" w:firstLineChars="199"/>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投标人应包含全部费用进行报价，对未报价的项目视为优惠，其价格包含在其他报价中，中标后一律不得另行计取。投标人的计算错误风险一律由投标人自行承担，中标后招标人将按有利于招标人的原则进行修正。</w:t>
      </w:r>
    </w:p>
    <w:p>
      <w:pPr>
        <w:spacing w:line="276" w:lineRule="auto"/>
        <w:ind w:firstLine="417" w:firstLineChars="199"/>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3、本项目主要材料最终使用时品牌、品质等需经建设单位认可后方可进场。</w:t>
      </w:r>
    </w:p>
    <w:p>
      <w:pPr>
        <w:spacing w:line="276" w:lineRule="auto"/>
        <w:ind w:firstLine="103"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  </w:t>
      </w:r>
      <w:bookmarkStart w:id="299" w:name="_Toc14291"/>
      <w:r>
        <w:rPr>
          <w:rFonts w:hint="eastAsia" w:asciiTheme="minorEastAsia" w:hAnsiTheme="minorEastAsia" w:eastAsiaTheme="minorEastAsia" w:cstheme="minorEastAsia"/>
          <w:b/>
          <w:szCs w:val="21"/>
        </w:rPr>
        <w:t>16．</w:t>
      </w:r>
      <w:r>
        <w:rPr>
          <w:rFonts w:hint="eastAsia" w:asciiTheme="minorEastAsia" w:hAnsiTheme="minorEastAsia" w:eastAsiaTheme="minorEastAsia" w:cstheme="minorEastAsia"/>
          <w:szCs w:val="21"/>
        </w:rPr>
        <w:t>合同份数</w:t>
      </w:r>
      <w:bookmarkEnd w:id="299"/>
    </w:p>
    <w:p>
      <w:pPr>
        <w:spacing w:line="276" w:lineRule="auto"/>
        <w:ind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16．1双方约定合同份数： </w:t>
      </w:r>
      <w:r>
        <w:rPr>
          <w:rFonts w:hint="eastAsia" w:asciiTheme="minorEastAsia" w:hAnsiTheme="minorEastAsia" w:eastAsiaTheme="minorEastAsia" w:cstheme="minorEastAsia"/>
          <w:szCs w:val="21"/>
          <w:u w:val="single"/>
        </w:rPr>
        <w:t xml:space="preserve">一式六份，正本壹份，副本五份 </w:t>
      </w:r>
      <w:r>
        <w:rPr>
          <w:rFonts w:hint="eastAsia" w:asciiTheme="minorEastAsia" w:hAnsiTheme="minorEastAsia" w:eastAsiaTheme="minorEastAsia" w:cstheme="minorEastAsia"/>
          <w:szCs w:val="21"/>
        </w:rPr>
        <w:t>。</w:t>
      </w:r>
    </w:p>
    <w:p>
      <w:pPr>
        <w:pStyle w:val="9"/>
      </w:pPr>
    </w:p>
    <w:p>
      <w:pPr>
        <w:rPr>
          <w:rFonts w:ascii="宋体" w:hAnsi="宋体" w:cs="Calibri"/>
          <w:b/>
          <w:szCs w:val="21"/>
        </w:rPr>
      </w:pPr>
    </w:p>
    <w:p>
      <w:pPr>
        <w:rPr>
          <w:rFonts w:ascii="宋体" w:hAnsi="宋体" w:cs="Calibri"/>
          <w:b/>
          <w:szCs w:val="21"/>
        </w:rPr>
      </w:pPr>
    </w:p>
    <w:p>
      <w:pPr>
        <w:rPr>
          <w:rFonts w:ascii="宋体" w:hAnsi="宋体" w:cs="Calibri"/>
          <w:b/>
          <w:szCs w:val="21"/>
        </w:rPr>
      </w:pPr>
    </w:p>
    <w:p>
      <w:pPr>
        <w:rPr>
          <w:rFonts w:ascii="宋体" w:hAnsi="宋体" w:cs="Calibri"/>
          <w:b/>
          <w:szCs w:val="21"/>
        </w:rPr>
      </w:pPr>
    </w:p>
    <w:p>
      <w:pPr>
        <w:rPr>
          <w:rFonts w:ascii="宋体" w:hAnsi="宋体" w:cs="Calibri"/>
          <w:b/>
          <w:szCs w:val="21"/>
        </w:rPr>
      </w:pPr>
    </w:p>
    <w:p>
      <w:pPr>
        <w:rPr>
          <w:rFonts w:ascii="宋体" w:hAnsi="宋体" w:cs="Calibri"/>
          <w:b/>
          <w:szCs w:val="21"/>
        </w:rPr>
      </w:pPr>
    </w:p>
    <w:p>
      <w:pPr>
        <w:rPr>
          <w:rFonts w:ascii="宋体" w:hAnsi="宋体" w:cs="Calibri"/>
          <w:b/>
          <w:szCs w:val="21"/>
        </w:rPr>
      </w:pPr>
    </w:p>
    <w:p>
      <w:pPr>
        <w:rPr>
          <w:rFonts w:ascii="宋体" w:hAnsi="宋体" w:cs="Calibri"/>
          <w:b/>
          <w:szCs w:val="21"/>
        </w:rPr>
      </w:pPr>
    </w:p>
    <w:p>
      <w:pPr>
        <w:rPr>
          <w:rFonts w:ascii="宋体" w:hAnsi="宋体" w:cs="Calibri"/>
          <w:b/>
          <w:szCs w:val="21"/>
        </w:rPr>
      </w:pPr>
    </w:p>
    <w:p>
      <w:pPr>
        <w:rPr>
          <w:rFonts w:ascii="宋体" w:hAnsi="宋体" w:cs="Calibri"/>
          <w:b/>
          <w:szCs w:val="21"/>
        </w:rPr>
      </w:pPr>
    </w:p>
    <w:p>
      <w:pPr>
        <w:rPr>
          <w:rFonts w:ascii="宋体" w:hAnsi="宋体" w:cs="Calibri"/>
          <w:b/>
          <w:szCs w:val="21"/>
        </w:rPr>
      </w:pPr>
    </w:p>
    <w:p>
      <w:pPr>
        <w:rPr>
          <w:rFonts w:ascii="宋体" w:hAnsi="宋体" w:cs="Calibri"/>
          <w:b/>
          <w:szCs w:val="21"/>
        </w:rPr>
      </w:pPr>
    </w:p>
    <w:p/>
    <w:p>
      <w:pPr>
        <w:rPr>
          <w:rFonts w:ascii="宋体" w:hAnsi="宋体" w:cs="Calibri"/>
          <w:b/>
          <w:szCs w:val="21"/>
        </w:rPr>
      </w:pPr>
      <w:r>
        <w:rPr>
          <w:rFonts w:hint="eastAsia" w:ascii="宋体" w:hAnsi="宋体" w:cs="Calibri"/>
          <w:b/>
          <w:szCs w:val="21"/>
        </w:rPr>
        <w:br w:type="page"/>
      </w:r>
    </w:p>
    <w:p>
      <w:pPr>
        <w:spacing w:line="300" w:lineRule="exact"/>
        <w:ind w:firstLine="422" w:firstLineChars="200"/>
        <w:jc w:val="center"/>
        <w:rPr>
          <w:rFonts w:ascii="宋体" w:hAnsi="宋体" w:cs="Calibri"/>
          <w:b/>
          <w:szCs w:val="21"/>
        </w:rPr>
      </w:pPr>
      <w:bookmarkStart w:id="300" w:name="_Toc21367"/>
      <w:bookmarkStart w:id="301" w:name="_Toc28666"/>
      <w:bookmarkStart w:id="302" w:name="_Toc20981"/>
      <w:bookmarkStart w:id="303" w:name="_Toc24801"/>
    </w:p>
    <w:p>
      <w:pPr>
        <w:spacing w:line="300" w:lineRule="exact"/>
        <w:ind w:firstLine="422" w:firstLineChars="200"/>
        <w:jc w:val="center"/>
        <w:outlineLvl w:val="2"/>
        <w:rPr>
          <w:rFonts w:ascii="宋体" w:hAnsi="宋体" w:cs="Calibri"/>
          <w:b/>
          <w:szCs w:val="21"/>
        </w:rPr>
      </w:pPr>
      <w:bookmarkStart w:id="304" w:name="_Toc16983"/>
      <w:r>
        <w:rPr>
          <w:rFonts w:hint="eastAsia" w:ascii="宋体" w:hAnsi="宋体" w:cs="Calibri"/>
          <w:b/>
          <w:szCs w:val="21"/>
        </w:rPr>
        <w:t>工程</w:t>
      </w:r>
      <w:r>
        <w:rPr>
          <w:rFonts w:ascii="宋体" w:hAnsi="宋体" w:cs="Calibri"/>
          <w:b/>
          <w:szCs w:val="21"/>
        </w:rPr>
        <w:t>安全生产责任状</w:t>
      </w:r>
      <w:bookmarkEnd w:id="300"/>
      <w:bookmarkEnd w:id="301"/>
      <w:bookmarkEnd w:id="302"/>
      <w:bookmarkEnd w:id="303"/>
      <w:bookmarkEnd w:id="304"/>
    </w:p>
    <w:p>
      <w:pPr>
        <w:spacing w:line="440" w:lineRule="exact"/>
        <w:rPr>
          <w:rFonts w:ascii="宋体" w:hAnsi="宋体"/>
          <w:szCs w:val="21"/>
        </w:rPr>
      </w:pPr>
    </w:p>
    <w:p>
      <w:pPr>
        <w:widowControl/>
        <w:spacing w:line="276" w:lineRule="auto"/>
        <w:rPr>
          <w:rFonts w:ascii="宋体" w:hAnsi="宋体"/>
          <w:szCs w:val="21"/>
        </w:rPr>
      </w:pPr>
      <w:r>
        <w:rPr>
          <w:rFonts w:ascii="宋体" w:hAnsi="宋体"/>
          <w:szCs w:val="21"/>
        </w:rPr>
        <w:t>发包人</w:t>
      </w:r>
      <w:r>
        <w:rPr>
          <w:rFonts w:hint="eastAsia" w:ascii="宋体" w:hAnsi="宋体"/>
          <w:szCs w:val="21"/>
        </w:rPr>
        <w:t>：</w:t>
      </w:r>
    </w:p>
    <w:p>
      <w:pPr>
        <w:widowControl/>
        <w:spacing w:line="276" w:lineRule="auto"/>
        <w:rPr>
          <w:rFonts w:ascii="宋体" w:hAnsi="宋体"/>
          <w:szCs w:val="21"/>
        </w:rPr>
      </w:pPr>
      <w:r>
        <w:rPr>
          <w:rFonts w:ascii="宋体" w:hAnsi="宋体"/>
          <w:szCs w:val="21"/>
        </w:rPr>
        <w:t>承包人</w:t>
      </w:r>
      <w:r>
        <w:rPr>
          <w:rFonts w:hint="eastAsia" w:ascii="宋体" w:hAnsi="宋体"/>
          <w:szCs w:val="21"/>
        </w:rPr>
        <w:t>：</w:t>
      </w:r>
    </w:p>
    <w:p>
      <w:pPr>
        <w:widowControl/>
        <w:spacing w:line="276" w:lineRule="auto"/>
        <w:ind w:firstLine="409" w:firstLineChars="195"/>
        <w:rPr>
          <w:rFonts w:ascii="宋体" w:hAnsi="宋体"/>
          <w:szCs w:val="21"/>
        </w:rPr>
      </w:pPr>
      <w:r>
        <w:rPr>
          <w:rFonts w:ascii="宋体" w:hAnsi="宋体"/>
          <w:szCs w:val="21"/>
        </w:rPr>
        <w:t>为贯彻“安全第一，预防为主”方针，明确双方的安全责任，切实加强</w:t>
      </w:r>
      <w:r>
        <w:rPr>
          <w:rFonts w:hint="eastAsia" w:ascii="宋体" w:hAnsi="宋体"/>
          <w:szCs w:val="21"/>
        </w:rPr>
        <w:t>工程</w:t>
      </w:r>
      <w:r>
        <w:rPr>
          <w:rFonts w:ascii="宋体" w:hAnsi="宋体"/>
          <w:szCs w:val="21"/>
        </w:rPr>
        <w:t>管理，确保施工中人身和设备安全，根据国家有关法律法规，经双方协商一致签订</w:t>
      </w:r>
      <w:r>
        <w:rPr>
          <w:rFonts w:hint="eastAsia" w:ascii="宋体" w:hAnsi="宋体"/>
          <w:szCs w:val="21"/>
        </w:rPr>
        <w:t>工程</w:t>
      </w:r>
      <w:r>
        <w:rPr>
          <w:rFonts w:ascii="宋体" w:hAnsi="宋体"/>
          <w:szCs w:val="21"/>
        </w:rPr>
        <w:t>安全生产管理目标责任状如下：</w:t>
      </w:r>
    </w:p>
    <w:p>
      <w:pPr>
        <w:widowControl/>
        <w:spacing w:line="276" w:lineRule="auto"/>
        <w:ind w:firstLine="420" w:firstLineChars="200"/>
        <w:rPr>
          <w:rFonts w:ascii="宋体" w:hAnsi="宋体"/>
          <w:szCs w:val="21"/>
          <w:u w:val="single"/>
        </w:rPr>
      </w:pPr>
      <w:r>
        <w:rPr>
          <w:rFonts w:ascii="宋体" w:hAnsi="宋体"/>
          <w:szCs w:val="21"/>
        </w:rPr>
        <w:t>一、</w:t>
      </w:r>
      <w:r>
        <w:rPr>
          <w:rFonts w:hint="eastAsia" w:ascii="宋体" w:hAnsi="宋体"/>
          <w:szCs w:val="21"/>
        </w:rPr>
        <w:t>工程</w:t>
      </w:r>
      <w:r>
        <w:rPr>
          <w:rFonts w:ascii="宋体" w:hAnsi="宋体"/>
          <w:szCs w:val="21"/>
        </w:rPr>
        <w:t>名称：</w:t>
      </w:r>
    </w:p>
    <w:p>
      <w:pPr>
        <w:widowControl/>
        <w:spacing w:line="276" w:lineRule="auto"/>
        <w:ind w:firstLine="420" w:firstLineChars="200"/>
        <w:rPr>
          <w:rFonts w:ascii="宋体" w:hAnsi="宋体"/>
          <w:szCs w:val="21"/>
        </w:rPr>
      </w:pPr>
      <w:r>
        <w:rPr>
          <w:rFonts w:ascii="宋体" w:hAnsi="宋体"/>
          <w:szCs w:val="21"/>
        </w:rPr>
        <w:t>二、发包人的主要安全责任：</w:t>
      </w:r>
    </w:p>
    <w:p>
      <w:pPr>
        <w:widowControl/>
        <w:spacing w:line="276" w:lineRule="auto"/>
        <w:ind w:firstLine="409" w:firstLineChars="195"/>
        <w:rPr>
          <w:rFonts w:ascii="宋体" w:hAnsi="宋体" w:cs="宋体"/>
          <w:szCs w:val="21"/>
        </w:rPr>
      </w:pPr>
      <w:r>
        <w:rPr>
          <w:rFonts w:hint="eastAsia" w:ascii="宋体" w:hAnsi="宋体" w:cs="宋体"/>
          <w:szCs w:val="21"/>
        </w:rPr>
        <w:t>1、及时宣传贯彻国家、省、市有关安全生产的方针、政策、法律、法规。</w:t>
      </w:r>
    </w:p>
    <w:p>
      <w:pPr>
        <w:widowControl/>
        <w:spacing w:line="276" w:lineRule="auto"/>
        <w:ind w:firstLine="409" w:firstLineChars="195"/>
        <w:rPr>
          <w:rFonts w:ascii="宋体" w:hAnsi="宋体" w:cs="宋体"/>
          <w:szCs w:val="21"/>
        </w:rPr>
      </w:pPr>
      <w:r>
        <w:rPr>
          <w:rFonts w:hint="eastAsia" w:ascii="宋体" w:hAnsi="宋体" w:cs="宋体"/>
          <w:szCs w:val="21"/>
        </w:rPr>
        <w:t>2、严肃查处工程各类安全隐患并落实整改责任单位和责任人，涉及查处等事项及时通报承包人。</w:t>
      </w:r>
    </w:p>
    <w:p>
      <w:pPr>
        <w:widowControl/>
        <w:spacing w:line="276" w:lineRule="auto"/>
        <w:ind w:firstLine="409" w:firstLineChars="195"/>
        <w:rPr>
          <w:rFonts w:ascii="宋体" w:hAnsi="宋体" w:cs="宋体"/>
          <w:szCs w:val="21"/>
        </w:rPr>
      </w:pPr>
      <w:r>
        <w:rPr>
          <w:rFonts w:hint="eastAsia" w:ascii="宋体" w:hAnsi="宋体" w:cs="宋体"/>
          <w:szCs w:val="21"/>
        </w:rPr>
        <w:t xml:space="preserve">3、指派专职安监员深入施工现场，加强工程安全行为和建筑实体的安全督查。 </w:t>
      </w:r>
    </w:p>
    <w:p>
      <w:pPr>
        <w:widowControl/>
        <w:spacing w:line="276" w:lineRule="auto"/>
        <w:ind w:firstLine="409" w:firstLineChars="195"/>
        <w:rPr>
          <w:rFonts w:ascii="宋体" w:hAnsi="宋体" w:cs="宋体"/>
          <w:szCs w:val="21"/>
        </w:rPr>
      </w:pPr>
      <w:r>
        <w:rPr>
          <w:rFonts w:hint="eastAsia" w:ascii="宋体" w:hAnsi="宋体" w:cs="宋体"/>
          <w:szCs w:val="21"/>
        </w:rPr>
        <w:t>4、根据招标文件以及工程施工合同明确的文明工地创建目标，督促和鼓励本工程施工、监理单位做好施工现场安全和文明施工管理。</w:t>
      </w:r>
    </w:p>
    <w:p>
      <w:pPr>
        <w:widowControl/>
        <w:spacing w:line="276" w:lineRule="auto"/>
        <w:ind w:firstLine="409" w:firstLineChars="195"/>
        <w:rPr>
          <w:rFonts w:ascii="宋体" w:hAnsi="宋体"/>
          <w:szCs w:val="21"/>
        </w:rPr>
      </w:pPr>
      <w:bookmarkStart w:id="305" w:name="_Toc13480"/>
      <w:r>
        <w:rPr>
          <w:rFonts w:ascii="宋体" w:hAnsi="宋体"/>
          <w:szCs w:val="21"/>
        </w:rPr>
        <w:t>三、承包人的主要安全责任</w:t>
      </w:r>
      <w:bookmarkEnd w:id="305"/>
    </w:p>
    <w:p>
      <w:pPr>
        <w:widowControl/>
        <w:spacing w:after="100" w:line="276" w:lineRule="auto"/>
        <w:ind w:firstLine="420"/>
        <w:jc w:val="left"/>
        <w:rPr>
          <w:rFonts w:ascii="宋体" w:hAnsi="宋体" w:cs="宋体"/>
          <w:szCs w:val="21"/>
        </w:rPr>
      </w:pPr>
      <w:r>
        <w:rPr>
          <w:rFonts w:hint="eastAsia" w:ascii="宋体" w:hAnsi="宋体" w:cs="宋体"/>
          <w:szCs w:val="21"/>
        </w:rPr>
        <w:t>1、承包人所提供的承包工程要求的相关资质证明材料应真实、合法、有效。</w:t>
      </w:r>
    </w:p>
    <w:p>
      <w:pPr>
        <w:widowControl/>
        <w:spacing w:after="100" w:line="276" w:lineRule="auto"/>
        <w:ind w:firstLine="420"/>
        <w:jc w:val="left"/>
        <w:rPr>
          <w:rFonts w:ascii="宋体" w:hAnsi="宋体" w:cs="宋体"/>
          <w:szCs w:val="21"/>
        </w:rPr>
      </w:pPr>
      <w:r>
        <w:rPr>
          <w:rFonts w:hint="eastAsia" w:ascii="宋体" w:hAnsi="宋体" w:cs="宋体"/>
          <w:szCs w:val="21"/>
        </w:rPr>
        <w:t>2、现场施工应遵守国家和地方关于劳动安全，劳务用工法律法规及规章制度，保证其用工的合法性。承包人必须按国家有关规定，为施工人员进行人身保险，配备合格的劳动防护用品、安全用具。</w:t>
      </w:r>
    </w:p>
    <w:p>
      <w:pPr>
        <w:widowControl/>
        <w:spacing w:after="100" w:line="276" w:lineRule="auto"/>
        <w:ind w:firstLine="420"/>
        <w:jc w:val="left"/>
        <w:rPr>
          <w:rFonts w:ascii="宋体" w:hAnsi="宋体" w:cs="宋体"/>
          <w:szCs w:val="21"/>
        </w:rPr>
      </w:pPr>
      <w:r>
        <w:rPr>
          <w:rFonts w:hint="eastAsia" w:ascii="宋体" w:hAnsi="宋体" w:cs="宋体"/>
          <w:szCs w:val="21"/>
        </w:rPr>
        <w:t>3、材料进场需要检查是否有出产合格证，同时应经发包人现场负责人或监理工程师验证后方可使用。</w:t>
      </w:r>
    </w:p>
    <w:p>
      <w:pPr>
        <w:widowControl/>
        <w:spacing w:after="100" w:line="276" w:lineRule="auto"/>
        <w:ind w:firstLine="420"/>
        <w:jc w:val="left"/>
        <w:rPr>
          <w:rFonts w:ascii="宋体" w:hAnsi="宋体" w:cs="宋体"/>
          <w:szCs w:val="21"/>
        </w:rPr>
      </w:pPr>
      <w:r>
        <w:rPr>
          <w:rFonts w:hint="eastAsia" w:ascii="宋体" w:hAnsi="宋体" w:cs="宋体"/>
          <w:szCs w:val="21"/>
        </w:rPr>
        <w:t>4、施工期间，承包人应指派专职安全员作为安全工作联系和现场安全管理。</w:t>
      </w:r>
    </w:p>
    <w:p>
      <w:pPr>
        <w:widowControl/>
        <w:spacing w:after="100" w:line="276" w:lineRule="auto"/>
        <w:ind w:firstLine="420"/>
        <w:jc w:val="left"/>
        <w:rPr>
          <w:rFonts w:ascii="宋体" w:hAnsi="宋体" w:cs="宋体"/>
          <w:szCs w:val="21"/>
        </w:rPr>
      </w:pPr>
      <w:r>
        <w:rPr>
          <w:rFonts w:hint="eastAsia" w:ascii="宋体" w:hAnsi="宋体" w:cs="宋体"/>
          <w:szCs w:val="21"/>
        </w:rPr>
        <w:t>5、承包人一切施工活动，必须编制安全施工措施，施工前对全体施工人员进行全面的安全技术交底，并在整个施工过程正确、完整地执行，无措施或未交底严禁施工。</w:t>
      </w:r>
    </w:p>
    <w:p>
      <w:pPr>
        <w:widowControl/>
        <w:spacing w:after="100" w:line="276" w:lineRule="auto"/>
        <w:ind w:firstLine="420"/>
        <w:jc w:val="left"/>
        <w:rPr>
          <w:rFonts w:ascii="宋体" w:hAnsi="宋体" w:cs="宋体"/>
          <w:szCs w:val="21"/>
        </w:rPr>
      </w:pPr>
      <w:r>
        <w:rPr>
          <w:rFonts w:hint="eastAsia" w:ascii="宋体" w:hAnsi="宋体" w:cs="宋体"/>
          <w:szCs w:val="21"/>
        </w:rPr>
        <w:t>6、开工前，承包人应组织全体施工人员进行安全教育。特种作业人员必须有有关部门核发的合格有效的上岗资格证书。</w:t>
      </w:r>
    </w:p>
    <w:p>
      <w:pPr>
        <w:widowControl/>
        <w:spacing w:after="100" w:line="276" w:lineRule="auto"/>
        <w:ind w:firstLine="420"/>
        <w:jc w:val="left"/>
        <w:rPr>
          <w:rFonts w:ascii="宋体" w:hAnsi="宋体" w:cs="宋体"/>
          <w:kern w:val="0"/>
          <w:szCs w:val="21"/>
        </w:rPr>
      </w:pPr>
      <w:r>
        <w:rPr>
          <w:rFonts w:hint="eastAsia" w:ascii="宋体" w:hAnsi="宋体" w:cs="宋体"/>
          <w:kern w:val="0"/>
          <w:szCs w:val="21"/>
        </w:rPr>
        <w:t>7、承包人应在施工范围装设临时围栏或警告标志，不得超越指定的施工范围进行施工，禁止无关人员进入施工现场。</w:t>
      </w:r>
    </w:p>
    <w:p>
      <w:pPr>
        <w:widowControl/>
        <w:spacing w:after="100" w:line="276" w:lineRule="auto"/>
        <w:ind w:firstLine="420"/>
        <w:jc w:val="left"/>
        <w:rPr>
          <w:rFonts w:ascii="宋体" w:hAnsi="宋体" w:cs="宋体"/>
          <w:kern w:val="0"/>
          <w:szCs w:val="21"/>
        </w:rPr>
      </w:pPr>
      <w:bookmarkStart w:id="306" w:name="_Toc7086"/>
      <w:r>
        <w:rPr>
          <w:rFonts w:hint="eastAsia" w:ascii="宋体" w:hAnsi="宋体" w:cs="宋体"/>
          <w:kern w:val="0"/>
          <w:szCs w:val="21"/>
        </w:rPr>
        <w:t>8、承包人施工过程中应做到日产、日清，确保施工场地卫生整洁。</w:t>
      </w:r>
      <w:bookmarkEnd w:id="306"/>
    </w:p>
    <w:p>
      <w:pPr>
        <w:widowControl/>
        <w:spacing w:after="100" w:line="276" w:lineRule="auto"/>
        <w:ind w:firstLine="420"/>
        <w:jc w:val="left"/>
        <w:rPr>
          <w:rFonts w:ascii="宋体" w:hAnsi="宋体" w:cs="宋体"/>
          <w:kern w:val="0"/>
          <w:szCs w:val="21"/>
        </w:rPr>
      </w:pPr>
      <w:r>
        <w:rPr>
          <w:rFonts w:hint="eastAsia" w:ascii="宋体" w:hAnsi="宋体" w:cs="宋体"/>
          <w:kern w:val="0"/>
          <w:szCs w:val="21"/>
        </w:rPr>
        <w:t>9、做好文明施工、安全施工;施工过程中需使用电、水源，应事先与发包人取得联系，不得私拉乱接;做好施工临时用电;按规范要求搭设脚手架做好安全防护工作，确保施工人员安全。</w:t>
      </w:r>
    </w:p>
    <w:p>
      <w:pPr>
        <w:widowControl/>
        <w:spacing w:line="276" w:lineRule="auto"/>
        <w:ind w:firstLine="409" w:firstLineChars="195"/>
        <w:rPr>
          <w:rFonts w:ascii="宋体" w:hAnsi="宋体" w:cs="宋体"/>
          <w:kern w:val="0"/>
          <w:szCs w:val="21"/>
        </w:rPr>
      </w:pPr>
      <w:bookmarkStart w:id="307" w:name="_Toc4607"/>
      <w:r>
        <w:rPr>
          <w:rFonts w:hint="eastAsia" w:ascii="宋体" w:hAnsi="宋体" w:cs="宋体"/>
          <w:kern w:val="0"/>
          <w:szCs w:val="21"/>
        </w:rPr>
        <w:t>10、办理施工现场作业人员意外伤害保险。</w:t>
      </w:r>
      <w:bookmarkEnd w:id="307"/>
    </w:p>
    <w:p>
      <w:pPr>
        <w:widowControl/>
        <w:spacing w:line="276" w:lineRule="auto"/>
        <w:ind w:firstLine="409" w:firstLineChars="195"/>
        <w:rPr>
          <w:rFonts w:ascii="宋体" w:hAnsi="宋体" w:cs="宋体"/>
          <w:szCs w:val="21"/>
        </w:rPr>
      </w:pPr>
      <w:r>
        <w:rPr>
          <w:rFonts w:hint="eastAsia" w:ascii="宋体" w:hAnsi="宋体" w:cs="宋体"/>
          <w:kern w:val="0"/>
          <w:szCs w:val="21"/>
        </w:rPr>
        <w:t>11、工程实行施工总承包的，由总承包单位对施工现场的安全生产负总责。总承包单位依法将工程分包给其他单位的，分包合同中应明确各自的安全生产方面的权利、义务。总承包单位和分承包单位对分包工程的安全生产承担连带责任。分包单位应当服从总承包单位的安全生产管理，分包单位不服从管理导致生产安全事故的，由分包单位承担主</w:t>
      </w:r>
      <w:r>
        <w:rPr>
          <w:rFonts w:hint="eastAsia" w:ascii="宋体" w:hAnsi="宋体" w:cs="宋体"/>
          <w:szCs w:val="21"/>
        </w:rPr>
        <w:t>要责任。</w:t>
      </w:r>
    </w:p>
    <w:p>
      <w:pPr>
        <w:widowControl/>
        <w:spacing w:after="100" w:line="276" w:lineRule="auto"/>
        <w:ind w:firstLine="420"/>
        <w:jc w:val="left"/>
        <w:rPr>
          <w:rFonts w:ascii="宋体" w:hAnsi="宋体" w:cs="宋体"/>
          <w:kern w:val="0"/>
          <w:szCs w:val="21"/>
        </w:rPr>
      </w:pPr>
      <w:r>
        <w:rPr>
          <w:rFonts w:hint="eastAsia" w:ascii="宋体" w:hAnsi="宋体" w:cs="宋体"/>
          <w:kern w:val="0"/>
          <w:szCs w:val="21"/>
        </w:rPr>
        <w:t>12、建立整改责任制，对检查中发现的质量安全隐患，采取有效措施立即进行整改，落实专人负责监控，确保质量安全。</w:t>
      </w:r>
    </w:p>
    <w:p>
      <w:pPr>
        <w:widowControl/>
        <w:spacing w:after="100" w:line="276" w:lineRule="auto"/>
        <w:ind w:firstLine="420"/>
        <w:jc w:val="left"/>
        <w:rPr>
          <w:rFonts w:ascii="宋体" w:hAnsi="宋体" w:cs="宋体"/>
          <w:kern w:val="0"/>
          <w:szCs w:val="21"/>
        </w:rPr>
      </w:pPr>
      <w:r>
        <w:rPr>
          <w:rFonts w:hint="eastAsia" w:ascii="宋体" w:hAnsi="宋体" w:cs="宋体"/>
          <w:kern w:val="0"/>
          <w:szCs w:val="21"/>
        </w:rPr>
        <w:t>13、现场工地要切实加强节日期间安全、文明生产工作，一旦发生各类突发事故和紧急情况，要立即启动预案，并按照有关规定及时上报和妥善处置。</w:t>
      </w:r>
    </w:p>
    <w:p>
      <w:pPr>
        <w:widowControl/>
        <w:spacing w:line="276" w:lineRule="auto"/>
        <w:ind w:firstLine="409" w:firstLineChars="195"/>
        <w:rPr>
          <w:rFonts w:ascii="宋体" w:hAnsi="宋体"/>
          <w:szCs w:val="21"/>
        </w:rPr>
      </w:pPr>
      <w:bookmarkStart w:id="308" w:name="_Toc2893"/>
      <w:r>
        <w:rPr>
          <w:rFonts w:hint="eastAsia" w:ascii="宋体" w:hAnsi="宋体" w:cs="宋体"/>
          <w:szCs w:val="21"/>
        </w:rPr>
        <w:t>14、保障本工程</w:t>
      </w:r>
      <w:r>
        <w:rPr>
          <w:rFonts w:ascii="宋体" w:hAnsi="宋体"/>
          <w:szCs w:val="21"/>
        </w:rPr>
        <w:t>安全负责人联络电话（移动电话）24小时开机。</w:t>
      </w:r>
      <w:bookmarkEnd w:id="308"/>
    </w:p>
    <w:p>
      <w:pPr>
        <w:widowControl/>
        <w:spacing w:line="276" w:lineRule="auto"/>
        <w:ind w:firstLine="409" w:firstLineChars="195"/>
        <w:rPr>
          <w:rFonts w:ascii="宋体" w:hAnsi="宋体" w:cs="宋体"/>
          <w:szCs w:val="21"/>
        </w:rPr>
      </w:pPr>
      <w:r>
        <w:rPr>
          <w:rFonts w:ascii="宋体" w:hAnsi="宋体"/>
          <w:szCs w:val="21"/>
        </w:rPr>
        <w:t>四、考核目标</w:t>
      </w:r>
      <w:r>
        <w:rPr>
          <w:rFonts w:hint="eastAsia" w:ascii="宋体" w:hAnsi="宋体"/>
          <w:szCs w:val="21"/>
        </w:rPr>
        <w:t>：</w:t>
      </w:r>
      <w:r>
        <w:rPr>
          <w:rFonts w:hint="eastAsia" w:ascii="宋体" w:hAnsi="宋体" w:cs="宋体"/>
          <w:szCs w:val="21"/>
        </w:rPr>
        <w:t>无安全生产事故。</w:t>
      </w:r>
    </w:p>
    <w:p>
      <w:pPr>
        <w:widowControl/>
        <w:spacing w:line="276" w:lineRule="auto"/>
        <w:ind w:firstLine="409" w:firstLineChars="195"/>
        <w:rPr>
          <w:rFonts w:ascii="宋体" w:hAnsi="宋体" w:cs="宋体"/>
          <w:szCs w:val="21"/>
        </w:rPr>
      </w:pPr>
      <w:r>
        <w:rPr>
          <w:rFonts w:hint="eastAsia" w:ascii="宋体" w:hAnsi="宋体" w:cs="宋体"/>
          <w:szCs w:val="21"/>
        </w:rPr>
        <w:t>五、考核奖惩</w:t>
      </w:r>
    </w:p>
    <w:p>
      <w:pPr>
        <w:widowControl/>
        <w:spacing w:line="276" w:lineRule="auto"/>
        <w:ind w:firstLine="409" w:firstLineChars="195"/>
        <w:rPr>
          <w:rFonts w:ascii="宋体" w:hAnsi="宋体" w:cs="宋体"/>
          <w:szCs w:val="21"/>
        </w:rPr>
      </w:pPr>
      <w:r>
        <w:rPr>
          <w:rFonts w:hint="eastAsia" w:ascii="宋体" w:hAnsi="宋体" w:cs="宋体"/>
          <w:szCs w:val="21"/>
        </w:rPr>
        <w:t>1、发包人认真行使安全生产“一票否决权”，对造成安全生产重大事故的责任单位和个人，发包人会同相关部门视情节轻重，给予通报批评、警告、责令限期整改、停业整顿等处罚。责任单位和个人不得参加评优、评先。</w:t>
      </w:r>
    </w:p>
    <w:p>
      <w:pPr>
        <w:widowControl/>
        <w:spacing w:line="276" w:lineRule="auto"/>
        <w:ind w:firstLine="409" w:firstLineChars="195"/>
        <w:rPr>
          <w:rFonts w:ascii="宋体" w:hAnsi="宋体" w:cs="宋体"/>
          <w:szCs w:val="21"/>
        </w:rPr>
      </w:pPr>
      <w:r>
        <w:rPr>
          <w:rFonts w:hint="eastAsia" w:ascii="宋体" w:hAnsi="宋体" w:cs="宋体"/>
          <w:szCs w:val="21"/>
        </w:rPr>
        <w:t>2、对安全生产管理渎职行为造成重大安全事故的责任人，由司法机关依法追究其刑事责任。</w:t>
      </w:r>
    </w:p>
    <w:p>
      <w:pPr>
        <w:widowControl/>
        <w:spacing w:line="276" w:lineRule="auto"/>
        <w:ind w:firstLine="420" w:firstLineChars="200"/>
        <w:rPr>
          <w:rFonts w:ascii="宋体" w:hAnsi="宋体" w:cs="宋体"/>
          <w:szCs w:val="21"/>
        </w:rPr>
      </w:pPr>
      <w:bookmarkStart w:id="309" w:name="_Toc12113"/>
      <w:r>
        <w:rPr>
          <w:rFonts w:hint="eastAsia" w:ascii="宋体" w:hAnsi="宋体" w:cs="宋体"/>
          <w:szCs w:val="21"/>
        </w:rPr>
        <w:t>六、其他</w:t>
      </w:r>
      <w:bookmarkEnd w:id="309"/>
    </w:p>
    <w:p>
      <w:pPr>
        <w:widowControl/>
        <w:spacing w:line="276" w:lineRule="auto"/>
        <w:ind w:firstLine="409" w:firstLineChars="195"/>
        <w:rPr>
          <w:rFonts w:ascii="宋体" w:hAnsi="宋体"/>
          <w:szCs w:val="21"/>
        </w:rPr>
      </w:pPr>
      <w:bookmarkStart w:id="310" w:name="_Toc25969"/>
      <w:r>
        <w:rPr>
          <w:rFonts w:hint="eastAsia" w:ascii="宋体" w:hAnsi="宋体" w:cs="宋体"/>
          <w:szCs w:val="21"/>
        </w:rPr>
        <w:t>1</w:t>
      </w:r>
      <w:r>
        <w:rPr>
          <w:rFonts w:ascii="宋体" w:hAnsi="宋体"/>
          <w:szCs w:val="21"/>
        </w:rPr>
        <w:t>、本责任状一式</w:t>
      </w:r>
      <w:r>
        <w:rPr>
          <w:rFonts w:hint="eastAsia" w:ascii="宋体" w:hAnsi="宋体"/>
          <w:szCs w:val="21"/>
        </w:rPr>
        <w:t>四</w:t>
      </w:r>
      <w:r>
        <w:rPr>
          <w:rFonts w:ascii="宋体" w:hAnsi="宋体"/>
          <w:szCs w:val="21"/>
        </w:rPr>
        <w:t>份，甲乙双方各执</w:t>
      </w:r>
      <w:r>
        <w:rPr>
          <w:rFonts w:hint="eastAsia" w:ascii="宋体" w:hAnsi="宋体"/>
          <w:szCs w:val="21"/>
        </w:rPr>
        <w:t>两</w:t>
      </w:r>
      <w:r>
        <w:rPr>
          <w:rFonts w:ascii="宋体" w:hAnsi="宋体"/>
          <w:szCs w:val="21"/>
        </w:rPr>
        <w:t>份。</w:t>
      </w:r>
      <w:bookmarkEnd w:id="310"/>
    </w:p>
    <w:p>
      <w:pPr>
        <w:widowControl/>
        <w:spacing w:line="276" w:lineRule="auto"/>
        <w:ind w:firstLine="409" w:firstLineChars="195"/>
        <w:rPr>
          <w:rFonts w:ascii="宋体" w:hAnsi="宋体"/>
          <w:szCs w:val="21"/>
        </w:rPr>
      </w:pPr>
      <w:r>
        <w:rPr>
          <w:rFonts w:hint="eastAsia" w:ascii="宋体" w:hAnsi="宋体" w:cs="宋体"/>
          <w:szCs w:val="21"/>
        </w:rPr>
        <w:t>2、</w:t>
      </w:r>
      <w:r>
        <w:rPr>
          <w:rFonts w:ascii="宋体" w:hAnsi="宋体"/>
          <w:szCs w:val="21"/>
        </w:rPr>
        <w:t>本责任状自签订之日起生效，</w:t>
      </w:r>
      <w:r>
        <w:rPr>
          <w:rFonts w:hint="eastAsia" w:ascii="宋体" w:hAnsi="宋体"/>
          <w:szCs w:val="21"/>
        </w:rPr>
        <w:t>工程</w:t>
      </w:r>
      <w:r>
        <w:rPr>
          <w:rFonts w:ascii="宋体" w:hAnsi="宋体"/>
          <w:szCs w:val="21"/>
        </w:rPr>
        <w:t>竣工验收并且移交后自动失效。</w:t>
      </w:r>
    </w:p>
    <w:p>
      <w:pPr>
        <w:pStyle w:val="9"/>
      </w:pPr>
    </w:p>
    <w:p>
      <w:pPr>
        <w:spacing w:line="440" w:lineRule="exact"/>
        <w:ind w:firstLine="825" w:firstLineChars="393"/>
        <w:rPr>
          <w:rFonts w:ascii="宋体" w:hAnsi="宋体"/>
          <w:szCs w:val="21"/>
        </w:rPr>
      </w:pPr>
      <w:r>
        <w:rPr>
          <w:rFonts w:ascii="宋体" w:hAnsi="宋体"/>
          <w:szCs w:val="21"/>
        </w:rPr>
        <w:t>发包人：                    承包人：（施工单位）</w:t>
      </w:r>
    </w:p>
    <w:p>
      <w:pPr>
        <w:spacing w:line="440" w:lineRule="exact"/>
        <w:ind w:firstLine="617" w:firstLineChars="294"/>
        <w:rPr>
          <w:rFonts w:ascii="宋体" w:hAnsi="宋体"/>
          <w:szCs w:val="21"/>
        </w:rPr>
      </w:pPr>
      <w:r>
        <w:rPr>
          <w:rFonts w:ascii="宋体" w:hAnsi="宋体"/>
          <w:szCs w:val="21"/>
        </w:rPr>
        <w:t>（单位印鉴）               （单位印鉴）</w:t>
      </w:r>
    </w:p>
    <w:p>
      <w:pPr>
        <w:spacing w:line="440" w:lineRule="exact"/>
        <w:ind w:firstLine="200"/>
        <w:rPr>
          <w:rFonts w:ascii="宋体" w:hAnsi="宋体"/>
          <w:szCs w:val="21"/>
        </w:rPr>
      </w:pPr>
    </w:p>
    <w:p>
      <w:pPr>
        <w:pStyle w:val="29"/>
        <w:jc w:val="right"/>
        <w:rPr>
          <w:rFonts w:eastAsia="宋体" w:cs="宋体"/>
          <w:b/>
          <w:sz w:val="21"/>
          <w:szCs w:val="21"/>
        </w:rPr>
      </w:pPr>
      <w:r>
        <w:rPr>
          <w:rFonts w:hint="eastAsia" w:eastAsia="宋体" w:cs="宋体"/>
          <w:kern w:val="2"/>
          <w:sz w:val="21"/>
          <w:szCs w:val="21"/>
        </w:rPr>
        <w:t>202</w:t>
      </w:r>
      <w:r>
        <w:rPr>
          <w:rFonts w:eastAsia="宋体" w:cs="宋体"/>
          <w:kern w:val="2"/>
          <w:sz w:val="21"/>
          <w:szCs w:val="21"/>
        </w:rPr>
        <w:t>3</w:t>
      </w:r>
      <w:r>
        <w:rPr>
          <w:rFonts w:hint="eastAsia" w:eastAsia="宋体" w:cs="宋体"/>
          <w:kern w:val="2"/>
          <w:sz w:val="21"/>
          <w:szCs w:val="21"/>
        </w:rPr>
        <w:t>年  月 日</w:t>
      </w:r>
    </w:p>
    <w:p>
      <w:pPr>
        <w:pStyle w:val="17"/>
      </w:pPr>
      <w:bookmarkStart w:id="311" w:name="_Toc9914"/>
      <w:bookmarkStart w:id="312" w:name="_Toc25647"/>
      <w:bookmarkStart w:id="313" w:name="_Toc20961"/>
      <w:bookmarkStart w:id="314" w:name="_Toc25551"/>
      <w:r>
        <w:br w:type="textWrapping"/>
      </w:r>
      <w:bookmarkEnd w:id="311"/>
      <w:bookmarkEnd w:id="312"/>
      <w:bookmarkEnd w:id="313"/>
      <w:bookmarkEnd w:id="314"/>
    </w:p>
    <w:p>
      <w:pPr>
        <w:pStyle w:val="17"/>
      </w:pPr>
    </w:p>
    <w:p>
      <w:pPr>
        <w:pStyle w:val="17"/>
      </w:pPr>
    </w:p>
    <w:p>
      <w:pPr>
        <w:pStyle w:val="17"/>
      </w:pPr>
    </w:p>
    <w:p>
      <w:pPr>
        <w:pStyle w:val="17"/>
      </w:pPr>
    </w:p>
    <w:p>
      <w:pPr>
        <w:pStyle w:val="17"/>
      </w:pPr>
    </w:p>
    <w:p>
      <w:pPr>
        <w:pStyle w:val="17"/>
      </w:pPr>
    </w:p>
    <w:p>
      <w:pPr>
        <w:pStyle w:val="17"/>
      </w:pPr>
    </w:p>
    <w:p>
      <w:pPr>
        <w:pStyle w:val="17"/>
      </w:pPr>
    </w:p>
    <w:p>
      <w:pPr>
        <w:pStyle w:val="17"/>
        <w:rPr>
          <w:rFonts w:hAnsi="宋体" w:cs="宋体"/>
          <w:color w:val="000000"/>
          <w:sz w:val="28"/>
          <w:szCs w:val="28"/>
        </w:rPr>
      </w:pPr>
      <w:r>
        <w:rPr>
          <w:rFonts w:hint="eastAsia"/>
        </w:rPr>
        <w:br w:type="page"/>
      </w:r>
    </w:p>
    <w:p>
      <w:pPr>
        <w:spacing w:line="360" w:lineRule="auto"/>
        <w:jc w:val="center"/>
        <w:outlineLvl w:val="0"/>
        <w:rPr>
          <w:rFonts w:ascii="宋体" w:hAnsi="宋体" w:cs="宋体"/>
          <w:b/>
          <w:bCs/>
          <w:color w:val="000000"/>
          <w:sz w:val="28"/>
          <w:szCs w:val="28"/>
        </w:rPr>
      </w:pPr>
      <w:bookmarkStart w:id="315" w:name="_Toc1587"/>
      <w:bookmarkStart w:id="316" w:name="_Toc26750"/>
      <w:r>
        <w:rPr>
          <w:rFonts w:hint="eastAsia" w:ascii="宋体" w:hAnsi="宋体" w:cs="宋体"/>
          <w:b/>
          <w:color w:val="000000"/>
          <w:sz w:val="28"/>
          <w:szCs w:val="28"/>
        </w:rPr>
        <w:t>第四章  评标方法和标准</w:t>
      </w:r>
      <w:r>
        <w:rPr>
          <w:rFonts w:hint="eastAsia" w:ascii="宋体" w:hAnsi="宋体"/>
          <w:b/>
          <w:color w:val="000000"/>
          <w:sz w:val="28"/>
          <w:szCs w:val="28"/>
        </w:rPr>
        <w:t>（主要部分）</w:t>
      </w:r>
      <w:bookmarkEnd w:id="315"/>
      <w:bookmarkEnd w:id="316"/>
    </w:p>
    <w:p>
      <w:pPr>
        <w:snapToGrid w:val="0"/>
        <w:spacing w:line="360" w:lineRule="auto"/>
        <w:jc w:val="center"/>
        <w:rPr>
          <w:rFonts w:ascii="宋体" w:hAnsi="宋体" w:cs="宋体"/>
          <w:b/>
          <w:color w:val="000000"/>
          <w:kern w:val="0"/>
          <w:sz w:val="24"/>
        </w:rPr>
      </w:pPr>
    </w:p>
    <w:p>
      <w:pPr>
        <w:pStyle w:val="41"/>
        <w:snapToGrid w:val="0"/>
        <w:spacing w:line="360" w:lineRule="auto"/>
        <w:ind w:firstLine="0" w:firstLineChars="0"/>
        <w:jc w:val="center"/>
        <w:outlineLvl w:val="1"/>
        <w:rPr>
          <w:rFonts w:asciiTheme="minorEastAsia" w:hAnsiTheme="minorEastAsia" w:eastAsiaTheme="minorEastAsia" w:cstheme="minorEastAsia"/>
          <w:b/>
          <w:color w:val="000000"/>
          <w:sz w:val="21"/>
          <w:szCs w:val="21"/>
        </w:rPr>
      </w:pPr>
      <w:bookmarkStart w:id="317" w:name="_Toc15450"/>
      <w:bookmarkStart w:id="318" w:name="_Toc194"/>
      <w:r>
        <w:rPr>
          <w:rFonts w:hint="eastAsia" w:asciiTheme="minorEastAsia" w:hAnsiTheme="minorEastAsia" w:eastAsiaTheme="minorEastAsia" w:cstheme="minorEastAsia"/>
          <w:b/>
          <w:color w:val="000000"/>
          <w:sz w:val="21"/>
          <w:szCs w:val="21"/>
        </w:rPr>
        <w:t>一、评标方法</w:t>
      </w:r>
      <w:bookmarkEnd w:id="317"/>
      <w:bookmarkEnd w:id="318"/>
    </w:p>
    <w:p>
      <w:pPr>
        <w:snapToGrid w:val="0"/>
        <w:spacing w:line="360" w:lineRule="auto"/>
        <w:ind w:firstLine="525" w:firstLineChars="250"/>
        <w:rPr>
          <w:rFonts w:asciiTheme="minorEastAsia" w:hAnsiTheme="minorEastAsia" w:eastAsiaTheme="minorEastAsia" w:cstheme="minorEastAsia"/>
          <w:szCs w:val="21"/>
        </w:rPr>
      </w:pP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宋体" w:hAnsi="宋体" w:cs="宋体"/>
          <w:szCs w:val="21"/>
        </w:rPr>
        <w:t>.根据《政府采购促进中小企业发展管理办法》等有关规定，对满足价格扣除条件的</w:t>
      </w:r>
      <w:r>
        <w:rPr>
          <w:rFonts w:ascii="宋体" w:hAnsi="宋体" w:cs="宋体"/>
          <w:szCs w:val="21"/>
        </w:rPr>
        <w:t>小微企业报价</w:t>
      </w:r>
      <w:r>
        <w:rPr>
          <w:rFonts w:hint="eastAsia" w:ascii="宋体" w:hAnsi="宋体" w:cs="宋体"/>
          <w:szCs w:val="21"/>
        </w:rPr>
        <w:t>给予20%的扣除（符合联合体扣除的，给予联合体6%的价格扣除），用扣除后的价格参与评审。</w:t>
      </w:r>
      <w:r>
        <w:rPr>
          <w:rFonts w:ascii="宋体" w:hAnsi="宋体" w:cs="宋体"/>
          <w:szCs w:val="21"/>
        </w:rPr>
        <w:t>中小企业参加政府采购活动，应当出具</w:t>
      </w:r>
      <w:r>
        <w:rPr>
          <w:rFonts w:hint="eastAsia" w:ascii="宋体" w:hAnsi="宋体" w:cs="宋体"/>
          <w:szCs w:val="21"/>
        </w:rPr>
        <w:t>《</w:t>
      </w:r>
      <w:r>
        <w:rPr>
          <w:rFonts w:ascii="宋体" w:hAnsi="宋体" w:cs="宋体"/>
          <w:szCs w:val="21"/>
        </w:rPr>
        <w:t>政府采购促进中小企业发展管理办法</w:t>
      </w:r>
      <w:r>
        <w:rPr>
          <w:rFonts w:hint="eastAsia" w:ascii="宋体" w:hAnsi="宋体" w:cs="宋体"/>
          <w:szCs w:val="21"/>
        </w:rPr>
        <w:t>》</w:t>
      </w:r>
      <w:r>
        <w:rPr>
          <w:rFonts w:ascii="宋体" w:hAnsi="宋体" w:cs="宋体"/>
          <w:szCs w:val="21"/>
        </w:rPr>
        <w:t>规定的《中小企业声明函》</w:t>
      </w:r>
      <w:r>
        <w:rPr>
          <w:rFonts w:hint="eastAsia" w:ascii="宋体" w:hAnsi="宋体" w:cs="宋体"/>
          <w:szCs w:val="21"/>
        </w:rPr>
        <w:t>（请从财政部官方网站下载。以财政部官方网站公布的为准）</w:t>
      </w:r>
      <w:r>
        <w:rPr>
          <w:rFonts w:ascii="宋体" w:hAnsi="宋体" w:cs="宋体"/>
          <w:szCs w:val="21"/>
        </w:rPr>
        <w:t>，否则不得享受相关中小企业扶持政策。</w:t>
      </w:r>
      <w:r>
        <w:rPr>
          <w:rFonts w:hint="eastAsia" w:ascii="宋体" w:hAnsi="宋体" w:cs="宋体"/>
          <w:szCs w:val="21"/>
        </w:rPr>
        <w:t>专门面向中小企业采购的项目，投标人未出具</w:t>
      </w:r>
      <w:r>
        <w:rPr>
          <w:rFonts w:ascii="宋体" w:hAnsi="宋体" w:cs="宋体"/>
          <w:szCs w:val="21"/>
        </w:rPr>
        <w:t>《中小企业声明函》</w:t>
      </w:r>
      <w:r>
        <w:rPr>
          <w:rFonts w:hint="eastAsia" w:ascii="宋体" w:hAnsi="宋体" w:cs="宋体"/>
          <w:szCs w:val="21"/>
        </w:rPr>
        <w:t>的，按无效处理。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3.本项目采用“综合评分法”。本项目将按照法律法规及招标文件规定（投标人须知等）及本章的规定评标。各项评分均保证到小数点后2位；评分统计（含报价分计算）按4舍5入精确到小数点后 2 位。</w:t>
      </w:r>
    </w:p>
    <w:p>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1"/>
        <w:snapToGrid w:val="0"/>
        <w:spacing w:line="360" w:lineRule="auto"/>
        <w:ind w:firstLine="0" w:firstLineChars="0"/>
        <w:jc w:val="center"/>
        <w:rPr>
          <w:rFonts w:asciiTheme="minorEastAsia" w:hAnsiTheme="minorEastAsia" w:eastAsiaTheme="minorEastAsia" w:cstheme="minorEastAsia"/>
          <w:b/>
          <w:color w:val="000000"/>
          <w:sz w:val="21"/>
          <w:szCs w:val="21"/>
        </w:rPr>
      </w:pPr>
    </w:p>
    <w:p>
      <w:pPr>
        <w:pStyle w:val="41"/>
        <w:snapToGrid w:val="0"/>
        <w:spacing w:line="360" w:lineRule="auto"/>
        <w:ind w:firstLine="0" w:firstLineChars="0"/>
        <w:jc w:val="center"/>
        <w:outlineLvl w:val="1"/>
        <w:rPr>
          <w:rFonts w:asciiTheme="minorEastAsia" w:hAnsiTheme="minorEastAsia" w:eastAsiaTheme="minorEastAsia" w:cstheme="minorEastAsia"/>
          <w:b/>
          <w:color w:val="000000"/>
          <w:sz w:val="21"/>
          <w:szCs w:val="21"/>
        </w:rPr>
      </w:pPr>
      <w:bookmarkStart w:id="319" w:name="_Toc15617"/>
      <w:bookmarkStart w:id="320" w:name="_Toc23296"/>
      <w:r>
        <w:rPr>
          <w:rFonts w:hint="eastAsia" w:asciiTheme="minorEastAsia" w:hAnsiTheme="minorEastAsia" w:eastAsiaTheme="minorEastAsia" w:cstheme="minorEastAsia"/>
          <w:b/>
          <w:color w:val="000000"/>
          <w:sz w:val="21"/>
          <w:szCs w:val="21"/>
        </w:rPr>
        <w:t>二、评分标准</w:t>
      </w:r>
      <w:bookmarkEnd w:id="319"/>
      <w:bookmarkEnd w:id="320"/>
    </w:p>
    <w:tbl>
      <w:tblPr>
        <w:tblStyle w:val="30"/>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740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评审项目</w:t>
            </w:r>
          </w:p>
        </w:tc>
        <w:tc>
          <w:tcPr>
            <w:tcW w:w="7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评分内容</w:t>
            </w:r>
          </w:p>
        </w:tc>
        <w:tc>
          <w:tcPr>
            <w:tcW w:w="6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投标报价（30分）</w:t>
            </w:r>
          </w:p>
        </w:tc>
        <w:tc>
          <w:tcPr>
            <w:tcW w:w="7400" w:type="dxa"/>
            <w:tcBorders>
              <w:top w:val="single" w:color="auto" w:sz="4" w:space="0"/>
              <w:left w:val="single" w:color="auto" w:sz="4" w:space="0"/>
              <w:bottom w:val="single" w:color="auto" w:sz="4" w:space="0"/>
              <w:right w:val="single" w:color="auto" w:sz="4" w:space="0"/>
            </w:tcBorders>
          </w:tcPr>
          <w:p>
            <w:pPr>
              <w:tabs>
                <w:tab w:val="left" w:pos="-540"/>
                <w:tab w:val="left" w:pos="2880"/>
                <w:tab w:val="left" w:pos="3600"/>
                <w:tab w:val="left" w:pos="4320"/>
                <w:tab w:val="center" w:pos="4433"/>
              </w:tabs>
              <w:autoSpaceDE w:val="0"/>
              <w:autoSpaceDN w:val="0"/>
              <w:adjustRightInd w:val="0"/>
              <w:spacing w:line="360" w:lineRule="exact"/>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以满足招标文件要求且投标折扣价最低的投标报价为评标基准价，其价格分为满分30分，其他投标人的价格分按照下列公式计算：投标价格得分=（评标基准价/投标折扣价）×30小数点后保留两位，四舍五入）</w:t>
            </w:r>
          </w:p>
        </w:tc>
        <w:tc>
          <w:tcPr>
            <w:tcW w:w="680"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709"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134" w:type="dxa"/>
            <w:tcBorders>
              <w:top w:val="single" w:color="auto" w:sz="4" w:space="0"/>
              <w:left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业绩</w:t>
            </w:r>
          </w:p>
        </w:tc>
        <w:tc>
          <w:tcPr>
            <w:tcW w:w="74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Style w:val="65"/>
                <w:rFonts w:ascii="宋体" w:hAnsi="宋体"/>
                <w:color w:val="auto"/>
                <w:szCs w:val="21"/>
              </w:rPr>
            </w:pPr>
            <w:r>
              <w:rPr>
                <w:rStyle w:val="65"/>
                <w:rFonts w:ascii="宋体" w:hAnsi="宋体"/>
                <w:color w:val="auto"/>
                <w:szCs w:val="21"/>
              </w:rPr>
              <w:t>自2020年1月1日以来（以合同签订时间为准），投标人完成过类似</w:t>
            </w:r>
            <w:r>
              <w:rPr>
                <w:rStyle w:val="65"/>
                <w:rFonts w:hint="eastAsia" w:ascii="宋体" w:hAnsi="宋体"/>
                <w:color w:val="auto"/>
                <w:szCs w:val="21"/>
              </w:rPr>
              <w:t>PCR实验室业绩的</w:t>
            </w:r>
            <w:r>
              <w:rPr>
                <w:rStyle w:val="65"/>
                <w:rFonts w:ascii="宋体" w:hAnsi="宋体"/>
                <w:color w:val="auto"/>
                <w:szCs w:val="21"/>
              </w:rPr>
              <w:t>，</w:t>
            </w:r>
            <w:r>
              <w:rPr>
                <w:rStyle w:val="65"/>
                <w:rFonts w:hint="eastAsia" w:ascii="宋体" w:hAnsi="宋体"/>
                <w:color w:val="auto"/>
                <w:szCs w:val="21"/>
              </w:rPr>
              <w:t>每提供一份</w:t>
            </w:r>
            <w:r>
              <w:rPr>
                <w:rStyle w:val="65"/>
                <w:rFonts w:ascii="宋体" w:hAnsi="宋体"/>
                <w:color w:val="auto"/>
                <w:szCs w:val="21"/>
              </w:rPr>
              <w:t>得</w:t>
            </w:r>
            <w:r>
              <w:rPr>
                <w:rStyle w:val="65"/>
                <w:rFonts w:hint="eastAsia" w:ascii="宋体" w:hAnsi="宋体"/>
                <w:color w:val="auto"/>
                <w:szCs w:val="21"/>
              </w:rPr>
              <w:t>3</w:t>
            </w:r>
            <w:r>
              <w:rPr>
                <w:rStyle w:val="65"/>
                <w:rFonts w:ascii="宋体" w:hAnsi="宋体"/>
                <w:color w:val="auto"/>
                <w:szCs w:val="21"/>
              </w:rPr>
              <w:t>分，满分12分。</w:t>
            </w:r>
          </w:p>
          <w:p>
            <w:pPr>
              <w:tabs>
                <w:tab w:val="left" w:pos="-540"/>
                <w:tab w:val="left" w:pos="2880"/>
                <w:tab w:val="left" w:pos="3600"/>
                <w:tab w:val="left" w:pos="4320"/>
                <w:tab w:val="center" w:pos="4433"/>
              </w:tabs>
              <w:autoSpaceDE w:val="0"/>
              <w:autoSpaceDN w:val="0"/>
              <w:adjustRightInd w:val="0"/>
              <w:spacing w:line="360" w:lineRule="exact"/>
              <w:ind w:firstLine="420" w:firstLineChars="200"/>
              <w:jc w:val="left"/>
              <w:rPr>
                <w:color w:val="auto"/>
              </w:rPr>
            </w:pPr>
            <w:r>
              <w:rPr>
                <w:rStyle w:val="65"/>
                <w:rFonts w:ascii="宋体" w:hAnsi="宋体"/>
                <w:color w:val="auto"/>
                <w:szCs w:val="21"/>
              </w:rPr>
              <w:t>（</w:t>
            </w:r>
            <w:r>
              <w:rPr>
                <w:rStyle w:val="65"/>
                <w:rFonts w:hint="eastAsia" w:ascii="宋体" w:hAnsi="宋体"/>
                <w:color w:val="auto"/>
                <w:szCs w:val="21"/>
              </w:rPr>
              <w:t>投标时须</w:t>
            </w:r>
            <w:r>
              <w:rPr>
                <w:rStyle w:val="65"/>
                <w:rFonts w:ascii="宋体" w:hAnsi="宋体"/>
                <w:color w:val="auto"/>
                <w:szCs w:val="21"/>
              </w:rPr>
              <w:t>提供合同、中标通知书、验收证明复印件并加盖投标</w:t>
            </w:r>
            <w:r>
              <w:rPr>
                <w:rStyle w:val="65"/>
                <w:rFonts w:hint="eastAsia" w:ascii="宋体" w:hAnsi="宋体"/>
                <w:color w:val="auto"/>
                <w:szCs w:val="21"/>
              </w:rPr>
              <w:t>供应商</w:t>
            </w:r>
            <w:r>
              <w:rPr>
                <w:rStyle w:val="65"/>
                <w:rFonts w:ascii="宋体" w:hAnsi="宋体"/>
                <w:color w:val="auto"/>
                <w:szCs w:val="21"/>
              </w:rPr>
              <w:t>公章</w:t>
            </w:r>
            <w:r>
              <w:rPr>
                <w:rStyle w:val="65"/>
                <w:rFonts w:hint="eastAsia" w:ascii="宋体" w:hAnsi="宋体"/>
                <w:color w:val="auto"/>
                <w:szCs w:val="21"/>
              </w:rPr>
              <w:t>，未提供不得分。</w:t>
            </w:r>
            <w:r>
              <w:rPr>
                <w:rStyle w:val="65"/>
                <w:rFonts w:ascii="宋体" w:hAnsi="宋体"/>
                <w:color w:val="auto"/>
                <w:szCs w:val="21"/>
              </w:rPr>
              <w:t>）</w:t>
            </w:r>
          </w:p>
        </w:tc>
        <w:tc>
          <w:tcPr>
            <w:tcW w:w="680" w:type="dxa"/>
            <w:tcBorders>
              <w:top w:val="single" w:color="auto" w:sz="4" w:space="0"/>
              <w:left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60" w:lineRule="exact"/>
              <w:jc w:val="center"/>
              <w:rPr>
                <w:rFonts w:ascii="宋体" w:hAnsi="宋体" w:cs="宋体"/>
                <w:color w:val="auto"/>
                <w:szCs w:val="21"/>
              </w:rPr>
            </w:pPr>
            <w:r>
              <w:rPr>
                <w:rFonts w:hint="eastAsia" w:ascii="宋体" w:hAnsi="宋体" w:cs="宋体"/>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709" w:type="dxa"/>
            <w:vAlign w:val="center"/>
          </w:tcPr>
          <w:p>
            <w:pPr>
              <w:spacing w:line="360" w:lineRule="exact"/>
              <w:jc w:val="center"/>
              <w:rPr>
                <w:rFonts w:ascii="宋体" w:hAnsi="宋体" w:cs="宋体"/>
                <w:szCs w:val="21"/>
              </w:rPr>
            </w:pPr>
            <w:r>
              <w:rPr>
                <w:rFonts w:hint="eastAsia" w:ascii="宋体" w:hAnsi="宋体" w:cs="宋体"/>
                <w:szCs w:val="21"/>
              </w:rPr>
              <w:t>3</w:t>
            </w:r>
          </w:p>
        </w:tc>
        <w:tc>
          <w:tcPr>
            <w:tcW w:w="1134" w:type="dxa"/>
            <w:vAlign w:val="center"/>
          </w:tcPr>
          <w:p>
            <w:pPr>
              <w:pStyle w:val="58"/>
              <w:spacing w:before="78" w:line="360" w:lineRule="exact"/>
              <w:jc w:val="left"/>
              <w:rPr>
                <w:b/>
                <w:bCs/>
                <w:kern w:val="0"/>
                <w:sz w:val="21"/>
                <w:szCs w:val="21"/>
                <w:lang w:eastAsia="zh-CN"/>
              </w:rPr>
            </w:pPr>
            <w:r>
              <w:rPr>
                <w:rFonts w:hint="eastAsia"/>
                <w:b/>
                <w:bCs/>
                <w:kern w:val="0"/>
                <w:sz w:val="21"/>
                <w:szCs w:val="21"/>
                <w:lang w:eastAsia="zh-CN"/>
              </w:rPr>
              <w:t>人员配备</w:t>
            </w:r>
          </w:p>
        </w:tc>
        <w:tc>
          <w:tcPr>
            <w:tcW w:w="7400" w:type="dxa"/>
            <w:vAlign w:val="center"/>
          </w:tcPr>
          <w:p>
            <w:pPr>
              <w:spacing w:line="360" w:lineRule="auto"/>
              <w:ind w:firstLine="420" w:firstLineChars="200"/>
              <w:rPr>
                <w:rFonts w:ascii="宋体" w:hAnsi="宋体"/>
                <w:color w:val="auto"/>
                <w:szCs w:val="21"/>
              </w:rPr>
            </w:pPr>
            <w:r>
              <w:rPr>
                <w:rStyle w:val="65"/>
                <w:rFonts w:hint="eastAsia" w:ascii="宋体" w:hAnsi="宋体"/>
                <w:color w:val="auto"/>
                <w:szCs w:val="21"/>
              </w:rPr>
              <w:t>拟派项目组成员中</w:t>
            </w:r>
            <w:r>
              <w:rPr>
                <w:rStyle w:val="65"/>
                <w:rFonts w:ascii="宋体" w:hAnsi="宋体"/>
                <w:color w:val="auto"/>
                <w:szCs w:val="21"/>
              </w:rPr>
              <w:t>对实验室需求充分了解的专业人才，确保项目得以更好地实施。</w:t>
            </w:r>
            <w:r>
              <w:rPr>
                <w:rStyle w:val="65"/>
                <w:rFonts w:hint="eastAsia" w:ascii="宋体" w:hAnsi="宋体"/>
                <w:color w:val="auto"/>
                <w:szCs w:val="21"/>
              </w:rPr>
              <w:t>拟派</w:t>
            </w:r>
            <w:r>
              <w:rPr>
                <w:rStyle w:val="65"/>
                <w:rFonts w:ascii="宋体" w:hAnsi="宋体"/>
                <w:color w:val="auto"/>
                <w:szCs w:val="21"/>
              </w:rPr>
              <w:t>高级实验室工程师</w:t>
            </w:r>
            <w:r>
              <w:rPr>
                <w:rStyle w:val="65"/>
                <w:rFonts w:hint="eastAsia" w:ascii="宋体" w:hAnsi="宋体"/>
                <w:color w:val="auto"/>
                <w:szCs w:val="21"/>
              </w:rPr>
              <w:t>的，</w:t>
            </w:r>
            <w:r>
              <w:rPr>
                <w:rStyle w:val="65"/>
                <w:rFonts w:ascii="宋体" w:hAnsi="宋体"/>
                <w:color w:val="auto"/>
                <w:szCs w:val="21"/>
              </w:rPr>
              <w:t>得2分。（</w:t>
            </w:r>
            <w:r>
              <w:rPr>
                <w:rStyle w:val="65"/>
                <w:rFonts w:hint="eastAsia" w:ascii="宋体" w:hAnsi="宋体"/>
                <w:color w:val="auto"/>
                <w:szCs w:val="21"/>
              </w:rPr>
              <w:t>投标时须</w:t>
            </w:r>
            <w:r>
              <w:rPr>
                <w:rStyle w:val="65"/>
                <w:rFonts w:ascii="宋体" w:hAnsi="宋体"/>
                <w:color w:val="auto"/>
                <w:szCs w:val="21"/>
              </w:rPr>
              <w:t>提供相关证书及近</w:t>
            </w:r>
            <w:r>
              <w:rPr>
                <w:rStyle w:val="65"/>
                <w:rFonts w:hint="eastAsia" w:ascii="宋体" w:hAnsi="宋体"/>
                <w:color w:val="auto"/>
                <w:szCs w:val="21"/>
              </w:rPr>
              <w:t>三个月以来任意一个月投标供应商为其缴纳的</w:t>
            </w:r>
            <w:r>
              <w:rPr>
                <w:rStyle w:val="65"/>
                <w:rFonts w:ascii="宋体" w:hAnsi="宋体"/>
                <w:color w:val="auto"/>
                <w:szCs w:val="21"/>
              </w:rPr>
              <w:t>社保证明</w:t>
            </w:r>
            <w:r>
              <w:rPr>
                <w:rStyle w:val="65"/>
                <w:rFonts w:hint="eastAsia" w:ascii="宋体" w:hAnsi="宋体"/>
                <w:color w:val="auto"/>
                <w:szCs w:val="21"/>
              </w:rPr>
              <w:t>，未提供不得分</w:t>
            </w:r>
            <w:r>
              <w:rPr>
                <w:rStyle w:val="65"/>
                <w:rFonts w:ascii="宋体" w:hAnsi="宋体"/>
                <w:color w:val="auto"/>
                <w:szCs w:val="21"/>
              </w:rPr>
              <w:t>。）</w:t>
            </w:r>
          </w:p>
        </w:tc>
        <w:tc>
          <w:tcPr>
            <w:tcW w:w="680" w:type="dxa"/>
            <w:vAlign w:val="center"/>
          </w:tcPr>
          <w:p>
            <w:pPr>
              <w:tabs>
                <w:tab w:val="left" w:pos="-540"/>
                <w:tab w:val="left" w:pos="2880"/>
                <w:tab w:val="left" w:pos="3600"/>
                <w:tab w:val="left" w:pos="4320"/>
                <w:tab w:val="center" w:pos="4433"/>
              </w:tabs>
              <w:autoSpaceDE w:val="0"/>
              <w:autoSpaceDN w:val="0"/>
              <w:adjustRightInd w:val="0"/>
              <w:spacing w:line="36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09"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134" w:type="dxa"/>
            <w:vAlign w:val="center"/>
          </w:tcPr>
          <w:p>
            <w:pPr>
              <w:spacing w:line="360" w:lineRule="auto"/>
              <w:rPr>
                <w:rStyle w:val="65"/>
                <w:rFonts w:hint="eastAsia" w:ascii="宋体" w:hAnsi="宋体"/>
                <w:color w:val="auto"/>
                <w:szCs w:val="21"/>
              </w:rPr>
            </w:pPr>
            <w:r>
              <w:rPr>
                <w:rStyle w:val="65"/>
                <w:rFonts w:hint="eastAsia" w:ascii="宋体" w:hAnsi="宋体"/>
                <w:color w:val="auto"/>
                <w:szCs w:val="21"/>
              </w:rPr>
              <w:t>节能环保</w:t>
            </w:r>
          </w:p>
        </w:tc>
        <w:tc>
          <w:tcPr>
            <w:tcW w:w="7400" w:type="dxa"/>
          </w:tcPr>
          <w:p>
            <w:pPr>
              <w:spacing w:line="360" w:lineRule="auto"/>
              <w:ind w:firstLine="420" w:firstLineChars="200"/>
              <w:rPr>
                <w:rStyle w:val="65"/>
                <w:rFonts w:hint="eastAsia" w:ascii="宋体" w:hAnsi="宋体"/>
                <w:color w:val="auto"/>
                <w:szCs w:val="21"/>
                <w:lang w:val="en-US" w:eastAsia="zh-CN"/>
              </w:rPr>
            </w:pPr>
            <w:r>
              <w:rPr>
                <w:rStyle w:val="65"/>
                <w:rFonts w:hint="eastAsia" w:ascii="宋体" w:hAnsi="宋体"/>
                <w:color w:val="auto"/>
                <w:szCs w:val="21"/>
                <w:lang w:val="en-US" w:eastAsia="zh-CN"/>
              </w:rPr>
              <w:t>投标产品中，每有一类产品具有中国环境标志(十环标志)的得2分，最高的得10分。</w:t>
            </w:r>
          </w:p>
          <w:p>
            <w:pPr>
              <w:spacing w:line="360" w:lineRule="auto"/>
              <w:ind w:firstLine="422" w:firstLineChars="200"/>
              <w:rPr>
                <w:rStyle w:val="65"/>
                <w:rFonts w:hint="eastAsia" w:ascii="宋体" w:hAnsi="宋体"/>
                <w:color w:val="auto"/>
                <w:szCs w:val="21"/>
              </w:rPr>
            </w:pPr>
            <w:r>
              <w:rPr>
                <w:rStyle w:val="65"/>
                <w:rFonts w:hint="eastAsia" w:ascii="宋体" w:hAnsi="宋体"/>
                <w:b/>
                <w:bCs/>
                <w:color w:val="auto"/>
                <w:szCs w:val="21"/>
                <w:lang w:val="en-US" w:eastAsia="zh-CN"/>
              </w:rPr>
              <w:t>注：提供认证机构出具的、处于有效期之内的环境标志产品认证证书复印件加盖供应商公章，否则不得分。</w:t>
            </w:r>
          </w:p>
        </w:tc>
        <w:tc>
          <w:tcPr>
            <w:tcW w:w="680" w:type="dxa"/>
            <w:vAlign w:val="center"/>
          </w:tcPr>
          <w:p>
            <w:pPr>
              <w:spacing w:line="360" w:lineRule="auto"/>
              <w:ind w:firstLine="210" w:firstLineChars="100"/>
              <w:rPr>
                <w:rStyle w:val="65"/>
                <w:rFonts w:hint="eastAsia" w:ascii="宋体" w:hAnsi="宋体"/>
                <w:color w:val="auto"/>
                <w:szCs w:val="21"/>
              </w:rPr>
            </w:pPr>
            <w:r>
              <w:rPr>
                <w:rStyle w:val="65"/>
                <w:rFonts w:hint="eastAsia" w:ascii="宋体" w:hAnsi="宋体"/>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9" w:type="dxa"/>
            <w:vMerge w:val="restart"/>
            <w:vAlign w:val="center"/>
          </w:tcPr>
          <w:p>
            <w:pPr>
              <w:spacing w:line="3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1134" w:type="dxa"/>
            <w:vMerge w:val="restart"/>
            <w:vAlign w:val="center"/>
          </w:tcPr>
          <w:p>
            <w:pPr>
              <w:tabs>
                <w:tab w:val="left" w:pos="-540"/>
                <w:tab w:val="left" w:pos="2880"/>
                <w:tab w:val="left" w:pos="3600"/>
                <w:tab w:val="left" w:pos="4320"/>
                <w:tab w:val="center" w:pos="4433"/>
              </w:tabs>
              <w:autoSpaceDE w:val="0"/>
              <w:autoSpaceDN w:val="0"/>
              <w:adjustRightInd w:val="0"/>
              <w:spacing w:line="360" w:lineRule="exact"/>
              <w:jc w:val="center"/>
              <w:rPr>
                <w:rFonts w:ascii="宋体" w:hAnsi="宋体" w:cs="宋体"/>
                <w:b/>
                <w:bCs/>
                <w:szCs w:val="21"/>
              </w:rPr>
            </w:pPr>
            <w:r>
              <w:rPr>
                <w:rFonts w:hint="eastAsia" w:ascii="宋体" w:hAnsi="宋体" w:cs="宋体"/>
                <w:b/>
                <w:bCs/>
                <w:szCs w:val="21"/>
              </w:rPr>
              <w:t>施工组织设计</w:t>
            </w:r>
          </w:p>
          <w:p>
            <w:pPr>
              <w:tabs>
                <w:tab w:val="left" w:pos="-540"/>
                <w:tab w:val="left" w:pos="2880"/>
                <w:tab w:val="left" w:pos="3600"/>
                <w:tab w:val="left" w:pos="4320"/>
                <w:tab w:val="center" w:pos="4433"/>
              </w:tabs>
              <w:autoSpaceDE w:val="0"/>
              <w:autoSpaceDN w:val="0"/>
              <w:adjustRightInd w:val="0"/>
              <w:spacing w:line="360" w:lineRule="exact"/>
              <w:jc w:val="center"/>
              <w:rPr>
                <w:rFonts w:ascii="宋体" w:hAnsi="宋体" w:cs="宋体"/>
                <w:color w:val="000000" w:themeColor="text1"/>
                <w:szCs w:val="21"/>
                <w14:textFill>
                  <w14:solidFill>
                    <w14:schemeClr w14:val="tx1"/>
                  </w14:solidFill>
                </w14:textFill>
              </w:rPr>
            </w:pPr>
            <w:r>
              <w:rPr>
                <w:rFonts w:hint="eastAsia" w:asciiTheme="minorEastAsia" w:hAnsiTheme="minorEastAsia" w:eastAsiaTheme="minorEastAsia" w:cstheme="minorEastAsia"/>
                <w:b/>
                <w:kern w:val="0"/>
                <w:szCs w:val="21"/>
              </w:rPr>
              <w:t>（4</w:t>
            </w:r>
            <w:r>
              <w:rPr>
                <w:rFonts w:hint="eastAsia" w:asciiTheme="minorEastAsia" w:hAnsiTheme="minorEastAsia" w:eastAsiaTheme="minorEastAsia" w:cstheme="minorEastAsia"/>
                <w:b/>
                <w:kern w:val="0"/>
                <w:szCs w:val="21"/>
                <w:lang w:val="en-US" w:eastAsia="zh-CN"/>
              </w:rPr>
              <w:t>6</w:t>
            </w:r>
            <w:r>
              <w:rPr>
                <w:rFonts w:hint="eastAsia" w:asciiTheme="minorEastAsia" w:hAnsiTheme="minorEastAsia" w:eastAsiaTheme="minorEastAsia" w:cstheme="minorEastAsia"/>
                <w:b/>
                <w:kern w:val="0"/>
                <w:szCs w:val="21"/>
              </w:rPr>
              <w:t>分）</w:t>
            </w:r>
          </w:p>
        </w:tc>
        <w:tc>
          <w:tcPr>
            <w:tcW w:w="7400" w:type="dxa"/>
            <w:vAlign w:val="center"/>
          </w:tcPr>
          <w:p>
            <w:pPr>
              <w:snapToGrid w:val="0"/>
              <w:spacing w:line="360" w:lineRule="exact"/>
              <w:ind w:firstLine="527" w:firstLineChars="250"/>
              <w:rPr>
                <w:rFonts w:ascii="宋体" w:hAnsi="宋体" w:cs="宋体"/>
                <w:b/>
                <w:bCs/>
                <w:szCs w:val="21"/>
              </w:rPr>
            </w:pPr>
            <w:r>
              <w:rPr>
                <w:rFonts w:hint="eastAsia" w:ascii="宋体" w:hAnsi="宋体" w:cs="宋体"/>
                <w:b/>
                <w:bCs/>
                <w:szCs w:val="21"/>
              </w:rPr>
              <w:t>1、施工方案与技术措施（内容包括但不限于施工现场平面布置图、劳动力安排计划、拟投入的主要施工机械设备计划、材料计划）（</w:t>
            </w:r>
            <w:r>
              <w:rPr>
                <w:rFonts w:hint="eastAsia" w:ascii="宋体" w:hAnsi="宋体" w:cs="宋体"/>
                <w:b/>
                <w:bCs/>
                <w:szCs w:val="21"/>
                <w:lang w:val="en-US" w:eastAsia="zh-CN"/>
              </w:rPr>
              <w:t>10</w:t>
            </w:r>
            <w:r>
              <w:rPr>
                <w:rFonts w:hint="eastAsia" w:ascii="宋体" w:hAnsi="宋体" w:cs="宋体"/>
                <w:b/>
                <w:bCs/>
                <w:szCs w:val="21"/>
              </w:rPr>
              <w:t>分）</w:t>
            </w:r>
          </w:p>
          <w:p>
            <w:pPr>
              <w:snapToGrid w:val="0"/>
              <w:spacing w:line="360" w:lineRule="exact"/>
              <w:ind w:firstLine="420" w:firstLineChars="200"/>
              <w:rPr>
                <w:rFonts w:ascii="宋体" w:hAnsi="宋体" w:cs="宋体"/>
                <w:szCs w:val="21"/>
              </w:rPr>
            </w:pPr>
            <w:r>
              <w:rPr>
                <w:rFonts w:hint="eastAsia" w:ascii="宋体" w:hAnsi="宋体" w:cs="宋体"/>
                <w:szCs w:val="21"/>
              </w:rPr>
              <w:t>施工方案内容详实、完整、叙述清楚且合理，符合现场实际情况得</w:t>
            </w:r>
            <w:r>
              <w:rPr>
                <w:rFonts w:hint="eastAsia" w:ascii="宋体" w:hAnsi="宋体" w:cs="宋体"/>
                <w:szCs w:val="21"/>
                <w:lang w:val="en-US" w:eastAsia="zh-CN"/>
              </w:rPr>
              <w:t>10</w:t>
            </w:r>
            <w:r>
              <w:rPr>
                <w:rFonts w:hint="eastAsia" w:ascii="宋体" w:hAnsi="宋体" w:cs="宋体"/>
                <w:szCs w:val="21"/>
              </w:rPr>
              <w:t>分；</w:t>
            </w:r>
          </w:p>
          <w:p>
            <w:pPr>
              <w:snapToGrid w:val="0"/>
              <w:spacing w:line="360" w:lineRule="exact"/>
              <w:ind w:firstLine="420" w:firstLineChars="200"/>
              <w:rPr>
                <w:rFonts w:ascii="宋体" w:hAnsi="宋体" w:cs="宋体"/>
                <w:szCs w:val="21"/>
              </w:rPr>
            </w:pPr>
            <w:r>
              <w:rPr>
                <w:rFonts w:hint="eastAsia" w:ascii="宋体" w:hAnsi="宋体" w:cs="宋体"/>
                <w:szCs w:val="21"/>
              </w:rPr>
              <w:t>施工方案内容基本可行、能保证施工，基本符合现场实际情况得</w:t>
            </w:r>
            <w:r>
              <w:rPr>
                <w:rFonts w:hint="eastAsia" w:ascii="宋体" w:hAnsi="宋体" w:cs="宋体"/>
                <w:szCs w:val="21"/>
                <w:lang w:val="en-US" w:eastAsia="zh-CN"/>
              </w:rPr>
              <w:t>6</w:t>
            </w:r>
            <w:r>
              <w:rPr>
                <w:rFonts w:hint="eastAsia" w:ascii="宋体" w:hAnsi="宋体" w:cs="宋体"/>
                <w:szCs w:val="21"/>
              </w:rPr>
              <w:t>分；</w:t>
            </w:r>
          </w:p>
          <w:p>
            <w:pPr>
              <w:snapToGrid w:val="0"/>
              <w:spacing w:line="360" w:lineRule="exact"/>
              <w:ind w:firstLine="420" w:firstLineChars="200"/>
              <w:rPr>
                <w:rFonts w:ascii="宋体" w:hAnsi="宋体" w:cs="宋体"/>
                <w:szCs w:val="21"/>
              </w:rPr>
            </w:pPr>
            <w:r>
              <w:rPr>
                <w:rFonts w:hint="eastAsia" w:ascii="宋体" w:hAnsi="宋体" w:cs="宋体"/>
                <w:szCs w:val="21"/>
              </w:rPr>
              <w:t>施工方案内容不可行或不能保证施工安全得</w:t>
            </w:r>
            <w:r>
              <w:rPr>
                <w:rFonts w:hint="eastAsia" w:ascii="宋体" w:hAnsi="宋体" w:cs="宋体"/>
                <w:szCs w:val="21"/>
                <w:lang w:val="en-US" w:eastAsia="zh-CN"/>
              </w:rPr>
              <w:t>4</w:t>
            </w:r>
            <w:r>
              <w:rPr>
                <w:rFonts w:hint="eastAsia" w:ascii="宋体" w:hAnsi="宋体" w:cs="宋体"/>
                <w:szCs w:val="21"/>
              </w:rPr>
              <w:t>分；</w:t>
            </w:r>
          </w:p>
          <w:p>
            <w:pPr>
              <w:snapToGrid w:val="0"/>
              <w:spacing w:line="360" w:lineRule="exact"/>
              <w:ind w:firstLine="420" w:firstLineChars="200"/>
            </w:pPr>
            <w:r>
              <w:rPr>
                <w:rFonts w:hint="eastAsia" w:ascii="宋体" w:hAnsi="宋体" w:cs="宋体"/>
                <w:szCs w:val="21"/>
              </w:rPr>
              <w:t>未提供不得分。</w:t>
            </w:r>
          </w:p>
        </w:tc>
        <w:tc>
          <w:tcPr>
            <w:tcW w:w="680" w:type="dxa"/>
            <w:vAlign w:val="center"/>
          </w:tcPr>
          <w:p>
            <w:pPr>
              <w:spacing w:line="36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709" w:type="dxa"/>
            <w:vMerge w:val="continue"/>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1134" w:type="dxa"/>
            <w:vMerge w:val="continue"/>
            <w:vAlign w:val="center"/>
          </w:tcPr>
          <w:p>
            <w:pPr>
              <w:tabs>
                <w:tab w:val="left" w:pos="-540"/>
                <w:tab w:val="left" w:pos="2880"/>
                <w:tab w:val="left" w:pos="3600"/>
                <w:tab w:val="left" w:pos="4320"/>
                <w:tab w:val="center" w:pos="4433"/>
              </w:tabs>
              <w:autoSpaceDE w:val="0"/>
              <w:autoSpaceDN w:val="0"/>
              <w:adjustRightInd w:val="0"/>
              <w:spacing w:line="360" w:lineRule="exact"/>
              <w:jc w:val="center"/>
              <w:rPr>
                <w:rFonts w:asciiTheme="minorEastAsia" w:hAnsiTheme="minorEastAsia" w:eastAsiaTheme="minorEastAsia" w:cstheme="minorEastAsia"/>
                <w:b/>
                <w:kern w:val="0"/>
                <w:szCs w:val="21"/>
              </w:rPr>
            </w:pPr>
          </w:p>
        </w:tc>
        <w:tc>
          <w:tcPr>
            <w:tcW w:w="7400" w:type="dxa"/>
            <w:vAlign w:val="center"/>
          </w:tcPr>
          <w:p>
            <w:pPr>
              <w:snapToGrid w:val="0"/>
              <w:spacing w:line="360" w:lineRule="exact"/>
              <w:ind w:firstLine="527" w:firstLineChars="250"/>
              <w:rPr>
                <w:rFonts w:ascii="宋体" w:hAnsi="宋体" w:cs="宋体"/>
                <w:b/>
                <w:bCs/>
                <w:szCs w:val="21"/>
              </w:rPr>
            </w:pPr>
            <w:r>
              <w:rPr>
                <w:rFonts w:hint="eastAsia" w:ascii="宋体" w:hAnsi="宋体" w:cs="宋体"/>
                <w:b/>
                <w:bCs/>
                <w:szCs w:val="21"/>
              </w:rPr>
              <w:t>2、项目组织结构（6分）</w:t>
            </w:r>
          </w:p>
          <w:p>
            <w:pPr>
              <w:snapToGrid w:val="0"/>
              <w:spacing w:line="360" w:lineRule="exact"/>
              <w:ind w:firstLine="525" w:firstLineChars="250"/>
              <w:rPr>
                <w:rFonts w:ascii="宋体" w:hAnsi="宋体" w:cs="宋体"/>
                <w:szCs w:val="21"/>
              </w:rPr>
            </w:pPr>
            <w:r>
              <w:rPr>
                <w:rFonts w:hint="eastAsia" w:ascii="宋体" w:hAnsi="宋体" w:cs="宋体"/>
                <w:szCs w:val="21"/>
              </w:rPr>
              <w:t>项目部组织结构合理、专业齐全、执业资格齐全的得6分；</w:t>
            </w:r>
          </w:p>
          <w:p>
            <w:pPr>
              <w:snapToGrid w:val="0"/>
              <w:spacing w:line="360" w:lineRule="exact"/>
              <w:ind w:firstLine="525" w:firstLineChars="250"/>
              <w:rPr>
                <w:rFonts w:ascii="宋体" w:hAnsi="宋体" w:cs="宋体"/>
                <w:szCs w:val="21"/>
              </w:rPr>
            </w:pPr>
            <w:r>
              <w:rPr>
                <w:rFonts w:hint="eastAsia" w:ascii="宋体" w:hAnsi="宋体" w:cs="宋体"/>
                <w:szCs w:val="21"/>
              </w:rPr>
              <w:t>项目部组织结构基本合理、专业基本齐全、执业资格基本齐全的得4分；</w:t>
            </w:r>
          </w:p>
          <w:p>
            <w:pPr>
              <w:snapToGrid w:val="0"/>
              <w:spacing w:line="360" w:lineRule="exact"/>
              <w:ind w:firstLine="525" w:firstLineChars="250"/>
              <w:rPr>
                <w:rFonts w:ascii="宋体" w:hAnsi="宋体" w:cs="宋体"/>
                <w:szCs w:val="21"/>
              </w:rPr>
            </w:pPr>
            <w:r>
              <w:rPr>
                <w:rFonts w:hint="eastAsia" w:ascii="宋体" w:hAnsi="宋体" w:cs="宋体"/>
                <w:szCs w:val="21"/>
              </w:rPr>
              <w:t>项目部组织结构不合理、专业不齐全、无执业资格的得2分；</w:t>
            </w:r>
          </w:p>
          <w:p>
            <w:pPr>
              <w:snapToGrid w:val="0"/>
              <w:spacing w:line="360" w:lineRule="exact"/>
              <w:ind w:firstLine="525" w:firstLineChars="250"/>
              <w:rPr>
                <w:rFonts w:ascii="宋体" w:hAnsi="宋体" w:cs="宋体"/>
                <w:szCs w:val="21"/>
              </w:rPr>
            </w:pPr>
            <w:r>
              <w:rPr>
                <w:rFonts w:hint="eastAsia" w:ascii="宋体" w:hAnsi="宋体" w:cs="宋体"/>
                <w:szCs w:val="21"/>
              </w:rPr>
              <w:t>未提供不得分。</w:t>
            </w:r>
          </w:p>
        </w:tc>
        <w:tc>
          <w:tcPr>
            <w:tcW w:w="680"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09" w:type="dxa"/>
            <w:vMerge w:val="continue"/>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1134" w:type="dxa"/>
            <w:vMerge w:val="continue"/>
            <w:vAlign w:val="center"/>
          </w:tcPr>
          <w:p>
            <w:pPr>
              <w:tabs>
                <w:tab w:val="left" w:pos="-540"/>
                <w:tab w:val="left" w:pos="2880"/>
                <w:tab w:val="left" w:pos="3600"/>
                <w:tab w:val="left" w:pos="4320"/>
                <w:tab w:val="center" w:pos="4433"/>
              </w:tabs>
              <w:autoSpaceDE w:val="0"/>
              <w:autoSpaceDN w:val="0"/>
              <w:adjustRightInd w:val="0"/>
              <w:spacing w:line="360" w:lineRule="exact"/>
              <w:jc w:val="center"/>
              <w:rPr>
                <w:rFonts w:asciiTheme="minorEastAsia" w:hAnsiTheme="minorEastAsia" w:eastAsiaTheme="minorEastAsia" w:cstheme="minorEastAsia"/>
                <w:b/>
                <w:kern w:val="0"/>
                <w:szCs w:val="21"/>
              </w:rPr>
            </w:pPr>
          </w:p>
        </w:tc>
        <w:tc>
          <w:tcPr>
            <w:tcW w:w="7400" w:type="dxa"/>
            <w:vAlign w:val="center"/>
          </w:tcPr>
          <w:p>
            <w:pPr>
              <w:snapToGrid w:val="0"/>
              <w:spacing w:line="360" w:lineRule="exact"/>
              <w:ind w:firstLine="527" w:firstLineChars="250"/>
              <w:rPr>
                <w:rFonts w:ascii="宋体" w:hAnsi="宋体" w:cs="宋体"/>
                <w:b/>
                <w:bCs/>
                <w:szCs w:val="21"/>
              </w:rPr>
            </w:pPr>
            <w:r>
              <w:rPr>
                <w:rFonts w:hint="eastAsia" w:ascii="宋体" w:hAnsi="宋体" w:cs="宋体"/>
                <w:b/>
                <w:bCs/>
                <w:szCs w:val="21"/>
              </w:rPr>
              <w:t>3、安全和绿色施工保障措施（7分）</w:t>
            </w:r>
          </w:p>
          <w:p>
            <w:pPr>
              <w:snapToGrid w:val="0"/>
              <w:spacing w:line="360" w:lineRule="exact"/>
              <w:ind w:firstLine="525" w:firstLineChars="250"/>
              <w:rPr>
                <w:rFonts w:ascii="宋体" w:hAnsi="宋体" w:cs="宋体"/>
                <w:szCs w:val="21"/>
              </w:rPr>
            </w:pPr>
            <w:r>
              <w:rPr>
                <w:rFonts w:hint="eastAsia" w:ascii="宋体" w:hAnsi="宋体" w:cs="宋体"/>
                <w:szCs w:val="21"/>
              </w:rPr>
              <w:t>考虑全面，有针对性，措施完善的得7分；</w:t>
            </w:r>
          </w:p>
          <w:p>
            <w:pPr>
              <w:snapToGrid w:val="0"/>
              <w:spacing w:line="360" w:lineRule="exact"/>
              <w:ind w:firstLine="525" w:firstLineChars="250"/>
              <w:rPr>
                <w:rFonts w:ascii="宋体" w:hAnsi="宋体" w:cs="宋体"/>
                <w:szCs w:val="21"/>
              </w:rPr>
            </w:pPr>
            <w:r>
              <w:rPr>
                <w:rFonts w:hint="eastAsia" w:ascii="宋体" w:hAnsi="宋体" w:cs="宋体"/>
                <w:szCs w:val="21"/>
              </w:rPr>
              <w:t>方法可行，措施一般的得5分；</w:t>
            </w:r>
          </w:p>
          <w:p>
            <w:pPr>
              <w:snapToGrid w:val="0"/>
              <w:spacing w:line="360" w:lineRule="exact"/>
              <w:ind w:firstLine="525" w:firstLineChars="250"/>
              <w:rPr>
                <w:rFonts w:ascii="宋体" w:hAnsi="宋体" w:cs="宋体"/>
                <w:szCs w:val="21"/>
              </w:rPr>
            </w:pPr>
            <w:r>
              <w:rPr>
                <w:rFonts w:hint="eastAsia" w:ascii="宋体" w:hAnsi="宋体" w:cs="宋体"/>
                <w:szCs w:val="21"/>
              </w:rPr>
              <w:t>措施不力，方法不合理的得3分；未提供不得分。</w:t>
            </w:r>
          </w:p>
        </w:tc>
        <w:tc>
          <w:tcPr>
            <w:tcW w:w="680"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vMerge w:val="continue"/>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1134" w:type="dxa"/>
            <w:vMerge w:val="continue"/>
            <w:vAlign w:val="center"/>
          </w:tcPr>
          <w:p>
            <w:pPr>
              <w:tabs>
                <w:tab w:val="left" w:pos="-540"/>
                <w:tab w:val="left" w:pos="2880"/>
                <w:tab w:val="left" w:pos="3600"/>
                <w:tab w:val="left" w:pos="4320"/>
                <w:tab w:val="center" w:pos="4433"/>
              </w:tabs>
              <w:autoSpaceDE w:val="0"/>
              <w:autoSpaceDN w:val="0"/>
              <w:adjustRightInd w:val="0"/>
              <w:spacing w:line="360" w:lineRule="exact"/>
              <w:jc w:val="center"/>
              <w:rPr>
                <w:rFonts w:asciiTheme="minorEastAsia" w:hAnsiTheme="minorEastAsia" w:eastAsiaTheme="minorEastAsia" w:cstheme="minorEastAsia"/>
                <w:b/>
                <w:kern w:val="0"/>
                <w:szCs w:val="21"/>
              </w:rPr>
            </w:pPr>
          </w:p>
        </w:tc>
        <w:tc>
          <w:tcPr>
            <w:tcW w:w="7400" w:type="dxa"/>
            <w:vAlign w:val="center"/>
          </w:tcPr>
          <w:p>
            <w:pPr>
              <w:snapToGrid w:val="0"/>
              <w:spacing w:line="360" w:lineRule="exact"/>
              <w:ind w:firstLine="527" w:firstLineChars="250"/>
              <w:rPr>
                <w:rFonts w:ascii="宋体" w:hAnsi="宋体" w:cs="宋体"/>
                <w:b/>
                <w:bCs/>
              </w:rPr>
            </w:pPr>
            <w:r>
              <w:rPr>
                <w:rFonts w:hint="eastAsia" w:ascii="宋体" w:hAnsi="宋体" w:cs="宋体"/>
                <w:b/>
                <w:bCs/>
              </w:rPr>
              <w:t>4、工程进度计划与保证措施（10分）</w:t>
            </w:r>
          </w:p>
          <w:p>
            <w:pPr>
              <w:snapToGrid w:val="0"/>
              <w:spacing w:line="360" w:lineRule="exact"/>
              <w:ind w:firstLine="525" w:firstLineChars="250"/>
              <w:rPr>
                <w:rFonts w:ascii="宋体" w:hAnsi="宋体" w:cs="宋体"/>
                <w:szCs w:val="21"/>
              </w:rPr>
            </w:pPr>
            <w:r>
              <w:rPr>
                <w:rFonts w:hint="eastAsia" w:ascii="宋体" w:hAnsi="宋体" w:cs="宋体"/>
                <w:szCs w:val="21"/>
              </w:rPr>
              <w:t>进度计划详尽、合理，项目实施进度、时间点、关键节点等设置清晰准确的，得10分；</w:t>
            </w:r>
          </w:p>
          <w:p>
            <w:pPr>
              <w:snapToGrid w:val="0"/>
              <w:spacing w:line="360" w:lineRule="exact"/>
              <w:ind w:firstLine="525" w:firstLineChars="250"/>
              <w:rPr>
                <w:rFonts w:ascii="宋体" w:hAnsi="宋体" w:cs="宋体"/>
                <w:szCs w:val="21"/>
              </w:rPr>
            </w:pPr>
            <w:r>
              <w:rPr>
                <w:rFonts w:hint="eastAsia" w:ascii="宋体" w:hAnsi="宋体" w:cs="宋体"/>
                <w:szCs w:val="21"/>
              </w:rPr>
              <w:t>进度计划较为详尽、合理，项目实施进度、时间点、关键点等设置比较准确的，得7分；</w:t>
            </w:r>
          </w:p>
          <w:p>
            <w:pPr>
              <w:snapToGrid w:val="0"/>
              <w:spacing w:line="360" w:lineRule="exact"/>
              <w:ind w:firstLine="525" w:firstLineChars="250"/>
              <w:rPr>
                <w:rFonts w:ascii="宋体" w:hAnsi="宋体" w:cs="宋体"/>
                <w:szCs w:val="21"/>
              </w:rPr>
            </w:pPr>
            <w:r>
              <w:rPr>
                <w:rFonts w:hint="eastAsia" w:ascii="宋体" w:hAnsi="宋体" w:cs="宋体"/>
                <w:szCs w:val="21"/>
              </w:rPr>
              <w:t>计划简单，描述不清楚，只能基本满足项目实施需要的，得5分；</w:t>
            </w:r>
          </w:p>
          <w:p>
            <w:pPr>
              <w:snapToGrid w:val="0"/>
              <w:spacing w:line="360" w:lineRule="exact"/>
              <w:ind w:firstLine="525" w:firstLineChars="250"/>
              <w:rPr>
                <w:rFonts w:ascii="宋体" w:hAnsi="宋体" w:cs="宋体"/>
                <w:szCs w:val="21"/>
              </w:rPr>
            </w:pPr>
            <w:r>
              <w:rPr>
                <w:rFonts w:hint="eastAsia" w:ascii="宋体" w:hAnsi="宋体" w:cs="宋体"/>
                <w:szCs w:val="21"/>
              </w:rPr>
              <w:t>措施不到位或不合理的得2分；</w:t>
            </w:r>
          </w:p>
          <w:p>
            <w:pPr>
              <w:snapToGrid w:val="0"/>
              <w:spacing w:line="360" w:lineRule="exact"/>
              <w:ind w:firstLine="525" w:firstLineChars="250"/>
            </w:pPr>
            <w:r>
              <w:rPr>
                <w:rFonts w:hint="eastAsia" w:ascii="宋体" w:hAnsi="宋体" w:cs="宋体"/>
                <w:szCs w:val="21"/>
              </w:rPr>
              <w:t>未提供相应方案的不得分。</w:t>
            </w:r>
          </w:p>
        </w:tc>
        <w:tc>
          <w:tcPr>
            <w:tcW w:w="680"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1134" w:type="dxa"/>
            <w:vMerge w:val="continue"/>
            <w:vAlign w:val="center"/>
          </w:tcPr>
          <w:p>
            <w:pPr>
              <w:tabs>
                <w:tab w:val="left" w:pos="-540"/>
                <w:tab w:val="left" w:pos="2880"/>
                <w:tab w:val="left" w:pos="3600"/>
                <w:tab w:val="left" w:pos="4320"/>
                <w:tab w:val="center" w:pos="4433"/>
              </w:tabs>
              <w:autoSpaceDE w:val="0"/>
              <w:autoSpaceDN w:val="0"/>
              <w:adjustRightInd w:val="0"/>
              <w:spacing w:line="360" w:lineRule="exact"/>
              <w:jc w:val="center"/>
              <w:rPr>
                <w:rFonts w:asciiTheme="minorEastAsia" w:hAnsiTheme="minorEastAsia" w:eastAsiaTheme="minorEastAsia" w:cstheme="minorEastAsia"/>
                <w:b/>
                <w:kern w:val="0"/>
                <w:szCs w:val="21"/>
              </w:rPr>
            </w:pPr>
          </w:p>
        </w:tc>
        <w:tc>
          <w:tcPr>
            <w:tcW w:w="7400" w:type="dxa"/>
            <w:vAlign w:val="center"/>
          </w:tcPr>
          <w:p>
            <w:pPr>
              <w:snapToGrid w:val="0"/>
              <w:spacing w:line="360" w:lineRule="exact"/>
              <w:ind w:firstLine="527" w:firstLineChars="250"/>
              <w:rPr>
                <w:b/>
                <w:bCs/>
              </w:rPr>
            </w:pPr>
            <w:r>
              <w:rPr>
                <w:rFonts w:hint="eastAsia"/>
                <w:b/>
                <w:bCs/>
              </w:rPr>
              <w:t>5、本工程重点难点分析（10分）</w:t>
            </w:r>
          </w:p>
          <w:p>
            <w:pPr>
              <w:snapToGrid w:val="0"/>
              <w:spacing w:line="360" w:lineRule="exact"/>
              <w:ind w:firstLine="525" w:firstLineChars="250"/>
              <w:rPr>
                <w:rFonts w:ascii="宋体" w:hAnsi="宋体" w:cs="宋体"/>
                <w:szCs w:val="21"/>
              </w:rPr>
            </w:pPr>
            <w:r>
              <w:rPr>
                <w:rFonts w:hint="eastAsia" w:ascii="宋体" w:hAnsi="宋体" w:cs="宋体"/>
                <w:szCs w:val="21"/>
              </w:rPr>
              <w:t>投标人根据经验、现场实际情况，进行了工程重点难点分析，重、难点突出，并有切实可行的解决方案的得10分；</w:t>
            </w:r>
          </w:p>
          <w:p>
            <w:pPr>
              <w:snapToGrid w:val="0"/>
              <w:spacing w:line="360" w:lineRule="exact"/>
              <w:ind w:firstLine="525" w:firstLineChars="250"/>
              <w:rPr>
                <w:rFonts w:ascii="宋体" w:hAnsi="宋体" w:cs="宋体"/>
                <w:szCs w:val="21"/>
              </w:rPr>
            </w:pPr>
            <w:r>
              <w:rPr>
                <w:rFonts w:hint="eastAsia" w:ascii="宋体" w:hAnsi="宋体" w:cs="宋体"/>
                <w:szCs w:val="21"/>
              </w:rPr>
              <w:t>方案科学较合理，重、难点突出，可操作性较可行的得7分；</w:t>
            </w:r>
          </w:p>
          <w:p>
            <w:pPr>
              <w:snapToGrid w:val="0"/>
              <w:spacing w:line="360" w:lineRule="exact"/>
              <w:ind w:firstLine="525" w:firstLineChars="250"/>
              <w:rPr>
                <w:rFonts w:ascii="宋体" w:hAnsi="宋体" w:cs="宋体"/>
                <w:szCs w:val="21"/>
              </w:rPr>
            </w:pPr>
            <w:r>
              <w:rPr>
                <w:rFonts w:hint="eastAsia" w:ascii="宋体" w:hAnsi="宋体" w:cs="宋体"/>
                <w:szCs w:val="21"/>
              </w:rPr>
              <w:t>方案科学合理，重、难点突出，针对性一般，可操作性一般的得5分；</w:t>
            </w:r>
          </w:p>
          <w:p>
            <w:pPr>
              <w:snapToGrid w:val="0"/>
              <w:spacing w:line="360" w:lineRule="exact"/>
              <w:ind w:firstLine="525" w:firstLineChars="250"/>
              <w:rPr>
                <w:rFonts w:ascii="宋体" w:hAnsi="宋体" w:cs="宋体"/>
                <w:szCs w:val="21"/>
              </w:rPr>
            </w:pPr>
            <w:r>
              <w:rPr>
                <w:rFonts w:hint="eastAsia" w:ascii="宋体" w:hAnsi="宋体" w:cs="宋体"/>
                <w:szCs w:val="21"/>
              </w:rPr>
              <w:t>方案分析不到位或不合理的得2分；</w:t>
            </w:r>
          </w:p>
          <w:p>
            <w:pPr>
              <w:snapToGrid w:val="0"/>
              <w:spacing w:line="360" w:lineRule="exact"/>
              <w:ind w:firstLine="525" w:firstLineChars="250"/>
            </w:pPr>
            <w:r>
              <w:rPr>
                <w:rFonts w:hint="eastAsia" w:ascii="宋体" w:hAnsi="宋体" w:cs="宋体"/>
                <w:szCs w:val="21"/>
              </w:rPr>
              <w:t>未提供相应方案的不得分。</w:t>
            </w:r>
          </w:p>
        </w:tc>
        <w:tc>
          <w:tcPr>
            <w:tcW w:w="680"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vMerge w:val="continue"/>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1134" w:type="dxa"/>
            <w:vMerge w:val="continue"/>
            <w:vAlign w:val="center"/>
          </w:tcPr>
          <w:p>
            <w:pPr>
              <w:tabs>
                <w:tab w:val="left" w:pos="-540"/>
                <w:tab w:val="left" w:pos="2880"/>
                <w:tab w:val="left" w:pos="3600"/>
                <w:tab w:val="left" w:pos="4320"/>
                <w:tab w:val="center" w:pos="4433"/>
              </w:tabs>
              <w:autoSpaceDE w:val="0"/>
              <w:autoSpaceDN w:val="0"/>
              <w:adjustRightInd w:val="0"/>
              <w:spacing w:line="360" w:lineRule="exact"/>
              <w:jc w:val="center"/>
              <w:rPr>
                <w:rFonts w:asciiTheme="minorEastAsia" w:hAnsiTheme="minorEastAsia" w:eastAsiaTheme="minorEastAsia" w:cstheme="minorEastAsia"/>
                <w:b/>
                <w:kern w:val="0"/>
                <w:szCs w:val="21"/>
              </w:rPr>
            </w:pPr>
          </w:p>
        </w:tc>
        <w:tc>
          <w:tcPr>
            <w:tcW w:w="7400" w:type="dxa"/>
            <w:vAlign w:val="center"/>
          </w:tcPr>
          <w:p>
            <w:pPr>
              <w:snapToGrid w:val="0"/>
              <w:spacing w:line="360" w:lineRule="exact"/>
              <w:ind w:firstLine="527" w:firstLineChars="250"/>
              <w:rPr>
                <w:rFonts w:ascii="宋体" w:hAnsi="宋体" w:cs="宋体"/>
                <w:b/>
                <w:bCs/>
                <w:szCs w:val="21"/>
              </w:rPr>
            </w:pPr>
            <w:r>
              <w:rPr>
                <w:rFonts w:hint="eastAsia" w:ascii="宋体" w:hAnsi="宋体" w:cs="宋体"/>
                <w:b/>
                <w:bCs/>
                <w:szCs w:val="21"/>
              </w:rPr>
              <w:t>6、紧急情况的处理措施、预案以及抵抗风险的措施（3分）</w:t>
            </w:r>
          </w:p>
          <w:p>
            <w:pPr>
              <w:snapToGrid w:val="0"/>
              <w:spacing w:line="360" w:lineRule="exact"/>
              <w:ind w:firstLine="525" w:firstLineChars="250"/>
              <w:rPr>
                <w:rFonts w:ascii="宋体" w:hAnsi="宋体" w:cs="宋体"/>
                <w:szCs w:val="21"/>
              </w:rPr>
            </w:pPr>
            <w:r>
              <w:rPr>
                <w:rFonts w:hint="eastAsia" w:ascii="宋体" w:hAnsi="宋体" w:cs="宋体"/>
                <w:szCs w:val="21"/>
              </w:rPr>
              <w:t>措施及方案合理的得3分；</w:t>
            </w:r>
          </w:p>
          <w:p>
            <w:pPr>
              <w:snapToGrid w:val="0"/>
              <w:spacing w:line="360" w:lineRule="exact"/>
              <w:ind w:firstLine="525" w:firstLineChars="250"/>
              <w:rPr>
                <w:rFonts w:ascii="宋体" w:hAnsi="宋体" w:cs="宋体"/>
                <w:szCs w:val="21"/>
              </w:rPr>
            </w:pPr>
            <w:r>
              <w:rPr>
                <w:rFonts w:hint="eastAsia" w:ascii="宋体" w:hAnsi="宋体" w:cs="宋体"/>
                <w:szCs w:val="21"/>
              </w:rPr>
              <w:t>措施及方案较合理的得2分；</w:t>
            </w:r>
          </w:p>
          <w:p>
            <w:pPr>
              <w:snapToGrid w:val="0"/>
              <w:spacing w:line="360" w:lineRule="exact"/>
              <w:ind w:firstLine="525" w:firstLineChars="250"/>
              <w:rPr>
                <w:rFonts w:ascii="宋体" w:hAnsi="宋体" w:cs="宋体"/>
                <w:szCs w:val="21"/>
              </w:rPr>
            </w:pPr>
            <w:r>
              <w:rPr>
                <w:rFonts w:hint="eastAsia" w:ascii="宋体" w:hAnsi="宋体" w:cs="宋体"/>
                <w:szCs w:val="21"/>
              </w:rPr>
              <w:t>措施方案分析不到位或不合理的得1分；</w:t>
            </w:r>
          </w:p>
          <w:p>
            <w:pPr>
              <w:snapToGrid w:val="0"/>
              <w:spacing w:line="360" w:lineRule="exact"/>
              <w:ind w:firstLine="525" w:firstLineChars="250"/>
            </w:pPr>
            <w:r>
              <w:rPr>
                <w:rFonts w:hint="eastAsia" w:ascii="宋体" w:hAnsi="宋体" w:cs="宋体"/>
                <w:szCs w:val="21"/>
              </w:rPr>
              <w:t>未提供相应方案的不得分。</w:t>
            </w:r>
          </w:p>
        </w:tc>
        <w:tc>
          <w:tcPr>
            <w:tcW w:w="680"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r>
    </w:tbl>
    <w:p>
      <w:pPr>
        <w:spacing w:line="360" w:lineRule="auto"/>
        <w:rPr>
          <w:rFonts w:ascii="宋体" w:hAnsi="宋体" w:cs="宋体"/>
          <w:b/>
          <w:color w:val="000000"/>
          <w:sz w:val="28"/>
          <w:szCs w:val="28"/>
        </w:rPr>
      </w:pPr>
      <w:bookmarkStart w:id="321" w:name="_Toc15465"/>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outlineLvl w:val="0"/>
        <w:rPr>
          <w:rFonts w:ascii="宋体" w:hAnsi="宋体" w:cs="宋体"/>
          <w:b/>
          <w:color w:val="000000"/>
          <w:sz w:val="28"/>
          <w:szCs w:val="28"/>
        </w:rPr>
      </w:pPr>
      <w:bookmarkStart w:id="322" w:name="_Toc22933"/>
      <w:r>
        <w:rPr>
          <w:rFonts w:hint="eastAsia" w:ascii="宋体" w:hAnsi="宋体" w:cs="宋体"/>
          <w:b/>
          <w:color w:val="000000"/>
          <w:sz w:val="28"/>
          <w:szCs w:val="28"/>
        </w:rPr>
        <w:t>第五章  投标（响应）文件格式</w:t>
      </w:r>
      <w:bookmarkEnd w:id="321"/>
      <w:bookmarkEnd w:id="322"/>
    </w:p>
    <w:p>
      <w:pPr>
        <w:pStyle w:val="9"/>
        <w:spacing w:line="480" w:lineRule="auto"/>
        <w:rPr>
          <w:rFonts w:ascii="宋体" w:hAnsi="宋体" w:eastAsia="宋体"/>
          <w:color w:val="000000"/>
        </w:rPr>
      </w:pPr>
    </w:p>
    <w:p>
      <w:pPr>
        <w:pStyle w:val="10"/>
        <w:spacing w:line="480" w:lineRule="auto"/>
        <w:outlineLvl w:val="9"/>
        <w:rPr>
          <w:rFonts w:ascii="宋体" w:eastAsia="宋体"/>
          <w:color w:val="000000"/>
        </w:rPr>
      </w:pPr>
    </w:p>
    <w:p>
      <w:pPr>
        <w:spacing w:line="1200" w:lineRule="exact"/>
        <w:jc w:val="center"/>
        <w:rPr>
          <w:rFonts w:ascii="宋体" w:hAnsi="宋体" w:cs="宋体"/>
          <w:b/>
          <w:color w:val="000000"/>
          <w:sz w:val="72"/>
          <w:szCs w:val="72"/>
        </w:rPr>
      </w:pPr>
      <w:r>
        <w:rPr>
          <w:rFonts w:hint="eastAsia" w:ascii="宋体" w:hAnsi="宋体" w:cs="宋体"/>
          <w:b/>
          <w:color w:val="000000"/>
          <w:sz w:val="72"/>
          <w:szCs w:val="72"/>
        </w:rPr>
        <w:t>响 应 文 件</w:t>
      </w:r>
    </w:p>
    <w:p>
      <w:pPr>
        <w:spacing w:line="1200" w:lineRule="exact"/>
        <w:jc w:val="center"/>
        <w:rPr>
          <w:rFonts w:ascii="宋体" w:hAnsi="宋体" w:cs="宋体"/>
          <w:b/>
          <w:color w:val="000000"/>
          <w:sz w:val="44"/>
          <w:szCs w:val="44"/>
        </w:rPr>
      </w:pPr>
      <w:bookmarkStart w:id="323" w:name="_Toc23349"/>
      <w:r>
        <w:rPr>
          <w:rFonts w:hint="eastAsia" w:ascii="宋体" w:hAnsi="宋体" w:cs="宋体"/>
          <w:b/>
          <w:color w:val="000000"/>
          <w:sz w:val="44"/>
          <w:szCs w:val="44"/>
        </w:rPr>
        <w:t>（竞争性磋商）</w:t>
      </w:r>
      <w:bookmarkEnd w:id="323"/>
    </w:p>
    <w:p>
      <w:pPr>
        <w:pStyle w:val="10"/>
        <w:spacing w:line="480" w:lineRule="auto"/>
        <w:outlineLvl w:val="9"/>
        <w:rPr>
          <w:rFonts w:ascii="宋体" w:eastAsia="宋体"/>
          <w:color w:val="000000"/>
        </w:rPr>
      </w:pPr>
    </w:p>
    <w:p>
      <w:pPr>
        <w:spacing w:line="480" w:lineRule="auto"/>
        <w:jc w:val="center"/>
        <w:rPr>
          <w:rFonts w:ascii="宋体" w:hAnsi="宋体" w:cs="宋体"/>
          <w:color w:val="000000"/>
          <w:sz w:val="36"/>
          <w:szCs w:val="36"/>
        </w:rPr>
      </w:pPr>
      <w:r>
        <w:rPr>
          <w:rFonts w:hint="eastAsia" w:ascii="宋体" w:hAnsi="宋体" w:cs="宋体"/>
          <w:color w:val="000000"/>
          <w:sz w:val="36"/>
          <w:szCs w:val="36"/>
        </w:rPr>
        <w:t>（正本/副本）</w:t>
      </w:r>
    </w:p>
    <w:p>
      <w:pPr>
        <w:spacing w:line="480" w:lineRule="auto"/>
        <w:jc w:val="center"/>
        <w:rPr>
          <w:rFonts w:ascii="宋体" w:hAnsi="宋体" w:cs="宋体"/>
          <w:color w:val="000000"/>
          <w:sz w:val="44"/>
          <w:szCs w:val="44"/>
        </w:rPr>
      </w:pPr>
    </w:p>
    <w:p>
      <w:pPr>
        <w:pStyle w:val="12"/>
        <w:spacing w:line="480" w:lineRule="auto"/>
      </w:pPr>
    </w:p>
    <w:p>
      <w:pPr>
        <w:pStyle w:val="9"/>
        <w:spacing w:line="480" w:lineRule="auto"/>
        <w:rPr>
          <w:rFonts w:ascii="宋体" w:hAnsi="宋体" w:eastAsia="宋体"/>
          <w:color w:val="000000"/>
        </w:rPr>
      </w:pPr>
    </w:p>
    <w:p>
      <w:pPr>
        <w:spacing w:line="480" w:lineRule="auto"/>
        <w:rPr>
          <w:rFonts w:ascii="宋体" w:hAnsi="宋体"/>
          <w:color w:val="000000"/>
        </w:rPr>
      </w:pP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项目名称：</w:t>
      </w:r>
    </w:p>
    <w:p>
      <w:pPr>
        <w:spacing w:line="480" w:lineRule="auto"/>
        <w:ind w:firstLine="904" w:firstLineChars="300"/>
        <w:rPr>
          <w:rFonts w:ascii="宋体" w:hAnsi="宋体" w:cs="宋体"/>
          <w:b/>
          <w:color w:val="000000"/>
          <w:sz w:val="30"/>
          <w:szCs w:val="30"/>
          <w:u w:val="single"/>
        </w:rPr>
      </w:pPr>
      <w:r>
        <w:rPr>
          <w:rFonts w:hint="eastAsia" w:ascii="宋体" w:hAnsi="宋体" w:cs="宋体"/>
          <w:b/>
          <w:color w:val="000000"/>
          <w:sz w:val="30"/>
          <w:szCs w:val="30"/>
        </w:rPr>
        <w:t>项目编号：</w:t>
      </w: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供应商名称 ：</w:t>
      </w: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日      期 ：</w:t>
      </w:r>
    </w:p>
    <w:p>
      <w:pPr>
        <w:spacing w:line="480" w:lineRule="auto"/>
        <w:jc w:val="center"/>
        <w:rPr>
          <w:rFonts w:ascii="宋体" w:hAnsi="宋体" w:cs="宋体"/>
          <w:b/>
          <w:color w:val="000000"/>
          <w:sz w:val="28"/>
          <w:szCs w:val="28"/>
        </w:rPr>
      </w:pPr>
    </w:p>
    <w:p>
      <w:pPr>
        <w:pStyle w:val="10"/>
        <w:outlineLvl w:val="9"/>
        <w:rPr>
          <w:rFonts w:ascii="宋体" w:eastAsia="宋体"/>
          <w:color w:val="000000"/>
        </w:rPr>
      </w:pPr>
    </w:p>
    <w:p>
      <w:pPr>
        <w:pStyle w:val="12"/>
      </w:pPr>
    </w:p>
    <w:p>
      <w:pPr>
        <w:pStyle w:val="9"/>
        <w:spacing w:line="240" w:lineRule="exact"/>
        <w:rPr>
          <w:rFonts w:ascii="宋体" w:hAnsi="宋体" w:cs="宋体"/>
          <w:b/>
          <w:color w:val="000000"/>
          <w:szCs w:val="28"/>
        </w:rPr>
      </w:pPr>
    </w:p>
    <w:p>
      <w:pPr>
        <w:spacing w:line="480" w:lineRule="auto"/>
        <w:jc w:val="center"/>
        <w:rPr>
          <w:rFonts w:ascii="宋体" w:hAnsi="宋体" w:cs="宋体"/>
          <w:b/>
          <w:color w:val="000000"/>
          <w:sz w:val="36"/>
          <w:szCs w:val="21"/>
        </w:rPr>
      </w:pPr>
    </w:p>
    <w:p>
      <w:pPr>
        <w:spacing w:line="480" w:lineRule="auto"/>
        <w:rPr>
          <w:rFonts w:ascii="宋体" w:hAnsi="宋体" w:cs="宋体"/>
          <w:b/>
          <w:color w:val="000000"/>
          <w:sz w:val="36"/>
          <w:szCs w:val="21"/>
        </w:rPr>
      </w:pPr>
    </w:p>
    <w:p>
      <w:pPr>
        <w:spacing w:line="480" w:lineRule="auto"/>
        <w:jc w:val="center"/>
        <w:rPr>
          <w:rFonts w:ascii="宋体" w:hAnsi="宋体" w:cs="宋体"/>
          <w:b/>
          <w:color w:val="000000"/>
          <w:sz w:val="36"/>
          <w:szCs w:val="21"/>
        </w:rPr>
      </w:pPr>
    </w:p>
    <w:p>
      <w:pPr>
        <w:rPr>
          <w:rFonts w:ascii="宋体" w:hAnsi="宋体" w:cs="宋体"/>
          <w:b/>
          <w:color w:val="000000"/>
          <w:sz w:val="36"/>
          <w:szCs w:val="21"/>
        </w:rPr>
      </w:pPr>
    </w:p>
    <w:p>
      <w:pPr>
        <w:spacing w:line="480" w:lineRule="auto"/>
        <w:jc w:val="center"/>
        <w:outlineLvl w:val="1"/>
        <w:rPr>
          <w:rFonts w:asciiTheme="minorEastAsia" w:hAnsiTheme="minorEastAsia" w:eastAsiaTheme="minorEastAsia" w:cstheme="minorEastAsia"/>
          <w:b/>
          <w:color w:val="000000"/>
          <w:szCs w:val="21"/>
        </w:rPr>
      </w:pPr>
      <w:bookmarkStart w:id="324" w:name="_Toc14853"/>
      <w:bookmarkStart w:id="325" w:name="_Toc4761"/>
      <w:r>
        <w:rPr>
          <w:rFonts w:hint="eastAsia" w:asciiTheme="minorEastAsia" w:hAnsiTheme="minorEastAsia" w:eastAsiaTheme="minorEastAsia" w:cstheme="minorEastAsia"/>
          <w:b/>
          <w:color w:val="000000"/>
          <w:szCs w:val="21"/>
        </w:rPr>
        <w:t>投标（响应）文件目录</w:t>
      </w:r>
      <w:bookmarkEnd w:id="324"/>
      <w:bookmarkEnd w:id="325"/>
    </w:p>
    <w:p>
      <w:pPr>
        <w:pStyle w:val="9"/>
        <w:spacing w:line="240" w:lineRule="exact"/>
        <w:rPr>
          <w:rFonts w:asciiTheme="minorEastAsia" w:hAnsiTheme="minorEastAsia" w:eastAsiaTheme="minorEastAsia" w:cstheme="minorEastAsia"/>
          <w:b/>
          <w:bCs/>
          <w:color w:val="000000"/>
          <w:sz w:val="21"/>
          <w:szCs w:val="21"/>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3"/>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63" w:type="dxa"/>
            <w:noWrap/>
            <w:vAlign w:val="center"/>
          </w:tcPr>
          <w:p>
            <w:pPr>
              <w:spacing w:line="480" w:lineRule="auto"/>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目录名称</w:t>
            </w:r>
          </w:p>
        </w:tc>
        <w:tc>
          <w:tcPr>
            <w:tcW w:w="1574" w:type="dxa"/>
            <w:noWrap/>
            <w:vAlign w:val="center"/>
          </w:tcPr>
          <w:p>
            <w:pPr>
              <w:spacing w:line="480" w:lineRule="auto"/>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bottom"/>
          </w:tcPr>
          <w:p>
            <w:pPr>
              <w:spacing w:line="48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一、报价一览表(报价表) （格式）</w:t>
            </w:r>
          </w:p>
        </w:tc>
        <w:tc>
          <w:tcPr>
            <w:tcW w:w="1574" w:type="dxa"/>
            <w:noWrap/>
            <w:vAlign w:val="center"/>
          </w:tcPr>
          <w:p>
            <w:pPr>
              <w:spacing w:line="480" w:lineRule="auto"/>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bottom"/>
          </w:tcPr>
          <w:p>
            <w:pPr>
              <w:spacing w:line="48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二、供应商的资格证明文件</w:t>
            </w:r>
          </w:p>
        </w:tc>
        <w:tc>
          <w:tcPr>
            <w:tcW w:w="1574" w:type="dxa"/>
            <w:noWrap/>
            <w:vAlign w:val="center"/>
          </w:tcPr>
          <w:p>
            <w:pPr>
              <w:spacing w:line="480" w:lineRule="auto"/>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bottom"/>
          </w:tcPr>
          <w:p>
            <w:pPr>
              <w:spacing w:line="48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三、法定代表人授权委托书（格式）</w:t>
            </w:r>
          </w:p>
        </w:tc>
        <w:tc>
          <w:tcPr>
            <w:tcW w:w="1574" w:type="dxa"/>
            <w:noWrap/>
            <w:vAlign w:val="center"/>
          </w:tcPr>
          <w:p>
            <w:pPr>
              <w:spacing w:line="480" w:lineRule="auto"/>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bottom"/>
          </w:tcPr>
          <w:p>
            <w:pPr>
              <w:spacing w:line="48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四、投标（响应）书（格式）</w:t>
            </w:r>
          </w:p>
        </w:tc>
        <w:tc>
          <w:tcPr>
            <w:tcW w:w="1574" w:type="dxa"/>
            <w:noWrap/>
            <w:vAlign w:val="center"/>
          </w:tcPr>
          <w:p>
            <w:pPr>
              <w:spacing w:line="480" w:lineRule="auto"/>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bottom"/>
          </w:tcPr>
          <w:p>
            <w:pPr>
              <w:spacing w:line="48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五、盐城市政府采购事前信用承诺书（格式）</w:t>
            </w:r>
          </w:p>
        </w:tc>
        <w:tc>
          <w:tcPr>
            <w:tcW w:w="1574" w:type="dxa"/>
            <w:noWrap/>
            <w:vAlign w:val="center"/>
          </w:tcPr>
          <w:p>
            <w:pPr>
              <w:spacing w:line="480" w:lineRule="auto"/>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bottom"/>
          </w:tcPr>
          <w:p>
            <w:pPr>
              <w:spacing w:line="48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六、商务条款偏离表（格式）</w:t>
            </w:r>
          </w:p>
        </w:tc>
        <w:tc>
          <w:tcPr>
            <w:tcW w:w="1574" w:type="dxa"/>
            <w:noWrap/>
            <w:vAlign w:val="center"/>
          </w:tcPr>
          <w:p>
            <w:pPr>
              <w:spacing w:line="480" w:lineRule="auto"/>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63" w:type="dxa"/>
            <w:noWrap/>
            <w:vAlign w:val="bottom"/>
          </w:tcPr>
          <w:p>
            <w:pPr>
              <w:spacing w:line="48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七、投标（响应）分项报价表（格式）</w:t>
            </w:r>
          </w:p>
        </w:tc>
        <w:tc>
          <w:tcPr>
            <w:tcW w:w="1574" w:type="dxa"/>
            <w:noWrap/>
            <w:vAlign w:val="center"/>
          </w:tcPr>
          <w:p>
            <w:pPr>
              <w:spacing w:line="480" w:lineRule="auto"/>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bottom"/>
          </w:tcPr>
          <w:p>
            <w:pPr>
              <w:spacing w:line="48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八、技术规格（采购需求）偏离表（格式）</w:t>
            </w:r>
          </w:p>
        </w:tc>
        <w:tc>
          <w:tcPr>
            <w:tcW w:w="1574" w:type="dxa"/>
            <w:noWrap/>
            <w:vAlign w:val="center"/>
          </w:tcPr>
          <w:p>
            <w:pPr>
              <w:spacing w:line="480" w:lineRule="auto"/>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bottom"/>
          </w:tcPr>
          <w:p>
            <w:pPr>
              <w:spacing w:line="48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九、拟投入本项目人员一览表</w:t>
            </w:r>
          </w:p>
        </w:tc>
        <w:tc>
          <w:tcPr>
            <w:tcW w:w="1574" w:type="dxa"/>
            <w:noWrap/>
            <w:vAlign w:val="center"/>
          </w:tcPr>
          <w:p>
            <w:pPr>
              <w:spacing w:line="480" w:lineRule="auto"/>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bottom"/>
          </w:tcPr>
          <w:p>
            <w:pPr>
              <w:spacing w:line="48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十</w:t>
            </w:r>
            <w:r>
              <w:rPr>
                <w:rFonts w:hint="eastAsia" w:asciiTheme="minorEastAsia" w:hAnsiTheme="minorEastAsia" w:eastAsiaTheme="minorEastAsia" w:cstheme="minorEastAsia"/>
                <w:color w:val="000000"/>
                <w:szCs w:val="21"/>
              </w:rPr>
              <w:t>、投标（响应）文件的其它内容</w:t>
            </w:r>
          </w:p>
        </w:tc>
        <w:tc>
          <w:tcPr>
            <w:tcW w:w="1574" w:type="dxa"/>
            <w:noWrap/>
            <w:vAlign w:val="center"/>
          </w:tcPr>
          <w:p>
            <w:pPr>
              <w:spacing w:line="480" w:lineRule="auto"/>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rFonts w:asciiTheme="minorEastAsia" w:hAnsiTheme="minorEastAsia" w:eastAsiaTheme="minorEastAsia" w:cstheme="minorEastAsia"/>
                <w:b/>
                <w:i/>
                <w:color w:val="000000"/>
                <w:szCs w:val="21"/>
                <w:u w:val="single"/>
              </w:rPr>
            </w:pPr>
            <w:r>
              <w:rPr>
                <w:rFonts w:hint="eastAsia" w:asciiTheme="minorEastAsia" w:hAnsiTheme="minorEastAsia" w:eastAsiaTheme="minorEastAsia" w:cstheme="minorEastAsia"/>
                <w:b/>
                <w:i/>
                <w:color w:val="000000"/>
                <w:szCs w:val="21"/>
                <w:u w:val="single"/>
              </w:rPr>
              <w:t>供应商可以编辑详细的目录（建议提供《评分索引表》）</w:t>
            </w:r>
          </w:p>
        </w:tc>
        <w:tc>
          <w:tcPr>
            <w:tcW w:w="1574" w:type="dxa"/>
            <w:noWrap/>
            <w:vAlign w:val="center"/>
          </w:tcPr>
          <w:p>
            <w:pPr>
              <w:spacing w:line="480" w:lineRule="auto"/>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i/>
                <w:color w:val="000000"/>
                <w:szCs w:val="21"/>
                <w:u w:val="single"/>
              </w:rPr>
              <w:t>行数不够，可按本表格式自行添加</w:t>
            </w:r>
          </w:p>
        </w:tc>
        <w:tc>
          <w:tcPr>
            <w:tcW w:w="1574" w:type="dxa"/>
            <w:noWrap/>
            <w:vAlign w:val="center"/>
          </w:tcPr>
          <w:p>
            <w:pPr>
              <w:spacing w:line="480" w:lineRule="auto"/>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37" w:type="dxa"/>
            <w:gridSpan w:val="2"/>
            <w:noWrap/>
            <w:vAlign w:val="center"/>
          </w:tcPr>
          <w:p>
            <w:pPr>
              <w:spacing w:line="480" w:lineRule="auto"/>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特别说明</w:t>
            </w:r>
          </w:p>
          <w:p>
            <w:pPr>
              <w:spacing w:line="276" w:lineRule="auto"/>
              <w:ind w:firstLine="422" w:firstLineChars="20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1、★本目录（含页码）是专家评审的重要依据，请供应商准确（完整）填写。如供应商未能准确（完整）填写的，所引起的后果由供应商自负。</w:t>
            </w:r>
          </w:p>
          <w:p>
            <w:pPr>
              <w:spacing w:line="276" w:lineRule="auto"/>
              <w:ind w:firstLine="422"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rPr>
              <w:t>2、供应商可以根据自身需要编辑详细的响应文件目录（如：《评分索引表》等供应商认为重要的内容）。</w:t>
            </w:r>
            <w:r>
              <w:rPr>
                <w:rFonts w:hint="eastAsia" w:asciiTheme="minorEastAsia" w:hAnsiTheme="minorEastAsia" w:eastAsiaTheme="minorEastAsia" w:cstheme="minorEastAsia"/>
                <w:color w:val="000000"/>
                <w:szCs w:val="21"/>
              </w:rPr>
              <w:t>供应商的响应文件目录应当遵循格式规范、便于查找获得的原则（以便评审人员评审）。</w:t>
            </w:r>
          </w:p>
        </w:tc>
      </w:tr>
    </w:tbl>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12"/>
        <w:ind w:firstLine="0"/>
      </w:pPr>
    </w:p>
    <w:p>
      <w:pPr>
        <w:rPr>
          <w:color w:val="000000"/>
        </w:rPr>
      </w:pPr>
    </w:p>
    <w:p>
      <w:pPr>
        <w:spacing w:line="552" w:lineRule="auto"/>
        <w:jc w:val="both"/>
        <w:rPr>
          <w:rFonts w:asciiTheme="minorEastAsia" w:hAnsiTheme="minorEastAsia" w:eastAsiaTheme="minorEastAsia" w:cstheme="minorEastAsia"/>
          <w:b/>
          <w:bCs/>
          <w:color w:val="000000"/>
          <w:szCs w:val="21"/>
        </w:rPr>
      </w:pPr>
      <w:bookmarkStart w:id="326" w:name="_Toc3561"/>
    </w:p>
    <w:p>
      <w:pPr>
        <w:spacing w:line="552" w:lineRule="auto"/>
        <w:jc w:val="center"/>
        <w:outlineLvl w:val="1"/>
        <w:rPr>
          <w:rFonts w:asciiTheme="minorEastAsia" w:hAnsiTheme="minorEastAsia" w:eastAsiaTheme="minorEastAsia" w:cstheme="minorEastAsia"/>
          <w:b/>
          <w:bCs/>
          <w:color w:val="000000"/>
          <w:szCs w:val="21"/>
        </w:rPr>
      </w:pPr>
      <w:bookmarkStart w:id="327" w:name="_Toc29495"/>
      <w:r>
        <w:rPr>
          <w:rFonts w:hint="eastAsia" w:asciiTheme="minorEastAsia" w:hAnsiTheme="minorEastAsia" w:eastAsiaTheme="minorEastAsia" w:cstheme="minorEastAsia"/>
          <w:b/>
          <w:bCs/>
          <w:color w:val="000000"/>
          <w:szCs w:val="21"/>
        </w:rPr>
        <w:t>一、报价一览表(报价表)（格式）</w:t>
      </w:r>
      <w:bookmarkEnd w:id="326"/>
      <w:bookmarkEnd w:id="327"/>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pStyle w:val="44"/>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项目编号</w:t>
            </w:r>
          </w:p>
        </w:tc>
        <w:tc>
          <w:tcPr>
            <w:tcW w:w="5253" w:type="dxa"/>
            <w:tcBorders>
              <w:top w:val="single" w:color="auto" w:sz="4" w:space="0"/>
              <w:left w:val="single" w:color="auto" w:sz="4" w:space="0"/>
              <w:bottom w:val="single" w:color="auto" w:sz="4" w:space="0"/>
              <w:right w:val="single" w:color="auto" w:sz="4" w:space="0"/>
            </w:tcBorders>
            <w:noWrap/>
            <w:vAlign w:val="center"/>
          </w:tcPr>
          <w:p>
            <w:pPr>
              <w:pStyle w:val="17"/>
              <w:jc w:val="lef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pStyle w:val="44"/>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项目名称</w:t>
            </w:r>
          </w:p>
        </w:tc>
        <w:tc>
          <w:tcPr>
            <w:tcW w:w="5253" w:type="dxa"/>
            <w:tcBorders>
              <w:top w:val="single" w:color="auto" w:sz="4" w:space="0"/>
              <w:left w:val="single" w:color="auto" w:sz="4" w:space="0"/>
              <w:bottom w:val="single" w:color="auto" w:sz="4" w:space="0"/>
              <w:right w:val="single" w:color="auto" w:sz="4" w:space="0"/>
            </w:tcBorders>
            <w:noWrap/>
            <w:vAlign w:val="center"/>
          </w:tcPr>
          <w:p>
            <w:pPr>
              <w:pStyle w:val="17"/>
              <w:jc w:val="lef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132" w:type="dxa"/>
            <w:tcBorders>
              <w:top w:val="single" w:color="auto" w:sz="4" w:space="0"/>
              <w:left w:val="single" w:color="auto" w:sz="4" w:space="0"/>
              <w:right w:val="single" w:color="auto" w:sz="4" w:space="0"/>
            </w:tcBorders>
            <w:noWrap/>
            <w:vAlign w:val="center"/>
          </w:tcPr>
          <w:p>
            <w:pPr>
              <w:pStyle w:val="44"/>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投标价格</w:t>
            </w:r>
          </w:p>
          <w:p>
            <w:pPr>
              <w:pStyle w:val="44"/>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（投标总报价）</w:t>
            </w:r>
          </w:p>
        </w:tc>
        <w:tc>
          <w:tcPr>
            <w:tcW w:w="5253" w:type="dxa"/>
            <w:tcBorders>
              <w:top w:val="single" w:color="auto" w:sz="4" w:space="0"/>
              <w:left w:val="single" w:color="auto" w:sz="4" w:space="0"/>
              <w:right w:val="single" w:color="auto" w:sz="4" w:space="0"/>
            </w:tcBorders>
            <w:noWrap/>
            <w:vAlign w:val="center"/>
          </w:tcPr>
          <w:p>
            <w:pPr>
              <w:pStyle w:val="17"/>
              <w:jc w:val="left"/>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大写：</w:t>
            </w:r>
          </w:p>
          <w:p>
            <w:pPr>
              <w:pStyle w:val="17"/>
              <w:jc w:val="left"/>
              <w:rPr>
                <w:rFonts w:asciiTheme="minorEastAsia" w:hAnsiTheme="minorEastAsia" w:eastAsiaTheme="minorEastAsia" w:cstheme="minorEastAsia"/>
                <w:sz w:val="21"/>
                <w:szCs w:val="21"/>
                <w:u w:val="single"/>
              </w:rPr>
            </w:pPr>
          </w:p>
          <w:p>
            <w:pPr>
              <w:pStyle w:val="17"/>
              <w:jc w:val="left"/>
              <w:rPr>
                <w:rFonts w:asciiTheme="minorEastAsia" w:hAnsiTheme="minorEastAsia" w:eastAsiaTheme="minorEastAsia" w:cstheme="minorEastAsia"/>
                <w:sz w:val="21"/>
                <w:szCs w:val="21"/>
                <w:u w:val="single"/>
              </w:rPr>
            </w:pPr>
          </w:p>
          <w:p>
            <w:pPr>
              <w:pStyle w:val="17"/>
              <w:jc w:val="left"/>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pStyle w:val="44"/>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产品质量标准</w:t>
            </w:r>
          </w:p>
        </w:tc>
        <w:tc>
          <w:tcPr>
            <w:tcW w:w="5253" w:type="dxa"/>
            <w:tcBorders>
              <w:top w:val="single" w:color="auto" w:sz="4" w:space="0"/>
              <w:left w:val="single" w:color="auto" w:sz="4" w:space="0"/>
              <w:bottom w:val="single" w:color="auto" w:sz="4" w:space="0"/>
              <w:right w:val="single" w:color="auto" w:sz="4" w:space="0"/>
            </w:tcBorders>
            <w:noWrap/>
            <w:vAlign w:val="center"/>
          </w:tcPr>
          <w:p>
            <w:pPr>
              <w:pStyle w:val="17"/>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合格（符合国家强制标准）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pStyle w:val="44"/>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工期</w:t>
            </w:r>
          </w:p>
        </w:tc>
        <w:tc>
          <w:tcPr>
            <w:tcW w:w="5253" w:type="dxa"/>
            <w:tcBorders>
              <w:top w:val="single" w:color="auto" w:sz="4" w:space="0"/>
              <w:left w:val="single" w:color="auto" w:sz="4" w:space="0"/>
              <w:bottom w:val="single" w:color="auto" w:sz="4" w:space="0"/>
              <w:right w:val="single" w:color="auto" w:sz="4" w:space="0"/>
            </w:tcBorders>
            <w:noWrap/>
            <w:vAlign w:val="center"/>
          </w:tcPr>
          <w:p>
            <w:pPr>
              <w:pStyle w:val="17"/>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lang w:val="en-US" w:eastAsia="zh-CN"/>
              </w:rPr>
              <w:t>30</w:t>
            </w:r>
            <w:r>
              <w:rPr>
                <w:rFonts w:hint="eastAsia" w:asciiTheme="minorEastAsia" w:hAnsiTheme="minorEastAsia" w:eastAsiaTheme="minorEastAsia" w:cstheme="minorEastAsia"/>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pStyle w:val="44"/>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工程保修期</w:t>
            </w:r>
          </w:p>
        </w:tc>
        <w:tc>
          <w:tcPr>
            <w:tcW w:w="5253" w:type="dxa"/>
            <w:tcBorders>
              <w:top w:val="single" w:color="auto" w:sz="4" w:space="0"/>
              <w:left w:val="single" w:color="auto" w:sz="4" w:space="0"/>
              <w:bottom w:val="single" w:color="auto" w:sz="4" w:space="0"/>
              <w:right w:val="single" w:color="auto" w:sz="4" w:space="0"/>
            </w:tcBorders>
            <w:noWrap/>
            <w:vAlign w:val="center"/>
          </w:tcPr>
          <w:p>
            <w:pPr>
              <w:pStyle w:val="17"/>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贰</w:t>
            </w:r>
            <w:r>
              <w:rPr>
                <w:rFonts w:hint="eastAsia" w:asciiTheme="minorEastAsia" w:hAnsiTheme="minorEastAsia" w:eastAsiaTheme="minorEastAsia" w:cstheme="minorEastAsia"/>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pStyle w:val="44"/>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项目经理（项目负责人）</w:t>
            </w:r>
          </w:p>
        </w:tc>
        <w:tc>
          <w:tcPr>
            <w:tcW w:w="5253" w:type="dxa"/>
            <w:tcBorders>
              <w:top w:val="single" w:color="auto" w:sz="4" w:space="0"/>
              <w:left w:val="single" w:color="auto" w:sz="4" w:space="0"/>
              <w:bottom w:val="single" w:color="auto" w:sz="4" w:space="0"/>
              <w:right w:val="single" w:color="auto" w:sz="4" w:space="0"/>
            </w:tcBorders>
            <w:noWrap/>
            <w:vAlign w:val="center"/>
          </w:tcPr>
          <w:p>
            <w:pPr>
              <w:pStyle w:val="17"/>
              <w:jc w:val="center"/>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（姓名）；资质等级：级；证号：</w:t>
            </w:r>
          </w:p>
          <w:p>
            <w:pPr>
              <w:pStyle w:val="17"/>
              <w:jc w:val="center"/>
              <w:rPr>
                <w:rFonts w:asciiTheme="minorEastAsia" w:hAnsiTheme="minorEastAsia" w:eastAsiaTheme="minorEastAsia" w:cstheme="minorEastAsia"/>
                <w:color w:val="FF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pStyle w:val="44"/>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交付或者实施的地点</w:t>
            </w:r>
          </w:p>
        </w:tc>
        <w:tc>
          <w:tcPr>
            <w:tcW w:w="5253" w:type="dxa"/>
            <w:tcBorders>
              <w:top w:val="single" w:color="auto" w:sz="4" w:space="0"/>
              <w:left w:val="single" w:color="auto" w:sz="4" w:space="0"/>
              <w:bottom w:val="single" w:color="auto" w:sz="4" w:space="0"/>
              <w:right w:val="single" w:color="auto" w:sz="4" w:space="0"/>
            </w:tcBorders>
            <w:noWrap/>
            <w:vAlign w:val="center"/>
          </w:tcPr>
          <w:p>
            <w:pPr>
              <w:pStyle w:val="17"/>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江苏盐城</w:t>
            </w:r>
          </w:p>
          <w:p>
            <w:pPr>
              <w:pStyle w:val="17"/>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（具体地点以采购人另行通知的为准）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pStyle w:val="44"/>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投标有效期</w:t>
            </w:r>
          </w:p>
        </w:tc>
        <w:tc>
          <w:tcPr>
            <w:tcW w:w="5253" w:type="dxa"/>
            <w:tcBorders>
              <w:top w:val="single" w:color="auto" w:sz="4" w:space="0"/>
              <w:left w:val="single" w:color="auto" w:sz="4" w:space="0"/>
              <w:bottom w:val="single" w:color="auto" w:sz="4" w:space="0"/>
              <w:right w:val="single" w:color="auto" w:sz="4" w:space="0"/>
            </w:tcBorders>
            <w:noWrap/>
            <w:vAlign w:val="center"/>
          </w:tcPr>
          <w:p>
            <w:pPr>
              <w:pStyle w:val="17"/>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提交响应文件截止之日起</w:t>
            </w:r>
            <w:r>
              <w:rPr>
                <w:rFonts w:hint="eastAsia" w:asciiTheme="minorEastAsia" w:hAnsiTheme="minorEastAsia" w:eastAsiaTheme="minorEastAsia" w:cstheme="minorEastAsia"/>
                <w:sz w:val="21"/>
                <w:szCs w:val="21"/>
                <w:u w:val="single"/>
              </w:rPr>
              <w:t>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pStyle w:val="17"/>
              <w:tabs>
                <w:tab w:val="left" w:pos="5580"/>
              </w:tabs>
              <w:spacing w:line="552" w:lineRule="auto"/>
              <w:ind w:firstLine="562"/>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投标人名称（单位公章）：</w:t>
            </w:r>
          </w:p>
          <w:p>
            <w:pPr>
              <w:pStyle w:val="17"/>
              <w:tabs>
                <w:tab w:val="left" w:pos="5580"/>
              </w:tabs>
              <w:spacing w:line="552" w:lineRule="auto"/>
              <w:ind w:firstLine="562"/>
              <w:rPr>
                <w:rFonts w:asciiTheme="minorEastAsia" w:hAnsiTheme="minorEastAsia" w:eastAsiaTheme="minorEastAsia" w:cstheme="minorEastAsia"/>
                <w:b/>
                <w:color w:val="000000"/>
                <w:sz w:val="21"/>
                <w:szCs w:val="21"/>
                <w:u w:val="single"/>
              </w:rPr>
            </w:pPr>
            <w:r>
              <w:rPr>
                <w:rFonts w:hint="eastAsia" w:asciiTheme="minorEastAsia" w:hAnsiTheme="minorEastAsia" w:eastAsiaTheme="minorEastAsia" w:cstheme="minorEastAsia"/>
                <w:b/>
                <w:color w:val="000000"/>
                <w:sz w:val="21"/>
                <w:szCs w:val="21"/>
              </w:rPr>
              <w:t>法定代表人或其委托代理人(签字):</w:t>
            </w:r>
            <w:r>
              <w:rPr>
                <w:rFonts w:hint="eastAsia" w:asciiTheme="minorEastAsia" w:hAnsiTheme="minorEastAsia" w:eastAsiaTheme="minorEastAsia" w:cstheme="minorEastAsia"/>
                <w:b/>
                <w:color w:val="000000"/>
                <w:sz w:val="21"/>
                <w:szCs w:val="21"/>
                <w:u w:val="single"/>
              </w:rPr>
              <w:tab/>
            </w:r>
          </w:p>
          <w:p>
            <w:pPr>
              <w:spacing w:line="552" w:lineRule="auto"/>
              <w:ind w:firstLine="422"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rPr>
              <w:t>日    期：</w:t>
            </w:r>
            <w:r>
              <w:rPr>
                <w:rFonts w:hint="eastAsia" w:asciiTheme="minorEastAsia" w:hAnsiTheme="minorEastAsia" w:eastAsiaTheme="minorEastAsia" w:cstheme="minorEastAsia"/>
                <w:b/>
                <w:color w:val="000000"/>
                <w:szCs w:val="21"/>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spacing w:line="480" w:lineRule="auto"/>
              <w:ind w:firstLine="422" w:firstLineChars="20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注：如果报价一览表（报价表）内容与投标（响应）分项报价表内容不一致的，以报价一览表（报价表）内容为准。</w:t>
            </w:r>
          </w:p>
        </w:tc>
      </w:tr>
    </w:tbl>
    <w:p>
      <w:pPr>
        <w:rPr>
          <w:rFonts w:ascii="宋体" w:hAnsi="宋体"/>
          <w:color w:val="000000"/>
        </w:rPr>
      </w:pPr>
    </w:p>
    <w:p>
      <w:pPr>
        <w:pStyle w:val="9"/>
        <w:rPr>
          <w:color w:val="000000"/>
        </w:rPr>
      </w:pPr>
    </w:p>
    <w:p>
      <w:pPr>
        <w:pStyle w:val="10"/>
        <w:outlineLvl w:val="9"/>
        <w:rPr>
          <w:color w:val="000000"/>
        </w:rPr>
      </w:pPr>
    </w:p>
    <w:p>
      <w:pPr>
        <w:pStyle w:val="12"/>
      </w:pPr>
    </w:p>
    <w:p>
      <w:pPr>
        <w:jc w:val="both"/>
        <w:rPr>
          <w:rFonts w:ascii="宋体" w:hAnsi="宋体"/>
          <w:b/>
          <w:color w:val="000000"/>
          <w:sz w:val="28"/>
          <w:szCs w:val="28"/>
        </w:rPr>
      </w:pPr>
    </w:p>
    <w:p>
      <w:pPr>
        <w:pStyle w:val="2"/>
        <w:rPr>
          <w:rFonts w:ascii="宋体" w:hAnsi="宋体"/>
          <w:b/>
          <w:color w:val="000000"/>
          <w:sz w:val="28"/>
          <w:szCs w:val="28"/>
        </w:rPr>
      </w:pPr>
    </w:p>
    <w:p/>
    <w:p>
      <w:pPr>
        <w:jc w:val="center"/>
        <w:outlineLvl w:val="1"/>
        <w:rPr>
          <w:rFonts w:asciiTheme="minorEastAsia" w:hAnsiTheme="minorEastAsia" w:eastAsiaTheme="minorEastAsia" w:cstheme="minorEastAsia"/>
          <w:b/>
          <w:color w:val="000000"/>
          <w:szCs w:val="21"/>
        </w:rPr>
      </w:pPr>
      <w:bookmarkStart w:id="328" w:name="_Toc28814"/>
      <w:r>
        <w:rPr>
          <w:rFonts w:hint="eastAsia" w:asciiTheme="minorEastAsia" w:hAnsiTheme="minorEastAsia" w:eastAsiaTheme="minorEastAsia" w:cstheme="minorEastAsia"/>
          <w:b/>
          <w:color w:val="000000"/>
          <w:szCs w:val="21"/>
        </w:rPr>
        <w:t>二、供应商的资格证明文件</w:t>
      </w:r>
      <w:bookmarkEnd w:id="328"/>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7473"/>
        <w:gridCol w:w="804"/>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19"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序号</w:t>
            </w:r>
          </w:p>
        </w:tc>
        <w:tc>
          <w:tcPr>
            <w:tcW w:w="7473"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资格证明文件</w:t>
            </w:r>
          </w:p>
        </w:tc>
        <w:tc>
          <w:tcPr>
            <w:tcW w:w="804"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所在</w:t>
            </w:r>
          </w:p>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页码</w:t>
            </w: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519" w:type="dxa"/>
            <w:vMerge w:val="restart"/>
            <w:tcBorders>
              <w:top w:val="single" w:color="auto" w:sz="4" w:space="0"/>
              <w:left w:val="single" w:color="auto" w:sz="4" w:space="0"/>
              <w:right w:val="single" w:color="auto" w:sz="4" w:space="0"/>
            </w:tcBorders>
            <w:noWrap/>
            <w:vAlign w:val="center"/>
          </w:tcPr>
          <w:p>
            <w:pPr>
              <w:spacing w:line="38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rPr>
              <w:t>1</w:t>
            </w:r>
          </w:p>
        </w:tc>
        <w:tc>
          <w:tcPr>
            <w:tcW w:w="7473"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满足《中华人民共和国政府采购法》第二十二条规定</w:t>
            </w:r>
          </w:p>
        </w:tc>
        <w:tc>
          <w:tcPr>
            <w:tcW w:w="80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519" w:type="dxa"/>
            <w:vMerge w:val="continue"/>
            <w:tcBorders>
              <w:left w:val="single" w:color="auto" w:sz="4" w:space="0"/>
              <w:right w:val="single" w:color="auto" w:sz="4" w:space="0"/>
            </w:tcBorders>
            <w:noWrap/>
            <w:vAlign w:val="center"/>
          </w:tcPr>
          <w:p>
            <w:pPr>
              <w:spacing w:line="380" w:lineRule="exact"/>
              <w:jc w:val="center"/>
              <w:rPr>
                <w:rFonts w:asciiTheme="minorEastAsia" w:hAnsiTheme="minorEastAsia" w:eastAsiaTheme="minorEastAsia" w:cstheme="minorEastAsia"/>
                <w:color w:val="000000"/>
                <w:szCs w:val="21"/>
              </w:rPr>
            </w:pPr>
          </w:p>
        </w:tc>
        <w:tc>
          <w:tcPr>
            <w:tcW w:w="747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（1.1）具有独立承担民事责任的能力</w:t>
            </w:r>
          </w:p>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（提供法人或者其他组织的营业执照，提供复印件加盖公章）</w:t>
            </w:r>
          </w:p>
        </w:tc>
        <w:tc>
          <w:tcPr>
            <w:tcW w:w="80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19" w:type="dxa"/>
            <w:vMerge w:val="continue"/>
            <w:tcBorders>
              <w:left w:val="single" w:color="auto" w:sz="4" w:space="0"/>
              <w:right w:val="single" w:color="auto" w:sz="4" w:space="0"/>
            </w:tcBorders>
            <w:noWrap/>
            <w:vAlign w:val="center"/>
          </w:tcPr>
          <w:p>
            <w:pPr>
              <w:spacing w:line="380" w:lineRule="exact"/>
              <w:jc w:val="center"/>
              <w:rPr>
                <w:rFonts w:asciiTheme="minorEastAsia" w:hAnsiTheme="minorEastAsia" w:eastAsiaTheme="minorEastAsia" w:cstheme="minorEastAsia"/>
                <w:color w:val="000000"/>
                <w:szCs w:val="21"/>
              </w:rPr>
            </w:pPr>
          </w:p>
        </w:tc>
        <w:tc>
          <w:tcPr>
            <w:tcW w:w="747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20" w:firstLineChars="20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（1.2）</w:t>
            </w:r>
            <w:r>
              <w:rPr>
                <w:rFonts w:hint="eastAsia" w:asciiTheme="minorEastAsia" w:hAnsiTheme="minorEastAsia" w:eastAsiaTheme="minorEastAsia" w:cstheme="minorEastAsia"/>
                <w:b/>
                <w:color w:val="000000"/>
                <w:szCs w:val="21"/>
              </w:rPr>
              <w:t>具有良好的商业信誉和健全的财务会计制度</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提供财务状况报告证明材料（例：审计报告、银行对账单、银行资信证明等）</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说明：</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1.如是审计报告，须为本单位上年度（如投标截止时间为1季度，可以提供前一年度）经会计师事务所出具的审计报告（须有会计师事务所的盖章）；</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2.如是银行对账单，须为近3个月来任意1个月的银行对账单（须银行盖章）；</w:t>
            </w:r>
          </w:p>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3.银行资信证明等相关证明如有有效期的，须保证其证明在有效期内。</w:t>
            </w:r>
          </w:p>
        </w:tc>
        <w:tc>
          <w:tcPr>
            <w:tcW w:w="80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19" w:type="dxa"/>
            <w:vMerge w:val="continue"/>
            <w:tcBorders>
              <w:left w:val="single" w:color="auto" w:sz="4" w:space="0"/>
              <w:right w:val="single" w:color="auto" w:sz="4" w:space="0"/>
            </w:tcBorders>
            <w:noWrap/>
            <w:vAlign w:val="center"/>
          </w:tcPr>
          <w:p>
            <w:pPr>
              <w:spacing w:line="380" w:lineRule="exact"/>
              <w:jc w:val="center"/>
              <w:rPr>
                <w:rFonts w:asciiTheme="minorEastAsia" w:hAnsiTheme="minorEastAsia" w:eastAsiaTheme="minorEastAsia" w:cstheme="minorEastAsia"/>
                <w:color w:val="000000"/>
                <w:szCs w:val="21"/>
              </w:rPr>
            </w:pPr>
          </w:p>
        </w:tc>
        <w:tc>
          <w:tcPr>
            <w:tcW w:w="747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（1.3）具有履行合同所必需的设备和专业技术能力（投标人根据履行采购项目合同需要，提供履行合同所必需的设备和专业技术能力的证明材料或者加盖投标供应商公章的承诺函）；</w:t>
            </w:r>
          </w:p>
        </w:tc>
        <w:tc>
          <w:tcPr>
            <w:tcW w:w="80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19" w:type="dxa"/>
            <w:vMerge w:val="continue"/>
            <w:tcBorders>
              <w:left w:val="single" w:color="auto" w:sz="4" w:space="0"/>
              <w:right w:val="single" w:color="auto" w:sz="4" w:space="0"/>
            </w:tcBorders>
            <w:noWrap/>
            <w:vAlign w:val="center"/>
          </w:tcPr>
          <w:p>
            <w:pPr>
              <w:spacing w:line="380" w:lineRule="exact"/>
              <w:jc w:val="center"/>
              <w:rPr>
                <w:rFonts w:asciiTheme="minorEastAsia" w:hAnsiTheme="minorEastAsia" w:eastAsiaTheme="minorEastAsia" w:cstheme="minorEastAsia"/>
                <w:color w:val="000000"/>
                <w:szCs w:val="21"/>
              </w:rPr>
            </w:pPr>
          </w:p>
        </w:tc>
        <w:tc>
          <w:tcPr>
            <w:tcW w:w="747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有依法缴纳税收和社会保障资金的良好记录【提供参加本次政府采购活动投标截止时间前三个月以来任意一个月缴纳增值税，或营业税，或企业所得税的凭据；并提供缴纳社会保险的凭据（专用收据或社会保险缴纳清单）】</w:t>
            </w:r>
          </w:p>
        </w:tc>
        <w:tc>
          <w:tcPr>
            <w:tcW w:w="80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19" w:type="dxa"/>
            <w:vMerge w:val="continue"/>
            <w:tcBorders>
              <w:left w:val="single" w:color="auto" w:sz="4" w:space="0"/>
              <w:right w:val="single" w:color="auto" w:sz="4" w:space="0"/>
            </w:tcBorders>
            <w:noWrap/>
            <w:vAlign w:val="center"/>
          </w:tcPr>
          <w:p>
            <w:pPr>
              <w:spacing w:line="380" w:lineRule="exact"/>
              <w:jc w:val="center"/>
              <w:rPr>
                <w:rFonts w:asciiTheme="minorEastAsia" w:hAnsiTheme="minorEastAsia" w:eastAsiaTheme="minorEastAsia" w:cstheme="minorEastAsia"/>
                <w:color w:val="000000"/>
                <w:szCs w:val="21"/>
              </w:rPr>
            </w:pPr>
          </w:p>
        </w:tc>
        <w:tc>
          <w:tcPr>
            <w:tcW w:w="747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（1.5）参加政府采购活动前三年内，在经营活动中没有重大违法记录（提供承诺书）。</w:t>
            </w:r>
          </w:p>
        </w:tc>
        <w:tc>
          <w:tcPr>
            <w:tcW w:w="80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19" w:type="dxa"/>
            <w:vMerge w:val="continue"/>
            <w:tcBorders>
              <w:left w:val="single" w:color="auto" w:sz="4" w:space="0"/>
              <w:bottom w:val="single" w:color="auto" w:sz="4" w:space="0"/>
              <w:right w:val="single" w:color="auto" w:sz="4" w:space="0"/>
            </w:tcBorders>
            <w:noWrap/>
            <w:vAlign w:val="center"/>
          </w:tcPr>
          <w:p>
            <w:pPr>
              <w:spacing w:line="380" w:lineRule="exact"/>
              <w:jc w:val="center"/>
              <w:rPr>
                <w:rFonts w:asciiTheme="minorEastAsia" w:hAnsiTheme="minorEastAsia" w:eastAsiaTheme="minorEastAsia" w:cstheme="minorEastAsia"/>
                <w:color w:val="000000"/>
                <w:szCs w:val="21"/>
              </w:rPr>
            </w:pPr>
          </w:p>
        </w:tc>
        <w:tc>
          <w:tcPr>
            <w:tcW w:w="747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2" w:firstLineChars="20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（1.6）法律、行政法规规定的其他条件</w:t>
            </w:r>
          </w:p>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提供具备法律、行政法规规定的其他条件的证明材料（按照采购公告的要求提供）</w:t>
            </w:r>
          </w:p>
        </w:tc>
        <w:tc>
          <w:tcPr>
            <w:tcW w:w="80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19"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2</w:t>
            </w:r>
          </w:p>
        </w:tc>
        <w:tc>
          <w:tcPr>
            <w:tcW w:w="7473"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落实政府采购政策需满足的资格要求（按照采购公告的要求提供）</w:t>
            </w:r>
          </w:p>
        </w:tc>
        <w:tc>
          <w:tcPr>
            <w:tcW w:w="80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19"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3</w:t>
            </w:r>
          </w:p>
        </w:tc>
        <w:tc>
          <w:tcPr>
            <w:tcW w:w="7473"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本项目的特定资格要求（按照采购公告的要求提供）</w:t>
            </w:r>
          </w:p>
        </w:tc>
        <w:tc>
          <w:tcPr>
            <w:tcW w:w="80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19"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Theme="minorEastAsia" w:hAnsiTheme="minorEastAsia" w:eastAsiaTheme="minorEastAsia" w:cstheme="minorEastAsia"/>
                <w:color w:val="000000"/>
                <w:szCs w:val="21"/>
              </w:rPr>
            </w:pPr>
          </w:p>
        </w:tc>
        <w:tc>
          <w:tcPr>
            <w:tcW w:w="7473"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Theme="minorEastAsia" w:hAnsiTheme="minorEastAsia" w:eastAsiaTheme="minorEastAsia" w:cstheme="minorEastAsia"/>
                <w:i/>
                <w:color w:val="000000"/>
                <w:szCs w:val="21"/>
                <w:u w:val="single"/>
              </w:rPr>
            </w:pPr>
            <w:r>
              <w:rPr>
                <w:rFonts w:hint="eastAsia" w:asciiTheme="minorEastAsia" w:hAnsiTheme="minorEastAsia" w:eastAsiaTheme="minorEastAsia" w:cstheme="minorEastAsia"/>
                <w:i/>
                <w:color w:val="000000"/>
                <w:szCs w:val="21"/>
                <w:u w:val="single"/>
              </w:rPr>
              <w:t>行数不够，可按本表格式自行添加</w:t>
            </w:r>
          </w:p>
        </w:tc>
        <w:tc>
          <w:tcPr>
            <w:tcW w:w="80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0"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特别提醒：</w:t>
            </w:r>
          </w:p>
          <w:p>
            <w:pPr>
              <w:spacing w:line="360" w:lineRule="auto"/>
              <w:ind w:firstLine="422"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u w:val="single"/>
              </w:rPr>
              <w:t>1.如无特殊说明，提供复印件即可</w:t>
            </w:r>
            <w:r>
              <w:rPr>
                <w:rFonts w:hint="eastAsia" w:asciiTheme="minorEastAsia" w:hAnsiTheme="minorEastAsia" w:eastAsiaTheme="minorEastAsia" w:cstheme="minorEastAsia"/>
                <w:b/>
                <w:color w:val="000000"/>
                <w:szCs w:val="21"/>
              </w:rPr>
              <w:t>，</w:t>
            </w:r>
            <w:r>
              <w:rPr>
                <w:rFonts w:hint="eastAsia" w:asciiTheme="minorEastAsia" w:hAnsiTheme="minorEastAsia" w:eastAsiaTheme="minorEastAsia" w:cstheme="minorEastAsia"/>
                <w:color w:val="000000"/>
                <w:szCs w:val="21"/>
              </w:rPr>
              <w:t>复印件上请加盖本单位章。</w:t>
            </w:r>
          </w:p>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2.如供应商资格证明文件提供为原件的，视为一次性证明材料（如：社保证明原件），恕不退回。</w:t>
            </w:r>
          </w:p>
        </w:tc>
      </w:tr>
    </w:tbl>
    <w:p>
      <w:pPr>
        <w:spacing w:line="276" w:lineRule="auto"/>
        <w:jc w:val="left"/>
        <w:rPr>
          <w:b/>
          <w:color w:val="000000"/>
        </w:rPr>
      </w:pPr>
      <w:r>
        <w:rPr>
          <w:rFonts w:hint="eastAsia"/>
          <w:b/>
          <w:color w:val="000000"/>
        </w:rPr>
        <w:t>一、满足《中华人民共和国政府采购法》第二十二条规定</w:t>
      </w:r>
    </w:p>
    <w:p>
      <w:pPr>
        <w:spacing w:line="276" w:lineRule="auto"/>
        <w:ind w:firstLine="422" w:firstLineChars="200"/>
        <w:rPr>
          <w:rFonts w:ascii="宋体" w:hAnsi="宋体"/>
          <w:color w:val="000000"/>
          <w:szCs w:val="21"/>
        </w:rPr>
      </w:pPr>
      <w:r>
        <w:rPr>
          <w:rFonts w:hint="eastAsia" w:ascii="宋体" w:hAnsi="宋体"/>
          <w:b/>
          <w:color w:val="000000"/>
          <w:szCs w:val="21"/>
        </w:rPr>
        <w:t xml:space="preserve">1.1 </w:t>
      </w:r>
      <w:r>
        <w:rPr>
          <w:rFonts w:hint="eastAsia" w:ascii="宋体" w:hAnsi="宋体"/>
          <w:color w:val="000000"/>
          <w:szCs w:val="21"/>
        </w:rPr>
        <w:t>具有独立承担民事责任的能力；</w:t>
      </w:r>
    </w:p>
    <w:p>
      <w:pPr>
        <w:pStyle w:val="9"/>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2</w:t>
      </w:r>
      <w:r>
        <w:rPr>
          <w:rFonts w:hint="eastAsia" w:ascii="宋体" w:hAnsi="宋体"/>
          <w:color w:val="000000"/>
          <w:szCs w:val="21"/>
        </w:rPr>
        <w:t>具有良好的商业信誉和健全的财务会计制度；</w:t>
      </w:r>
    </w:p>
    <w:p>
      <w:pPr>
        <w:pStyle w:val="9"/>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3</w:t>
      </w:r>
      <w:r>
        <w:rPr>
          <w:rFonts w:hint="eastAsia" w:ascii="宋体" w:hAnsi="宋体"/>
          <w:color w:val="000000"/>
          <w:szCs w:val="21"/>
        </w:rPr>
        <w:t>有履行合同所必需的设备和专业技术能力；</w:t>
      </w:r>
    </w:p>
    <w:p>
      <w:pPr>
        <w:pStyle w:val="9"/>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4</w:t>
      </w:r>
      <w:r>
        <w:rPr>
          <w:rFonts w:hint="eastAsia" w:ascii="宋体" w:hAnsi="宋体"/>
          <w:color w:val="000000"/>
          <w:szCs w:val="21"/>
        </w:rPr>
        <w:t>有依法缴纳税收和社会保障资金的良好记录；</w:t>
      </w:r>
    </w:p>
    <w:p>
      <w:pPr>
        <w:pStyle w:val="9"/>
      </w:pPr>
    </w:p>
    <w:p>
      <w:pPr>
        <w:spacing w:line="276" w:lineRule="auto"/>
        <w:ind w:firstLine="422" w:firstLineChars="200"/>
        <w:rPr>
          <w:rFonts w:ascii="宋体" w:hAnsi="宋体"/>
          <w:b/>
          <w:color w:val="000000"/>
        </w:rPr>
      </w:pPr>
      <w:r>
        <w:rPr>
          <w:rFonts w:hint="eastAsia" w:ascii="宋体" w:hAnsi="宋体"/>
          <w:b/>
          <w:color w:val="000000"/>
          <w:szCs w:val="21"/>
        </w:rPr>
        <w:t>1.</w:t>
      </w:r>
      <w:r>
        <w:rPr>
          <w:rFonts w:ascii="宋体" w:hAnsi="宋体"/>
          <w:b/>
          <w:color w:val="000000"/>
          <w:szCs w:val="21"/>
        </w:rPr>
        <w:t>5</w:t>
      </w:r>
      <w:r>
        <w:rPr>
          <w:rFonts w:hint="eastAsia" w:ascii="宋体" w:hAnsi="宋体"/>
          <w:color w:val="000000"/>
          <w:szCs w:val="21"/>
        </w:rPr>
        <w:t>参加政府采购活动前三年内，在经营活动中没有重大违法记录（提供承诺书）。</w:t>
      </w:r>
    </w:p>
    <w:p>
      <w:pPr>
        <w:ind w:firstLine="422" w:firstLineChars="200"/>
        <w:rPr>
          <w:rFonts w:ascii="宋体" w:hAnsi="宋体"/>
          <w:b/>
          <w:color w:val="000000"/>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noWrap/>
          </w:tcPr>
          <w:p>
            <w:pPr>
              <w:spacing w:line="360" w:lineRule="auto"/>
              <w:jc w:val="center"/>
              <w:rPr>
                <w:b/>
                <w:color w:val="000000"/>
              </w:rPr>
            </w:pPr>
            <w:r>
              <w:rPr>
                <w:rFonts w:hint="eastAsia"/>
                <w:b/>
                <w:color w:val="000000"/>
              </w:rPr>
              <w:t>1.3、1.5资质要求的响应声明（格式）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jc w:val="left"/>
              <w:rPr>
                <w:rFonts w:ascii="宋体" w:hAnsi="宋体"/>
                <w:bCs/>
                <w:color w:val="000000"/>
                <w:szCs w:val="21"/>
              </w:rPr>
            </w:pPr>
            <w:r>
              <w:rPr>
                <w:rFonts w:hint="eastAsia" w:ascii="宋体" w:hAnsi="宋体"/>
                <w:bCs/>
                <w:color w:val="000000"/>
                <w:szCs w:val="21"/>
              </w:rPr>
              <w:t>我方郑重声明：</w:t>
            </w:r>
          </w:p>
          <w:p>
            <w:pPr>
              <w:spacing w:line="360" w:lineRule="auto"/>
              <w:ind w:firstLine="492"/>
              <w:jc w:val="left"/>
              <w:rPr>
                <w:rFonts w:ascii="宋体" w:hAnsi="宋体"/>
                <w:bCs/>
                <w:color w:val="000000"/>
                <w:szCs w:val="21"/>
              </w:rPr>
            </w:pPr>
            <w:r>
              <w:rPr>
                <w:rFonts w:hint="eastAsia" w:ascii="宋体" w:hAnsi="宋体"/>
                <w:bCs/>
                <w:color w:val="000000"/>
                <w:szCs w:val="21"/>
              </w:rPr>
              <w:t>1、我方具备履行本项采购合同所必需的设备和专业技术能力，为履行本项采购合同我公司具备如下主要设备和主要专业技术能力：</w:t>
            </w:r>
          </w:p>
          <w:p>
            <w:pPr>
              <w:spacing w:line="360" w:lineRule="auto"/>
              <w:ind w:firstLine="492"/>
              <w:jc w:val="left"/>
              <w:rPr>
                <w:rFonts w:ascii="宋体" w:hAnsi="宋体"/>
                <w:bCs/>
                <w:color w:val="000000"/>
                <w:szCs w:val="21"/>
              </w:rPr>
            </w:pPr>
            <w:r>
              <w:rPr>
                <w:rFonts w:hint="eastAsia" w:ascii="宋体" w:hAnsi="宋体"/>
                <w:bCs/>
                <w:color w:val="000000"/>
                <w:szCs w:val="21"/>
              </w:rPr>
              <w:t>主要设备有：</w:t>
            </w:r>
            <w:r>
              <w:rPr>
                <w:rFonts w:hint="eastAsia" w:ascii="宋体" w:hAnsi="宋体"/>
                <w:bCs/>
                <w:color w:val="000000"/>
                <w:szCs w:val="21"/>
                <w:u w:val="single"/>
              </w:rPr>
              <w:t xml:space="preserve">                  （一个即可）</w:t>
            </w:r>
            <w:r>
              <w:rPr>
                <w:rFonts w:hint="eastAsia" w:ascii="宋体" w:hAnsi="宋体"/>
                <w:bCs/>
                <w:color w:val="000000"/>
                <w:szCs w:val="21"/>
              </w:rPr>
              <w:t>。</w:t>
            </w:r>
          </w:p>
          <w:p>
            <w:pPr>
              <w:spacing w:line="360" w:lineRule="auto"/>
              <w:ind w:firstLine="492"/>
              <w:jc w:val="left"/>
              <w:rPr>
                <w:rFonts w:ascii="宋体" w:hAnsi="宋体"/>
                <w:bCs/>
                <w:color w:val="000000"/>
                <w:szCs w:val="21"/>
              </w:rPr>
            </w:pPr>
            <w:r>
              <w:rPr>
                <w:rFonts w:hint="eastAsia" w:ascii="宋体" w:hAnsi="宋体"/>
                <w:bCs/>
                <w:color w:val="000000"/>
                <w:szCs w:val="21"/>
              </w:rPr>
              <w:t>主要专业技术能力有：</w:t>
            </w:r>
            <w:r>
              <w:rPr>
                <w:rFonts w:hint="eastAsia" w:ascii="宋体" w:hAnsi="宋体"/>
                <w:bCs/>
                <w:color w:val="000000"/>
                <w:szCs w:val="21"/>
                <w:u w:val="single"/>
              </w:rPr>
              <w:t xml:space="preserve">          （一项即可）</w:t>
            </w:r>
            <w:r>
              <w:rPr>
                <w:rFonts w:hint="eastAsia" w:ascii="宋体" w:hAnsi="宋体"/>
                <w:bCs/>
                <w:color w:val="000000"/>
                <w:szCs w:val="21"/>
              </w:rPr>
              <w:t>。</w:t>
            </w:r>
          </w:p>
          <w:p>
            <w:pPr>
              <w:spacing w:line="360" w:lineRule="auto"/>
              <w:ind w:firstLine="492"/>
              <w:jc w:val="left"/>
              <w:rPr>
                <w:rFonts w:ascii="宋体" w:hAnsi="宋体"/>
                <w:bCs/>
                <w:color w:val="000000"/>
                <w:szCs w:val="21"/>
              </w:rPr>
            </w:pPr>
            <w:r>
              <w:rPr>
                <w:rFonts w:hint="eastAsia" w:ascii="宋体" w:hAnsi="宋体"/>
                <w:bCs/>
                <w:color w:val="000000"/>
                <w:szCs w:val="21"/>
              </w:rPr>
              <w:t>2、我方参加本次政府采购活动前 3 年内，我方在经营活动中没有因违法经营受到刑事处罚或者责令停产停业、吊销许可证或者执照、较大数额罚款等行政处罚。</w:t>
            </w:r>
          </w:p>
          <w:p>
            <w:pPr>
              <w:spacing w:line="360" w:lineRule="auto"/>
              <w:ind w:firstLine="492"/>
              <w:jc w:val="left"/>
              <w:rPr>
                <w:rFonts w:ascii="宋体" w:hAnsi="宋体"/>
                <w:bCs/>
                <w:color w:val="000000"/>
                <w:szCs w:val="21"/>
              </w:rPr>
            </w:pPr>
            <w:r>
              <w:rPr>
                <w:rFonts w:hint="eastAsia" w:ascii="宋体" w:hAnsi="宋体" w:cs="宋体"/>
                <w:color w:val="000000"/>
                <w:kern w:val="0"/>
                <w:szCs w:val="21"/>
              </w:rPr>
              <w:t>我方就此承诺真实性负责，如有虚假，贵方可视为我方提供虚假材料处理。</w:t>
            </w:r>
          </w:p>
          <w:p>
            <w:pPr>
              <w:spacing w:line="360" w:lineRule="auto"/>
              <w:jc w:val="left"/>
              <w:rPr>
                <w:rFonts w:ascii="宋体" w:hAnsi="宋体"/>
                <w:bCs/>
                <w:color w:val="000000"/>
                <w:szCs w:val="21"/>
                <w:u w:val="single"/>
              </w:rPr>
            </w:pPr>
            <w:r>
              <w:rPr>
                <w:rFonts w:hint="eastAsia" w:ascii="宋体" w:hAnsi="宋体"/>
                <w:bCs/>
                <w:color w:val="000000"/>
                <w:szCs w:val="21"/>
              </w:rPr>
              <w:t xml:space="preserve">     供应商名称（公章）：</w:t>
            </w:r>
          </w:p>
          <w:p>
            <w:pPr>
              <w:spacing w:line="360" w:lineRule="auto"/>
              <w:jc w:val="left"/>
              <w:rPr>
                <w:rFonts w:ascii="宋体" w:hAnsi="宋体"/>
                <w:bCs/>
                <w:color w:val="000000"/>
                <w:szCs w:val="21"/>
                <w:u w:val="single"/>
              </w:rPr>
            </w:pPr>
            <w:r>
              <w:rPr>
                <w:rFonts w:hint="eastAsia" w:ascii="宋体" w:hAnsi="宋体" w:cs="宋体"/>
                <w:color w:val="000000"/>
              </w:rPr>
              <w:t>法定代表人或其委托代理人</w:t>
            </w:r>
            <w:r>
              <w:rPr>
                <w:rFonts w:hint="eastAsia" w:ascii="宋体" w:hAnsi="宋体"/>
                <w:bCs/>
                <w:color w:val="000000"/>
                <w:szCs w:val="21"/>
              </w:rPr>
              <w:t>签字：</w:t>
            </w:r>
          </w:p>
          <w:p>
            <w:pPr>
              <w:spacing w:line="360" w:lineRule="auto"/>
              <w:ind w:firstLine="4578" w:firstLineChars="2180"/>
              <w:jc w:val="left"/>
              <w:rPr>
                <w:rFonts w:ascii="宋体" w:hAnsi="宋体"/>
                <w:bCs/>
                <w:color w:val="000000"/>
                <w:szCs w:val="21"/>
                <w:u w:val="single"/>
              </w:rPr>
            </w:pPr>
            <w:r>
              <w:rPr>
                <w:rFonts w:hint="eastAsia" w:ascii="宋体" w:hAnsi="宋体"/>
                <w:bCs/>
                <w:color w:val="000000"/>
                <w:szCs w:val="21"/>
                <w:u w:val="singl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rPr>
                <w:color w:val="000000"/>
              </w:rPr>
            </w:pPr>
            <w:r>
              <w:rPr>
                <w:rFonts w:hint="eastAsia"/>
                <w:color w:val="000000"/>
              </w:rPr>
              <w:t>说明：1.应按本表格式制作，</w:t>
            </w:r>
            <w:r>
              <w:rPr>
                <w:rFonts w:hint="eastAsia"/>
                <w:b/>
                <w:color w:val="000000"/>
                <w:u w:val="single"/>
              </w:rPr>
              <w:t>并在正本中提供原件</w:t>
            </w:r>
            <w:r>
              <w:rPr>
                <w:rFonts w:hint="eastAsia" w:ascii="宋体" w:hAnsi="宋体"/>
                <w:b/>
                <w:color w:val="000000"/>
                <w:u w:val="single"/>
              </w:rPr>
              <w:t>（★未在</w:t>
            </w:r>
            <w:r>
              <w:rPr>
                <w:rFonts w:hint="eastAsia"/>
                <w:b/>
                <w:color w:val="000000"/>
                <w:u w:val="single"/>
              </w:rPr>
              <w:t>正本中提供原件按无效处理</w:t>
            </w:r>
            <w:r>
              <w:rPr>
                <w:rFonts w:hint="eastAsia" w:ascii="宋体" w:hAnsi="宋体"/>
                <w:b/>
                <w:color w:val="000000"/>
                <w:u w:val="single"/>
              </w:rPr>
              <w:t>）</w:t>
            </w:r>
            <w:r>
              <w:rPr>
                <w:rFonts w:hint="eastAsia"/>
                <w:color w:val="000000"/>
              </w:rPr>
              <w:t>。</w:t>
            </w:r>
          </w:p>
          <w:p>
            <w:pPr>
              <w:spacing w:line="360" w:lineRule="auto"/>
              <w:ind w:firstLine="630" w:firstLineChars="300"/>
              <w:rPr>
                <w:color w:val="000000"/>
              </w:rPr>
            </w:pPr>
            <w:r>
              <w:rPr>
                <w:rFonts w:hint="eastAsia"/>
                <w:color w:val="000000"/>
              </w:rPr>
              <w:t>2. 如果是联合体投标，联合体各方均需提供上述证明。</w:t>
            </w:r>
          </w:p>
        </w:tc>
      </w:tr>
    </w:tbl>
    <w:p>
      <w:pPr>
        <w:spacing w:line="276" w:lineRule="auto"/>
        <w:ind w:firstLine="632" w:firstLineChars="301"/>
        <w:jc w:val="left"/>
        <w:rPr>
          <w:rFonts w:ascii="宋体" w:hAnsi="宋体"/>
          <w:color w:val="000000"/>
        </w:rPr>
      </w:pPr>
      <w:r>
        <w:rPr>
          <w:rFonts w:hint="eastAsia" w:ascii="宋体" w:hAnsi="宋体"/>
          <w:color w:val="000000"/>
          <w:szCs w:val="21"/>
        </w:rPr>
        <w:t>1.6</w:t>
      </w:r>
      <w:r>
        <w:rPr>
          <w:color w:val="000000"/>
          <w:szCs w:val="21"/>
        </w:rPr>
        <w:t>具备法律、行政法规规定的其他条件的证明材料</w:t>
      </w:r>
      <w:r>
        <w:rPr>
          <w:rFonts w:hint="eastAsia" w:ascii="宋体" w:hAnsi="宋体"/>
          <w:color w:val="000000"/>
        </w:rPr>
        <w:t>（按照采购公告的要求提供）</w:t>
      </w:r>
    </w:p>
    <w:p/>
    <w:p/>
    <w:p>
      <w:pPr>
        <w:spacing w:line="400" w:lineRule="exact"/>
        <w:ind w:firstLine="630" w:firstLineChars="300"/>
        <w:rPr>
          <w:rFonts w:ascii="宋体" w:hAnsi="宋体" w:cs="宋体"/>
          <w:szCs w:val="21"/>
        </w:rPr>
      </w:pPr>
      <w:r>
        <w:rPr>
          <w:rFonts w:hint="eastAsia" w:ascii="宋体" w:hAnsi="宋体" w:cs="宋体"/>
          <w:szCs w:val="21"/>
        </w:rPr>
        <w:t>2.落实政府采购政策需满足的资格要求：</w:t>
      </w:r>
    </w:p>
    <w:p>
      <w:pPr>
        <w:pStyle w:val="9"/>
        <w:rPr>
          <w:rFonts w:asciiTheme="minorEastAsia" w:hAnsiTheme="minorEastAsia" w:eastAsiaTheme="minorEastAsia" w:cstheme="minorEastAsia"/>
          <w:sz w:val="21"/>
          <w:szCs w:val="21"/>
        </w:rPr>
      </w:pPr>
    </w:p>
    <w:p>
      <w:pPr>
        <w:pStyle w:val="10"/>
        <w:outlineLvl w:val="9"/>
        <w:rPr>
          <w:rFonts w:asciiTheme="minorEastAsia" w:hAnsiTheme="minorEastAsia" w:eastAsiaTheme="minorEastAsia" w:cstheme="minorEastAsia"/>
          <w:sz w:val="21"/>
          <w:szCs w:val="21"/>
        </w:rPr>
      </w:pPr>
    </w:p>
    <w:p>
      <w:pPr>
        <w:spacing w:line="400" w:lineRule="exact"/>
        <w:ind w:firstLine="630" w:firstLineChars="300"/>
        <w:jc w:val="left"/>
        <w:rPr>
          <w:rFonts w:eastAsia="楷体_GB2312"/>
        </w:rPr>
      </w:pPr>
      <w:r>
        <w:rPr>
          <w:rFonts w:hint="eastAsia" w:asciiTheme="minorEastAsia" w:hAnsiTheme="minorEastAsia" w:eastAsiaTheme="minorEastAsia" w:cstheme="minorEastAsia"/>
          <w:szCs w:val="21"/>
        </w:rPr>
        <w:t>3.本项目的特定资格要求</w:t>
      </w:r>
      <w:r>
        <w:rPr>
          <w:rFonts w:hint="eastAsia" w:asciiTheme="minorEastAsia" w:hAnsiTheme="minorEastAsia" w:eastAsiaTheme="minorEastAsia" w:cstheme="minorEastAsia"/>
          <w:b/>
          <w:bCs/>
          <w:szCs w:val="21"/>
        </w:rPr>
        <w:t>：以公告为准</w:t>
      </w:r>
    </w:p>
    <w:p>
      <w:pPr>
        <w:widowControl/>
        <w:shd w:val="clear" w:color="auto" w:fill="FFFFFF"/>
        <w:snapToGrid w:val="0"/>
        <w:spacing w:before="312" w:after="156" w:line="360" w:lineRule="auto"/>
        <w:rPr>
          <w:rFonts w:ascii="宋体" w:hAnsi="宋体" w:cs="宋体"/>
          <w:b/>
          <w:kern w:val="0"/>
          <w:szCs w:val="21"/>
        </w:rPr>
      </w:pPr>
      <w:r>
        <w:rPr>
          <w:rFonts w:hint="eastAsia" w:ascii="宋体" w:hAnsi="宋体" w:cs="宋体"/>
          <w:b/>
          <w:kern w:val="0"/>
          <w:szCs w:val="21"/>
        </w:rPr>
        <w:t xml:space="preserve"> </w:t>
      </w:r>
    </w:p>
    <w:p>
      <w:pPr>
        <w:widowControl/>
        <w:shd w:val="clear" w:color="auto" w:fill="FFFFFF"/>
        <w:snapToGrid w:val="0"/>
        <w:spacing w:before="312" w:after="156" w:line="360" w:lineRule="auto"/>
        <w:jc w:val="center"/>
        <w:outlineLvl w:val="2"/>
        <w:rPr>
          <w:rFonts w:ascii="宋体" w:hAnsi="宋体" w:cs="宋体"/>
          <w:b/>
          <w:kern w:val="0"/>
          <w:szCs w:val="21"/>
        </w:rPr>
      </w:pPr>
      <w:bookmarkStart w:id="329" w:name="_Toc5225"/>
      <w:r>
        <w:rPr>
          <w:rFonts w:hint="eastAsia" w:ascii="宋体" w:hAnsi="宋体" w:cs="宋体"/>
          <w:b/>
          <w:kern w:val="0"/>
          <w:szCs w:val="21"/>
        </w:rPr>
        <w:t>供应商承诺书（格式）</w:t>
      </w:r>
      <w:bookmarkEnd w:id="329"/>
    </w:p>
    <w:p>
      <w:pPr>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i/>
          <w:szCs w:val="21"/>
          <w:u w:val="single"/>
        </w:rPr>
        <w:t>(</w:t>
      </w:r>
      <w:r>
        <w:rPr>
          <w:rFonts w:hint="eastAsia" w:ascii="宋体" w:hAnsi="宋体" w:cs="仿宋"/>
          <w:i/>
          <w:kern w:val="0"/>
          <w:szCs w:val="21"/>
          <w:u w:val="single"/>
        </w:rPr>
        <w:t>采购人或携手阳光公司的名称</w:t>
      </w:r>
      <w:r>
        <w:rPr>
          <w:rFonts w:hint="eastAsia" w:ascii="宋体" w:hAnsi="宋体" w:cs="宋体"/>
          <w:i/>
          <w:szCs w:val="21"/>
          <w:u w:val="single"/>
        </w:rPr>
        <w:t>)</w:t>
      </w:r>
    </w:p>
    <w:p>
      <w:pPr>
        <w:spacing w:line="360" w:lineRule="auto"/>
        <w:ind w:firstLine="420" w:firstLineChars="200"/>
        <w:jc w:val="left"/>
        <w:rPr>
          <w:rFonts w:ascii="宋体" w:hAnsi="宋体" w:cs="宋体"/>
          <w:szCs w:val="21"/>
        </w:rPr>
      </w:pPr>
      <w:r>
        <w:rPr>
          <w:rFonts w:hint="eastAsia" w:ascii="宋体" w:hAnsi="宋体" w:cs="宋体"/>
          <w:szCs w:val="21"/>
        </w:rPr>
        <w:t>我司就参加贵方</w:t>
      </w:r>
      <w:r>
        <w:rPr>
          <w:rFonts w:hint="eastAsia" w:ascii="宋体" w:hAnsi="宋体" w:cs="宋体"/>
          <w:i/>
          <w:szCs w:val="21"/>
          <w:u w:val="single"/>
        </w:rPr>
        <w:t>（项目名称）</w:t>
      </w:r>
      <w:r>
        <w:rPr>
          <w:rFonts w:hint="eastAsia" w:ascii="宋体" w:hAnsi="宋体" w:cs="宋体"/>
          <w:szCs w:val="21"/>
        </w:rPr>
        <w:t>项目投标</w:t>
      </w:r>
      <w:r>
        <w:rPr>
          <w:rFonts w:hint="eastAsia" w:ascii="宋体" w:hAnsi="宋体"/>
          <w:szCs w:val="21"/>
        </w:rPr>
        <w:t>作出以下承诺</w:t>
      </w:r>
      <w:r>
        <w:rPr>
          <w:rFonts w:hint="eastAsia" w:ascii="宋体" w:hAnsi="宋体" w:cs="宋体"/>
          <w:szCs w:val="21"/>
        </w:rPr>
        <w:t>：</w:t>
      </w:r>
    </w:p>
    <w:p>
      <w:pPr>
        <w:spacing w:line="360" w:lineRule="auto"/>
        <w:ind w:firstLine="420" w:firstLineChars="200"/>
        <w:jc w:val="left"/>
        <w:rPr>
          <w:rFonts w:ascii="宋体" w:hAnsi="宋体" w:cs="宋体"/>
          <w:szCs w:val="21"/>
          <w:u w:val="single"/>
        </w:rPr>
      </w:pPr>
      <w:r>
        <w:rPr>
          <w:rFonts w:hint="eastAsia" w:ascii="宋体" w:hAnsi="宋体" w:cs="宋体"/>
          <w:szCs w:val="21"/>
        </w:rPr>
        <w:t>我司</w:t>
      </w:r>
      <w:r>
        <w:rPr>
          <w:rFonts w:hint="eastAsia" w:ascii="宋体" w:hAnsi="宋体"/>
          <w:szCs w:val="21"/>
        </w:rPr>
        <w:t>拟派本项目的项目经理</w:t>
      </w:r>
      <w:r>
        <w:rPr>
          <w:rFonts w:hint="eastAsia" w:ascii="宋体" w:hAnsi="宋体" w:cs="宋体"/>
          <w:szCs w:val="21"/>
        </w:rPr>
        <w:t>（</w:t>
      </w:r>
      <w:r>
        <w:rPr>
          <w:rFonts w:hint="eastAsia" w:ascii="宋体" w:hAnsi="宋体"/>
          <w:i/>
          <w:szCs w:val="21"/>
          <w:u w:val="single"/>
        </w:rPr>
        <w:t>项目经理</w:t>
      </w:r>
      <w:r>
        <w:rPr>
          <w:rFonts w:hint="eastAsia" w:ascii="宋体" w:hAnsi="宋体" w:cs="宋体"/>
          <w:i/>
          <w:szCs w:val="21"/>
          <w:u w:val="single"/>
        </w:rPr>
        <w:t>姓名</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项目经理注册证号：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szCs w:val="21"/>
        </w:rPr>
        <w:t>是我司正式职工</w:t>
      </w:r>
      <w:r>
        <w:rPr>
          <w:rFonts w:hint="eastAsia" w:ascii="宋体" w:hAnsi="宋体" w:cs="宋体"/>
          <w:szCs w:val="21"/>
        </w:rPr>
        <w:t>（劳动关系），符合本项目采购公告中对</w:t>
      </w:r>
      <w:r>
        <w:rPr>
          <w:rFonts w:hint="eastAsia" w:ascii="宋体" w:hAnsi="宋体"/>
          <w:szCs w:val="21"/>
        </w:rPr>
        <w:t>项目经理的所有要求（</w:t>
      </w:r>
      <w:r>
        <w:rPr>
          <w:rFonts w:hint="eastAsia" w:ascii="宋体" w:hAnsi="宋体" w:cs="宋体"/>
          <w:szCs w:val="21"/>
        </w:rPr>
        <w:t>目前无在建工程、</w:t>
      </w:r>
      <w:r>
        <w:rPr>
          <w:rFonts w:hint="eastAsia" w:ascii="宋体" w:hAnsi="宋体"/>
          <w:szCs w:val="21"/>
        </w:rPr>
        <w:t>无行贿犯罪行为记录、未在两个或者两个以上单位受聘或者执业等）。</w:t>
      </w:r>
    </w:p>
    <w:p>
      <w:pPr>
        <w:spacing w:line="360" w:lineRule="auto"/>
        <w:ind w:firstLine="420" w:firstLineChars="200"/>
        <w:jc w:val="left"/>
        <w:rPr>
          <w:rFonts w:ascii="宋体" w:hAnsi="宋体" w:cs="宋体"/>
          <w:szCs w:val="21"/>
        </w:rPr>
      </w:pPr>
      <w:r>
        <w:rPr>
          <w:rFonts w:hint="eastAsia" w:ascii="宋体" w:hAnsi="宋体" w:cs="宋体"/>
          <w:szCs w:val="21"/>
        </w:rPr>
        <w:t>我司特此承诺。若有虚假一经查实，愿意承担一切责任，并愿意承担由此造成的一切损失。</w:t>
      </w:r>
    </w:p>
    <w:p>
      <w:pPr>
        <w:pStyle w:val="9"/>
        <w:rPr>
          <w:rFonts w:ascii="宋体" w:hAnsi="宋体" w:eastAsia="宋体"/>
          <w:sz w:val="21"/>
          <w:szCs w:val="21"/>
        </w:rPr>
      </w:pPr>
    </w:p>
    <w:p>
      <w:pPr>
        <w:pStyle w:val="10"/>
        <w:outlineLvl w:val="9"/>
        <w:rPr>
          <w:rFonts w:ascii="宋体" w:eastAsia="宋体"/>
          <w:sz w:val="21"/>
          <w:szCs w:val="21"/>
        </w:rPr>
      </w:pPr>
    </w:p>
    <w:p>
      <w:pPr>
        <w:spacing w:line="600" w:lineRule="exact"/>
        <w:ind w:firstLine="420" w:firstLineChars="200"/>
        <w:rPr>
          <w:rFonts w:ascii="宋体" w:hAnsi="宋体" w:cs="宋体"/>
          <w:color w:val="000000"/>
          <w:szCs w:val="21"/>
        </w:rPr>
      </w:pPr>
      <w:r>
        <w:rPr>
          <w:rFonts w:hint="eastAsia" w:ascii="宋体" w:hAnsi="宋体" w:cs="宋体"/>
          <w:color w:val="000000"/>
          <w:szCs w:val="21"/>
        </w:rPr>
        <w:t>供应商（盖单位章）：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法定代表人（签字或签章）：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日        期：</w:t>
      </w:r>
    </w:p>
    <w:p>
      <w:pPr>
        <w:pStyle w:val="17"/>
        <w:tabs>
          <w:tab w:val="left" w:pos="5580"/>
        </w:tabs>
        <w:spacing w:line="600" w:lineRule="exact"/>
        <w:rPr>
          <w:rFonts w:hAnsi="宋体" w:cs="宋体"/>
          <w:b/>
          <w:color w:val="000000"/>
          <w:sz w:val="28"/>
          <w:szCs w:val="28"/>
        </w:rPr>
      </w:pPr>
    </w:p>
    <w:p>
      <w:pPr>
        <w:pStyle w:val="17"/>
        <w:tabs>
          <w:tab w:val="left" w:pos="5580"/>
        </w:tabs>
        <w:spacing w:line="600" w:lineRule="exact"/>
        <w:rPr>
          <w:rFonts w:hAnsi="宋体" w:cs="宋体"/>
          <w:b/>
          <w:color w:val="000000"/>
          <w:sz w:val="28"/>
          <w:szCs w:val="28"/>
        </w:rPr>
      </w:pPr>
    </w:p>
    <w:p>
      <w:pPr>
        <w:pStyle w:val="17"/>
        <w:tabs>
          <w:tab w:val="left" w:pos="5580"/>
        </w:tabs>
        <w:spacing w:line="600" w:lineRule="exact"/>
        <w:rPr>
          <w:rFonts w:hAnsi="宋体" w:cs="宋体"/>
          <w:b/>
          <w:color w:val="000000"/>
          <w:sz w:val="28"/>
          <w:szCs w:val="28"/>
        </w:rPr>
      </w:pPr>
    </w:p>
    <w:p>
      <w:pPr>
        <w:pStyle w:val="17"/>
        <w:tabs>
          <w:tab w:val="left" w:pos="5580"/>
        </w:tabs>
        <w:spacing w:line="600" w:lineRule="exact"/>
        <w:rPr>
          <w:rFonts w:hAnsi="宋体" w:cs="宋体"/>
          <w:b/>
          <w:color w:val="000000"/>
          <w:sz w:val="28"/>
          <w:szCs w:val="28"/>
        </w:rPr>
      </w:pPr>
    </w:p>
    <w:p>
      <w:pPr>
        <w:pStyle w:val="17"/>
        <w:tabs>
          <w:tab w:val="left" w:pos="5580"/>
        </w:tabs>
        <w:spacing w:line="600" w:lineRule="exact"/>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262" w:leftChars="257" w:hanging="722" w:hangingChars="257"/>
        <w:jc w:val="center"/>
        <w:rPr>
          <w:rFonts w:hAnsi="宋体" w:cs="宋体"/>
          <w:b/>
          <w:color w:val="000000"/>
          <w:sz w:val="28"/>
          <w:szCs w:val="28"/>
        </w:rPr>
      </w:pPr>
    </w:p>
    <w:p>
      <w:pPr>
        <w:pStyle w:val="17"/>
        <w:tabs>
          <w:tab w:val="left" w:pos="5580"/>
        </w:tabs>
        <w:spacing w:line="600" w:lineRule="exact"/>
        <w:ind w:left="1080" w:leftChars="257" w:hanging="540"/>
        <w:jc w:val="center"/>
        <w:outlineLvl w:val="1"/>
        <w:rPr>
          <w:rFonts w:hAnsi="宋体" w:cs="宋体"/>
          <w:b/>
          <w:color w:val="000000"/>
          <w:sz w:val="21"/>
          <w:szCs w:val="21"/>
        </w:rPr>
      </w:pPr>
      <w:bookmarkStart w:id="330" w:name="_Toc10468"/>
      <w:r>
        <w:rPr>
          <w:rFonts w:hint="eastAsia" w:hAnsi="宋体" w:cs="宋体"/>
          <w:b/>
          <w:color w:val="000000"/>
          <w:sz w:val="21"/>
          <w:szCs w:val="21"/>
        </w:rPr>
        <w:t>三、法定代表人授权委托书(格式）</w:t>
      </w:r>
      <w:bookmarkEnd w:id="330"/>
    </w:p>
    <w:p>
      <w:pPr>
        <w:pStyle w:val="5"/>
        <w:spacing w:line="600" w:lineRule="exact"/>
        <w:ind w:firstLine="0"/>
        <w:jc w:val="center"/>
        <w:rPr>
          <w:rFonts w:ascii="宋体" w:hAnsi="宋体" w:cs="宋体"/>
          <w:b/>
          <w:color w:val="000000"/>
          <w:sz w:val="21"/>
          <w:szCs w:val="21"/>
        </w:rPr>
      </w:pPr>
      <w:bookmarkStart w:id="331" w:name="_Toc3828"/>
      <w:r>
        <w:rPr>
          <w:rFonts w:hint="eastAsia" w:ascii="宋体" w:hAnsi="宋体" w:cs="宋体"/>
          <w:b/>
          <w:color w:val="000000"/>
          <w:sz w:val="21"/>
          <w:szCs w:val="21"/>
        </w:rPr>
        <w:t>（自然人投标的无需提供）</w:t>
      </w:r>
      <w:bookmarkEnd w:id="331"/>
    </w:p>
    <w:p>
      <w:pPr>
        <w:pStyle w:val="5"/>
        <w:spacing w:line="600" w:lineRule="exact"/>
        <w:ind w:firstLine="0"/>
        <w:jc w:val="center"/>
        <w:rPr>
          <w:rFonts w:ascii="宋体" w:hAnsi="宋体" w:cs="宋体"/>
          <w:b/>
          <w:color w:val="000000"/>
          <w:sz w:val="21"/>
          <w:szCs w:val="21"/>
        </w:rPr>
      </w:pPr>
    </w:p>
    <w:p>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本授权书声明：注册于</w:t>
      </w:r>
      <w:r>
        <w:rPr>
          <w:rFonts w:hint="eastAsia" w:ascii="宋体" w:hAnsi="宋体" w:cs="宋体"/>
          <w:b/>
          <w:i/>
          <w:color w:val="000000"/>
          <w:szCs w:val="21"/>
          <w:u w:val="single"/>
        </w:rPr>
        <w:t xml:space="preserve">           （地区的名称。例：江苏盐城）</w:t>
      </w:r>
      <w:r>
        <w:rPr>
          <w:rFonts w:hint="eastAsia" w:ascii="宋体" w:hAnsi="宋体" w:cs="宋体"/>
          <w:color w:val="000000"/>
          <w:szCs w:val="21"/>
        </w:rPr>
        <w:t>的</w:t>
      </w:r>
      <w:r>
        <w:rPr>
          <w:rFonts w:hint="eastAsia" w:ascii="宋体" w:hAnsi="宋体" w:cs="宋体"/>
          <w:b/>
          <w:i/>
          <w:color w:val="000000"/>
          <w:szCs w:val="21"/>
          <w:u w:val="single"/>
        </w:rPr>
        <w:t xml:space="preserve">           （供应商）</w:t>
      </w:r>
      <w:r>
        <w:rPr>
          <w:rFonts w:hint="eastAsia" w:ascii="宋体" w:hAnsi="宋体" w:cs="宋体"/>
          <w:color w:val="000000"/>
          <w:szCs w:val="21"/>
        </w:rPr>
        <w:t>的在下面签字的</w:t>
      </w:r>
      <w:r>
        <w:rPr>
          <w:rFonts w:hint="eastAsia" w:ascii="宋体" w:hAnsi="宋体" w:cs="宋体"/>
          <w:b/>
          <w:i/>
          <w:color w:val="000000"/>
          <w:szCs w:val="21"/>
          <w:u w:val="single"/>
        </w:rPr>
        <w:t xml:space="preserve">         （法人代表姓名、职务）</w:t>
      </w:r>
      <w:r>
        <w:rPr>
          <w:rFonts w:hint="eastAsia" w:ascii="宋体" w:hAnsi="宋体" w:cs="宋体"/>
          <w:color w:val="000000"/>
          <w:szCs w:val="21"/>
        </w:rPr>
        <w:t>代表我单位授权</w:t>
      </w:r>
      <w:r>
        <w:rPr>
          <w:rFonts w:hint="eastAsia" w:ascii="宋体" w:hAnsi="宋体" w:cs="宋体"/>
          <w:b/>
          <w:i/>
          <w:color w:val="000000"/>
          <w:szCs w:val="21"/>
          <w:u w:val="single"/>
        </w:rPr>
        <w:t xml:space="preserve">                   （单位名称）</w:t>
      </w:r>
      <w:r>
        <w:rPr>
          <w:rFonts w:hint="eastAsia" w:ascii="宋体" w:hAnsi="宋体" w:cs="宋体"/>
          <w:color w:val="000000"/>
          <w:szCs w:val="21"/>
        </w:rPr>
        <w:t>的在下面签字的</w:t>
      </w:r>
      <w:r>
        <w:rPr>
          <w:rFonts w:hint="eastAsia" w:ascii="宋体" w:hAnsi="宋体" w:cs="宋体"/>
          <w:b/>
          <w:i/>
          <w:color w:val="000000"/>
          <w:szCs w:val="21"/>
          <w:u w:val="single"/>
        </w:rPr>
        <w:t xml:space="preserve">                （被授权人的姓名、职务）</w:t>
      </w:r>
      <w:r>
        <w:rPr>
          <w:rFonts w:hint="eastAsia" w:ascii="宋体" w:hAnsi="宋体" w:cs="宋体"/>
          <w:color w:val="000000"/>
          <w:szCs w:val="21"/>
        </w:rPr>
        <w:t>为我单位的合法代理人</w:t>
      </w:r>
      <w:r>
        <w:rPr>
          <w:rFonts w:hint="eastAsia" w:ascii="宋体" w:hAnsi="宋体"/>
          <w:color w:val="000000"/>
          <w:szCs w:val="21"/>
        </w:rPr>
        <w:t>（授权代表）</w:t>
      </w:r>
      <w:r>
        <w:rPr>
          <w:rFonts w:hint="eastAsia" w:ascii="宋体" w:hAnsi="宋体" w:cs="宋体"/>
          <w:color w:val="000000"/>
          <w:szCs w:val="21"/>
        </w:rPr>
        <w:t>，就</w:t>
      </w:r>
      <w:r>
        <w:rPr>
          <w:rFonts w:hint="eastAsia" w:ascii="宋体" w:hAnsi="宋体" w:cs="宋体"/>
          <w:b/>
          <w:i/>
          <w:color w:val="000000"/>
          <w:szCs w:val="21"/>
          <w:u w:val="single"/>
        </w:rPr>
        <w:t xml:space="preserve">             （项目名称）</w:t>
      </w:r>
      <w:r>
        <w:rPr>
          <w:rFonts w:hint="eastAsia" w:ascii="宋体" w:hAnsi="宋体" w:cs="宋体"/>
          <w:color w:val="000000"/>
          <w:szCs w:val="21"/>
        </w:rPr>
        <w:t>的投标（响应），以我单位名义处理一切与之有关的事务。</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本授权书于</w:t>
      </w:r>
      <w:r>
        <w:rPr>
          <w:rFonts w:hint="eastAsia" w:ascii="宋体" w:hAnsi="宋体" w:cs="宋体"/>
          <w:color w:val="000000"/>
          <w:szCs w:val="21"/>
          <w:u w:val="single"/>
        </w:rPr>
        <w:t xml:space="preserve">           年     月     </w:t>
      </w:r>
      <w:r>
        <w:rPr>
          <w:rFonts w:hint="eastAsia" w:ascii="宋体" w:hAnsi="宋体" w:cs="宋体"/>
          <w:color w:val="000000"/>
          <w:szCs w:val="21"/>
        </w:rPr>
        <w:t>日签字生效,特此声明。</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供应商（盖单位章）：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法定代表人（签字或签章）：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委托代理人（签字或签章）：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日        期：</w:t>
      </w:r>
    </w:p>
    <w:p>
      <w:pPr>
        <w:spacing w:line="600" w:lineRule="exact"/>
        <w:ind w:firstLine="420" w:firstLineChars="200"/>
        <w:jc w:val="center"/>
        <w:rPr>
          <w:rFonts w:ascii="宋体" w:hAnsi="宋体" w:cs="宋体"/>
          <w:color w:val="000000"/>
          <w:szCs w:val="21"/>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Cs w:val="21"/>
              </w:rPr>
            </w:pPr>
            <w:r>
              <w:rPr>
                <w:rFonts w:hint="eastAsia" w:ascii="宋体" w:hAnsi="宋体"/>
                <w:b/>
                <w:color w:val="000000"/>
                <w:szCs w:val="21"/>
              </w:rPr>
              <w:t>法定代表人有效身份证明</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Cs w:val="21"/>
              </w:rPr>
            </w:pPr>
            <w:r>
              <w:rPr>
                <w:rFonts w:hint="eastAsia" w:ascii="宋体" w:hAnsi="宋体"/>
                <w:b/>
                <w:color w:val="000000"/>
                <w:szCs w:val="21"/>
              </w:rPr>
              <w:t>委托代理人（</w:t>
            </w:r>
            <w:r>
              <w:rPr>
                <w:rFonts w:hint="eastAsia" w:ascii="宋体" w:hAnsi="宋体" w:cs="宋体"/>
                <w:b/>
                <w:color w:val="000000"/>
                <w:szCs w:val="21"/>
              </w:rPr>
              <w:t>被授权人</w:t>
            </w:r>
            <w:r>
              <w:rPr>
                <w:rFonts w:hint="eastAsia" w:ascii="宋体" w:hAnsi="宋体"/>
                <w:b/>
                <w:color w:val="000000"/>
                <w:szCs w:val="21"/>
              </w:rPr>
              <w:t>）有效身份证明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szCs w:val="21"/>
              </w:rPr>
            </w:pPr>
            <w:r>
              <w:rPr>
                <w:rFonts w:hint="eastAsia" w:ascii="宋体" w:hAnsi="宋体"/>
                <w:i/>
                <w:color w:val="000000"/>
                <w:szCs w:val="21"/>
              </w:rPr>
              <w:t>（身份证复印件粘贴处）</w:t>
            </w:r>
          </w:p>
          <w:p>
            <w:pPr>
              <w:jc w:val="center"/>
              <w:rPr>
                <w:rFonts w:ascii="宋体" w:hAnsi="宋体"/>
                <w:i/>
                <w:color w:val="000000"/>
                <w:szCs w:val="21"/>
              </w:rPr>
            </w:pPr>
          </w:p>
          <w:p>
            <w:pPr>
              <w:jc w:val="center"/>
              <w:rPr>
                <w:rFonts w:ascii="宋体" w:hAnsi="宋体"/>
                <w:i/>
                <w:color w:val="000000"/>
                <w:szCs w:val="21"/>
              </w:rPr>
            </w:pPr>
            <w:r>
              <w:rPr>
                <w:rFonts w:hint="eastAsia" w:ascii="宋体" w:hAnsi="宋体"/>
                <w:i/>
                <w:color w:val="000000"/>
                <w:szCs w:val="21"/>
              </w:rPr>
              <w:t>（可电子粘贴）</w:t>
            </w:r>
          </w:p>
          <w:p>
            <w:pPr>
              <w:jc w:val="center"/>
              <w:rPr>
                <w:rFonts w:ascii="宋体" w:hAnsi="宋体"/>
                <w:i/>
                <w:color w:val="000000"/>
                <w:szCs w:val="21"/>
              </w:rPr>
            </w:pPr>
          </w:p>
          <w:p>
            <w:pPr>
              <w:jc w:val="center"/>
              <w:rPr>
                <w:rFonts w:ascii="宋体" w:hAnsi="宋体"/>
                <w:i/>
                <w:color w:val="000000"/>
                <w:szCs w:val="21"/>
              </w:rPr>
            </w:pPr>
            <w:r>
              <w:rPr>
                <w:rFonts w:hint="eastAsia" w:ascii="宋体" w:hAnsi="宋体"/>
                <w:i/>
                <w:color w:val="000000"/>
                <w:szCs w:val="21"/>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szCs w:val="21"/>
              </w:rPr>
            </w:pPr>
            <w:r>
              <w:rPr>
                <w:rFonts w:hint="eastAsia" w:ascii="宋体" w:hAnsi="宋体"/>
                <w:i/>
                <w:color w:val="000000"/>
                <w:szCs w:val="21"/>
              </w:rPr>
              <w:t>（身份证复印件粘贴处）</w:t>
            </w:r>
          </w:p>
          <w:p>
            <w:pPr>
              <w:jc w:val="center"/>
              <w:rPr>
                <w:rFonts w:ascii="宋体" w:hAnsi="宋体"/>
                <w:i/>
                <w:color w:val="000000"/>
                <w:szCs w:val="21"/>
              </w:rPr>
            </w:pPr>
          </w:p>
          <w:p>
            <w:pPr>
              <w:jc w:val="center"/>
              <w:rPr>
                <w:rFonts w:ascii="宋体" w:hAnsi="宋体"/>
                <w:i/>
                <w:color w:val="000000"/>
                <w:szCs w:val="21"/>
              </w:rPr>
            </w:pPr>
            <w:r>
              <w:rPr>
                <w:rFonts w:hint="eastAsia" w:ascii="宋体" w:hAnsi="宋体"/>
                <w:i/>
                <w:color w:val="000000"/>
                <w:szCs w:val="21"/>
              </w:rPr>
              <w:t>（可电子粘贴）</w:t>
            </w:r>
          </w:p>
          <w:p>
            <w:pPr>
              <w:jc w:val="center"/>
              <w:rPr>
                <w:rFonts w:ascii="宋体" w:hAnsi="宋体"/>
                <w:i/>
                <w:color w:val="000000"/>
                <w:szCs w:val="21"/>
              </w:rPr>
            </w:pPr>
          </w:p>
          <w:p>
            <w:pPr>
              <w:jc w:val="center"/>
              <w:rPr>
                <w:rFonts w:ascii="宋体" w:hAnsi="宋体"/>
                <w:i/>
                <w:color w:val="000000"/>
                <w:szCs w:val="21"/>
              </w:rPr>
            </w:pPr>
            <w:r>
              <w:rPr>
                <w:rFonts w:hint="eastAsia" w:ascii="宋体" w:hAnsi="宋体"/>
                <w:i/>
                <w:color w:val="000000"/>
                <w:szCs w:val="21"/>
              </w:rPr>
              <w:t>（证明材料可另页，不限于本框内）</w:t>
            </w:r>
          </w:p>
        </w:tc>
      </w:tr>
    </w:tbl>
    <w:p>
      <w:pPr>
        <w:pStyle w:val="5"/>
        <w:spacing w:line="600" w:lineRule="exact"/>
        <w:ind w:firstLine="0"/>
        <w:jc w:val="center"/>
        <w:rPr>
          <w:rFonts w:ascii="宋体" w:hAnsi="宋体" w:cs="宋体"/>
          <w:b/>
          <w:i/>
          <w:color w:val="000000"/>
          <w:sz w:val="21"/>
          <w:szCs w:val="21"/>
          <w:u w:val="single"/>
        </w:rPr>
      </w:pPr>
      <w:r>
        <w:rPr>
          <w:rFonts w:hint="eastAsia" w:ascii="宋体" w:hAnsi="宋体" w:cs="宋体"/>
          <w:b/>
          <w:color w:val="000000"/>
          <w:sz w:val="21"/>
          <w:szCs w:val="21"/>
          <w:u w:val="single"/>
        </w:rPr>
        <w:t>（备注：如供应商组成联合体参加投标，则联合体各方均须加盖公章）</w:t>
      </w:r>
    </w:p>
    <w:p>
      <w:pPr>
        <w:pStyle w:val="9"/>
        <w:spacing w:line="240" w:lineRule="exact"/>
        <w:rPr>
          <w:color w:val="000000"/>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outlineLvl w:val="1"/>
        <w:rPr>
          <w:rFonts w:ascii="宋体" w:hAnsi="宋体" w:cs="宋体"/>
          <w:b/>
          <w:color w:val="000000"/>
          <w:szCs w:val="21"/>
        </w:rPr>
      </w:pPr>
      <w:bookmarkStart w:id="332" w:name="_Toc12350"/>
      <w:r>
        <w:rPr>
          <w:rFonts w:hint="eastAsia" w:ascii="宋体" w:hAnsi="宋体" w:cs="宋体"/>
          <w:b/>
          <w:color w:val="000000"/>
          <w:szCs w:val="21"/>
        </w:rPr>
        <w:t>四、投标（响应）书（格式）</w:t>
      </w:r>
      <w:bookmarkEnd w:id="332"/>
    </w:p>
    <w:p>
      <w:pPr>
        <w:pStyle w:val="9"/>
        <w:spacing w:line="240" w:lineRule="exact"/>
        <w:rPr>
          <w:rFonts w:ascii="宋体" w:hAnsi="宋体" w:cs="宋体"/>
          <w:b/>
          <w:color w:val="000000"/>
          <w:sz w:val="21"/>
          <w:szCs w:val="21"/>
        </w:rPr>
      </w:pPr>
    </w:p>
    <w:p>
      <w:pPr>
        <w:spacing w:line="360" w:lineRule="auto"/>
        <w:rPr>
          <w:rFonts w:ascii="宋体" w:hAnsi="宋体" w:cs="宋体"/>
          <w:b/>
          <w:color w:val="000000"/>
          <w:szCs w:val="21"/>
          <w:u w:val="single"/>
        </w:rPr>
      </w:pPr>
      <w:bookmarkStart w:id="333" w:name="_Toc21931"/>
      <w:r>
        <w:rPr>
          <w:rFonts w:hint="eastAsia" w:ascii="宋体" w:hAnsi="宋体" w:cs="宋体"/>
          <w:b/>
          <w:color w:val="000000"/>
          <w:szCs w:val="21"/>
          <w:u w:val="single"/>
        </w:rPr>
        <w:t xml:space="preserve">致：    </w:t>
      </w:r>
      <w:r>
        <w:rPr>
          <w:rFonts w:hint="eastAsia" w:ascii="宋体" w:hAnsi="宋体" w:cs="宋体"/>
          <w:b/>
          <w:i/>
          <w:color w:val="000000"/>
          <w:szCs w:val="21"/>
          <w:u w:val="single"/>
        </w:rPr>
        <w:t>(</w:t>
      </w:r>
      <w:r>
        <w:rPr>
          <w:rFonts w:hint="eastAsia" w:ascii="宋体" w:hAnsi="宋体" w:cs="仿宋"/>
          <w:b/>
          <w:i/>
          <w:color w:val="000000"/>
          <w:kern w:val="0"/>
          <w:szCs w:val="21"/>
          <w:u w:val="single"/>
        </w:rPr>
        <w:t>采购人或携手阳光公司的名称</w:t>
      </w:r>
      <w:r>
        <w:rPr>
          <w:rFonts w:hint="eastAsia" w:ascii="宋体" w:hAnsi="宋体" w:cs="宋体"/>
          <w:b/>
          <w:i/>
          <w:color w:val="000000"/>
          <w:szCs w:val="21"/>
          <w:u w:val="single"/>
        </w:rPr>
        <w:t>)</w:t>
      </w:r>
      <w:bookmarkEnd w:id="333"/>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根据贵方</w:t>
      </w:r>
      <w:r>
        <w:rPr>
          <w:rFonts w:hint="eastAsia" w:hAnsi="宋体" w:cs="宋体"/>
          <w:b/>
          <w:i/>
          <w:color w:val="000000"/>
          <w:sz w:val="21"/>
          <w:szCs w:val="21"/>
          <w:u w:val="single"/>
        </w:rPr>
        <w:t xml:space="preserve"> (项目名称)</w:t>
      </w:r>
      <w:r>
        <w:rPr>
          <w:rFonts w:hint="eastAsia" w:hAnsi="宋体" w:cs="宋体"/>
          <w:color w:val="000000"/>
          <w:sz w:val="21"/>
          <w:szCs w:val="21"/>
        </w:rPr>
        <w:t>项目的投标邀请</w:t>
      </w:r>
      <w:r>
        <w:rPr>
          <w:rFonts w:hint="eastAsia" w:hAnsi="宋体" w:cs="宋体"/>
          <w:b/>
          <w:i/>
          <w:color w:val="000000"/>
          <w:sz w:val="21"/>
          <w:szCs w:val="21"/>
          <w:u w:val="single"/>
        </w:rPr>
        <w:t>(采购编号)</w:t>
      </w:r>
      <w:r>
        <w:rPr>
          <w:rFonts w:hint="eastAsia" w:hAnsi="宋体" w:cs="宋体"/>
          <w:color w:val="000000"/>
          <w:sz w:val="21"/>
          <w:szCs w:val="21"/>
        </w:rPr>
        <w:t>,签字代表</w:t>
      </w:r>
      <w:r>
        <w:rPr>
          <w:rFonts w:hint="eastAsia" w:hAnsi="宋体" w:cs="宋体"/>
          <w:b/>
          <w:i/>
          <w:color w:val="000000"/>
          <w:sz w:val="21"/>
          <w:szCs w:val="21"/>
          <w:u w:val="single"/>
        </w:rPr>
        <w:t>(姓名、职务)</w:t>
      </w:r>
      <w:r>
        <w:rPr>
          <w:rFonts w:hint="eastAsia" w:hAnsi="宋体" w:cs="宋体"/>
          <w:color w:val="000000"/>
          <w:sz w:val="21"/>
          <w:szCs w:val="21"/>
        </w:rPr>
        <w:t>经正式授权并代表供应商</w:t>
      </w:r>
      <w:r>
        <w:rPr>
          <w:rFonts w:hint="eastAsia" w:hAnsi="宋体" w:cs="宋体"/>
          <w:b/>
          <w:i/>
          <w:color w:val="000000"/>
          <w:sz w:val="21"/>
          <w:szCs w:val="21"/>
          <w:u w:val="single"/>
        </w:rPr>
        <w:t>（供应商名称）</w:t>
      </w:r>
      <w:r>
        <w:rPr>
          <w:rFonts w:hint="eastAsia" w:hAnsi="宋体" w:cs="宋体"/>
          <w:color w:val="000000"/>
          <w:sz w:val="21"/>
          <w:szCs w:val="21"/>
        </w:rPr>
        <w:t>提交下述文件正本</w:t>
      </w:r>
      <w:r>
        <w:rPr>
          <w:rFonts w:hint="eastAsia" w:hAnsi="宋体" w:cs="宋体"/>
          <w:b/>
          <w:color w:val="000000"/>
          <w:sz w:val="21"/>
          <w:szCs w:val="21"/>
          <w:u w:val="single"/>
        </w:rPr>
        <w:t>1</w:t>
      </w:r>
      <w:r>
        <w:rPr>
          <w:rFonts w:hint="eastAsia" w:hAnsi="宋体" w:cs="宋体"/>
          <w:color w:val="000000"/>
          <w:sz w:val="21"/>
          <w:szCs w:val="21"/>
        </w:rPr>
        <w:t>份、副本</w:t>
      </w:r>
      <w:r>
        <w:rPr>
          <w:rFonts w:hint="eastAsia" w:hAnsi="宋体" w:cs="宋体"/>
          <w:b/>
          <w:color w:val="000000"/>
          <w:sz w:val="21"/>
          <w:szCs w:val="21"/>
        </w:rPr>
        <w:t>份</w:t>
      </w:r>
      <w:r>
        <w:rPr>
          <w:rFonts w:hint="eastAsia" w:hAnsi="宋体" w:cs="宋体"/>
          <w:color w:val="000000"/>
          <w:sz w:val="21"/>
          <w:szCs w:val="21"/>
        </w:rPr>
        <w:t>。</w:t>
      </w:r>
    </w:p>
    <w:p>
      <w:pPr>
        <w:pStyle w:val="17"/>
        <w:tabs>
          <w:tab w:val="left" w:pos="5580"/>
        </w:tabs>
        <w:spacing w:line="360" w:lineRule="auto"/>
        <w:ind w:firstLine="422" w:firstLineChars="200"/>
        <w:rPr>
          <w:rFonts w:hAnsi="宋体" w:cs="宋体"/>
          <w:b/>
          <w:color w:val="000000"/>
          <w:sz w:val="21"/>
          <w:szCs w:val="21"/>
        </w:rPr>
      </w:pPr>
      <w:r>
        <w:rPr>
          <w:rFonts w:hint="eastAsia" w:hAnsi="宋体" w:cs="宋体"/>
          <w:b/>
          <w:color w:val="000000"/>
          <w:sz w:val="21"/>
          <w:szCs w:val="21"/>
        </w:rPr>
        <w:t>据此，签字代表宣布同意如下：</w:t>
      </w:r>
    </w:p>
    <w:p>
      <w:pPr>
        <w:pStyle w:val="17"/>
        <w:tabs>
          <w:tab w:val="left" w:pos="5580"/>
        </w:tabs>
        <w:spacing w:line="360" w:lineRule="auto"/>
        <w:ind w:firstLine="420" w:firstLineChars="200"/>
        <w:rPr>
          <w:rFonts w:hAnsi="宋体" w:cs="宋体"/>
          <w:color w:val="000000"/>
          <w:spacing w:val="15"/>
          <w:sz w:val="21"/>
          <w:szCs w:val="21"/>
          <w:u w:val="single"/>
        </w:rPr>
      </w:pPr>
      <w:r>
        <w:rPr>
          <w:rFonts w:hint="eastAsia" w:hAnsi="宋体" w:cs="宋体"/>
          <w:color w:val="000000"/>
          <w:sz w:val="21"/>
          <w:szCs w:val="21"/>
        </w:rPr>
        <w:t>（1）</w:t>
      </w:r>
      <w:r>
        <w:rPr>
          <w:rFonts w:hint="eastAsia" w:hAnsi="宋体"/>
          <w:color w:val="000000"/>
          <w:sz w:val="21"/>
          <w:szCs w:val="21"/>
        </w:rPr>
        <w:t>附投标价格表中规定的应提供产品（货物、服务、工程）</w:t>
      </w:r>
      <w:r>
        <w:rPr>
          <w:rFonts w:hAnsi="宋体"/>
          <w:color w:val="000000"/>
          <w:sz w:val="21"/>
          <w:szCs w:val="21"/>
        </w:rPr>
        <w:t>的</w:t>
      </w:r>
      <w:r>
        <w:rPr>
          <w:rFonts w:hint="eastAsia" w:hAnsi="宋体"/>
          <w:color w:val="000000"/>
          <w:sz w:val="21"/>
          <w:szCs w:val="21"/>
        </w:rPr>
        <w:t>投标总价详见报价一览表。</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（2）本投标有效期为自</w:t>
      </w:r>
      <w:r>
        <w:rPr>
          <w:rFonts w:hint="eastAsia" w:hAnsi="宋体"/>
          <w:color w:val="000000"/>
          <w:sz w:val="21"/>
          <w:szCs w:val="21"/>
        </w:rPr>
        <w:t>提交响应文件截止之日</w:t>
      </w:r>
      <w:r>
        <w:rPr>
          <w:rFonts w:hint="eastAsia" w:hAnsi="宋体" w:cs="宋体"/>
          <w:color w:val="000000"/>
          <w:sz w:val="21"/>
          <w:szCs w:val="21"/>
        </w:rPr>
        <w:t>起</w:t>
      </w:r>
      <w:r>
        <w:rPr>
          <w:rFonts w:hint="eastAsia" w:hAnsi="宋体" w:cs="宋体"/>
          <w:color w:val="000000"/>
          <w:sz w:val="21"/>
          <w:szCs w:val="21"/>
          <w:u w:val="single"/>
        </w:rPr>
        <w:t>60</w:t>
      </w:r>
      <w:r>
        <w:rPr>
          <w:rFonts w:hint="eastAsia" w:hAnsi="宋体" w:cs="宋体"/>
          <w:color w:val="000000"/>
          <w:sz w:val="21"/>
          <w:szCs w:val="21"/>
        </w:rPr>
        <w:t>个日历日。</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（3）已详细审查全部采购文件，包括所有补充通知（如果有的话），完全理解并同意放弃对这方面有不明、误解和质疑的权力。</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（4）在规定的开标时间后，遵守采购文件中有关保证金的规定。</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（5）我方不是为本项目提供整体设计、规范编制或者项目管理、监理、检测等服务的供应商，我方不是采购代理机构的附属机构。</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（6）在领取成交通知书的同时按采购文件规定的形式，向盐城市携手阳光集中采购代理有限公司一次性支付</w:t>
      </w:r>
      <w:r>
        <w:rPr>
          <w:rFonts w:hint="eastAsia" w:hAnsi="宋体"/>
          <w:color w:val="000000"/>
          <w:sz w:val="21"/>
          <w:szCs w:val="21"/>
        </w:rPr>
        <w:t>代理</w:t>
      </w:r>
      <w:r>
        <w:rPr>
          <w:rFonts w:hint="eastAsia" w:hAnsi="宋体" w:cs="宋体"/>
          <w:color w:val="000000"/>
          <w:sz w:val="21"/>
          <w:szCs w:val="21"/>
        </w:rPr>
        <w:t>服务费。</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（7）按照贵方可能要求，提供与其投标有关的一切数据或资料，完全理解贵方不一定接受最低价的投标或收到的任何投标。</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（8）按照采购文件的规定履行合同责任和义务。</w:t>
      </w:r>
    </w:p>
    <w:p>
      <w:pPr>
        <w:pStyle w:val="17"/>
        <w:tabs>
          <w:tab w:val="left" w:pos="5580"/>
        </w:tabs>
        <w:spacing w:line="360" w:lineRule="auto"/>
        <w:ind w:firstLine="422" w:firstLineChars="200"/>
        <w:rPr>
          <w:rFonts w:hAnsi="宋体" w:cs="宋体"/>
          <w:b/>
          <w:color w:val="000000"/>
          <w:sz w:val="21"/>
          <w:szCs w:val="21"/>
          <w:u w:val="single"/>
        </w:rPr>
      </w:pPr>
      <w:r>
        <w:rPr>
          <w:rFonts w:hint="eastAsia" w:hAnsi="宋体" w:cs="宋体"/>
          <w:b/>
          <w:color w:val="000000"/>
          <w:sz w:val="21"/>
          <w:szCs w:val="21"/>
          <w:u w:val="single"/>
        </w:rPr>
        <w:t>（9）评审期间，如采购人或携手阳光相关工作人员无法与我方委托代理人联系（联系电话：</w:t>
      </w:r>
      <w:r>
        <w:rPr>
          <w:rFonts w:hint="eastAsia" w:hAnsi="宋体" w:cs="宋体"/>
          <w:b/>
          <w:i/>
          <w:color w:val="000000"/>
          <w:sz w:val="21"/>
          <w:szCs w:val="21"/>
          <w:u w:val="single"/>
        </w:rPr>
        <w:t>手机号</w:t>
      </w:r>
      <w:r>
        <w:rPr>
          <w:rFonts w:hint="eastAsia" w:hAnsi="宋体" w:cs="宋体"/>
          <w:b/>
          <w:color w:val="000000"/>
          <w:sz w:val="21"/>
          <w:szCs w:val="21"/>
          <w:u w:val="single"/>
        </w:rPr>
        <w:t>）或我方法定代表人或其委托代理人接到通知后15分钟内未及时向评审人员进行澄清（含提供相关证明材料等）等情形的，评审人员有权视为我方放弃澄清等相关所有权益（以贵方或评审人员理解为准）。</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与本投标有关的一切正式往来信函请寄：</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地址：</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供应商（须盖单位章）：</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法定代表人或其委托代理人(须签字或盖章)：</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电子函件或传真：</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日期：</w:t>
      </w:r>
    </w:p>
    <w:p>
      <w:pPr>
        <w:spacing w:line="480" w:lineRule="auto"/>
        <w:rPr>
          <w:rFonts w:ascii="宋体" w:hAnsi="宋体" w:cs="宋体"/>
          <w:b/>
          <w:color w:val="000000"/>
          <w:sz w:val="28"/>
          <w:szCs w:val="28"/>
          <w:u w:val="single"/>
        </w:rPr>
      </w:pPr>
    </w:p>
    <w:p>
      <w:pPr>
        <w:spacing w:line="540" w:lineRule="atLeast"/>
        <w:jc w:val="center"/>
        <w:rPr>
          <w:rFonts w:ascii="宋体" w:hAnsi="宋体"/>
          <w:b/>
          <w:color w:val="000000"/>
          <w:sz w:val="28"/>
          <w:szCs w:val="28"/>
        </w:rPr>
      </w:pPr>
    </w:p>
    <w:p>
      <w:pPr>
        <w:spacing w:line="540" w:lineRule="atLeast"/>
        <w:jc w:val="center"/>
        <w:rPr>
          <w:rFonts w:ascii="宋体" w:hAnsi="宋体"/>
          <w:b/>
          <w:color w:val="000000"/>
          <w:sz w:val="28"/>
          <w:szCs w:val="28"/>
        </w:rPr>
      </w:pPr>
    </w:p>
    <w:p>
      <w:pPr>
        <w:spacing w:line="540" w:lineRule="atLeast"/>
        <w:jc w:val="center"/>
        <w:outlineLvl w:val="1"/>
        <w:rPr>
          <w:rFonts w:ascii="宋体" w:hAnsi="宋体" w:cs="宋体"/>
          <w:b/>
          <w:color w:val="000000"/>
          <w:sz w:val="28"/>
          <w:szCs w:val="28"/>
        </w:rPr>
      </w:pPr>
      <w:bookmarkStart w:id="334" w:name="_Toc15615"/>
      <w:r>
        <w:rPr>
          <w:rFonts w:hint="eastAsia" w:ascii="宋体" w:hAnsi="宋体"/>
          <w:b/>
          <w:color w:val="000000"/>
          <w:sz w:val="28"/>
          <w:szCs w:val="28"/>
        </w:rPr>
        <w:t>五、盐城市政府采购事前信用承诺书（格式）</w:t>
      </w:r>
      <w:bookmarkEnd w:id="334"/>
    </w:p>
    <w:p>
      <w:pPr>
        <w:ind w:firstLine="420" w:firstLineChars="200"/>
        <w:jc w:val="left"/>
        <w:rPr>
          <w:rFonts w:ascii="宋体" w:hAnsi="宋体"/>
          <w:color w:val="000000"/>
          <w:szCs w:val="21"/>
        </w:rPr>
      </w:pPr>
    </w:p>
    <w:p>
      <w:pPr>
        <w:spacing w:line="540" w:lineRule="atLeast"/>
        <w:ind w:firstLine="420" w:firstLineChars="200"/>
        <w:jc w:val="left"/>
        <w:rPr>
          <w:rFonts w:ascii="宋体" w:hAnsi="宋体" w:cs="宋体"/>
          <w:b/>
          <w:color w:val="000000"/>
          <w:sz w:val="28"/>
          <w:szCs w:val="28"/>
        </w:rPr>
      </w:pPr>
      <w:r>
        <w:rPr>
          <w:rFonts w:hint="eastAsia" w:ascii="宋体" w:hAnsi="宋体"/>
          <w:color w:val="000000"/>
          <w:szCs w:val="21"/>
        </w:rPr>
        <w:t>为营造我市公开、公平、公正、诚实守信的政府采购交易环境，树立诚信守法的投标人形象，本人代表本单位作出以下承诺：</w:t>
      </w:r>
    </w:p>
    <w:p>
      <w:pPr>
        <w:widowControl/>
        <w:spacing w:line="540" w:lineRule="atLeast"/>
        <w:jc w:val="left"/>
        <w:rPr>
          <w:rFonts w:ascii="宋体" w:hAnsi="宋体"/>
          <w:color w:val="000000"/>
          <w:szCs w:val="21"/>
        </w:rPr>
      </w:pPr>
      <w:r>
        <w:rPr>
          <w:rFonts w:hint="eastAsia" w:ascii="宋体" w:hAnsi="宋体"/>
          <w:color w:val="000000"/>
          <w:szCs w:val="21"/>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40" w:lineRule="atLeast"/>
        <w:jc w:val="left"/>
        <w:rPr>
          <w:rFonts w:ascii="宋体" w:hAnsi="宋体"/>
          <w:color w:val="000000"/>
          <w:szCs w:val="21"/>
        </w:rPr>
      </w:pPr>
      <w:r>
        <w:rPr>
          <w:rFonts w:hint="eastAsia" w:ascii="宋体" w:hAnsi="宋体"/>
          <w:color w:val="000000"/>
          <w:szCs w:val="21"/>
        </w:rPr>
        <w:t xml:space="preserve">   （三）严格依照国家和省、市关于政府采购的法律、法规、规章、规范性文件，参加政府采购投标活动；积极履行社会责任，促进廉政建设； </w:t>
      </w:r>
    </w:p>
    <w:p>
      <w:pPr>
        <w:widowControl/>
        <w:spacing w:line="540" w:lineRule="atLeast"/>
        <w:jc w:val="left"/>
        <w:rPr>
          <w:rFonts w:ascii="宋体" w:hAnsi="宋体"/>
          <w:color w:val="000000"/>
          <w:szCs w:val="21"/>
        </w:rPr>
      </w:pPr>
      <w:r>
        <w:rPr>
          <w:rFonts w:hint="eastAsia" w:ascii="宋体" w:hAnsi="宋体"/>
          <w:color w:val="000000"/>
          <w:szCs w:val="21"/>
        </w:rPr>
        <w:t>   （四）严格遵守即时信息公示规定，及时维护和更新盐城市政府采购网中与本单位相关的信息；</w:t>
      </w:r>
    </w:p>
    <w:p>
      <w:pPr>
        <w:widowControl/>
        <w:spacing w:line="540" w:lineRule="atLeast"/>
        <w:jc w:val="left"/>
        <w:rPr>
          <w:rFonts w:ascii="宋体" w:hAnsi="宋体"/>
          <w:color w:val="000000"/>
          <w:szCs w:val="21"/>
        </w:rPr>
      </w:pPr>
      <w:r>
        <w:rPr>
          <w:rFonts w:hint="eastAsia" w:ascii="宋体" w:hAnsi="宋体"/>
          <w:color w:val="000000"/>
          <w:szCs w:val="21"/>
        </w:rPr>
        <w:t>   （五）自我约束、自我管理，守合同、重信用，自觉维护政府采购交易的良好秩序，与参与本次政府采购活动的其他供应商不存在直接控股或管理关系，不参与围标串标、弄虚作假、骗取中标（成交）、干扰评审、违约毁约等行为；</w:t>
      </w:r>
    </w:p>
    <w:p>
      <w:pPr>
        <w:widowControl/>
        <w:spacing w:line="540" w:lineRule="atLeast"/>
        <w:jc w:val="left"/>
        <w:rPr>
          <w:rFonts w:ascii="宋体" w:hAnsi="宋体"/>
          <w:color w:val="000000"/>
          <w:szCs w:val="21"/>
        </w:rPr>
      </w:pPr>
      <w:r>
        <w:rPr>
          <w:rFonts w:hint="eastAsia" w:ascii="宋体" w:hAnsi="宋体"/>
          <w:color w:val="000000"/>
          <w:szCs w:val="21"/>
        </w:rPr>
        <w:t>   （六）自觉接受政府、行业组织、社会公众、新闻舆论的监督；</w:t>
      </w:r>
    </w:p>
    <w:p>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40" w:lineRule="atLeast"/>
        <w:jc w:val="left"/>
        <w:rPr>
          <w:rFonts w:ascii="宋体" w:hAnsi="宋体"/>
          <w:color w:val="000000"/>
          <w:szCs w:val="21"/>
        </w:rPr>
      </w:pPr>
      <w:r>
        <w:rPr>
          <w:rFonts w:hint="eastAsia" w:ascii="宋体" w:hAnsi="宋体"/>
          <w:color w:val="000000"/>
          <w:szCs w:val="21"/>
        </w:rPr>
        <w:t>   （八）本人已认真阅读了上述承诺，并向本单位员工作了宣传教育。</w:t>
      </w:r>
    </w:p>
    <w:p>
      <w:pPr>
        <w:pStyle w:val="17"/>
        <w:tabs>
          <w:tab w:val="left" w:pos="5580"/>
        </w:tabs>
        <w:spacing w:line="360" w:lineRule="auto"/>
        <w:ind w:firstLine="400" w:firstLineChars="200"/>
        <w:rPr>
          <w:rFonts w:hAnsi="宋体" w:cs="宋体"/>
          <w:color w:val="000000"/>
        </w:rPr>
      </w:pPr>
    </w:p>
    <w:p>
      <w:pPr>
        <w:pStyle w:val="17"/>
        <w:tabs>
          <w:tab w:val="left" w:pos="5580"/>
        </w:tabs>
        <w:spacing w:line="360" w:lineRule="auto"/>
        <w:ind w:firstLine="400" w:firstLineChars="200"/>
        <w:rPr>
          <w:rFonts w:hAnsi="宋体" w:cs="宋体"/>
          <w:color w:val="000000"/>
        </w:rPr>
      </w:pPr>
    </w:p>
    <w:p>
      <w:pPr>
        <w:pStyle w:val="17"/>
        <w:tabs>
          <w:tab w:val="left" w:pos="5580"/>
        </w:tabs>
        <w:spacing w:line="360" w:lineRule="auto"/>
        <w:ind w:firstLine="5000" w:firstLineChars="2500"/>
        <w:rPr>
          <w:rFonts w:hAnsi="宋体" w:cs="宋体"/>
          <w:color w:val="000000"/>
        </w:rPr>
      </w:pPr>
      <w:r>
        <w:rPr>
          <w:rFonts w:hint="eastAsia" w:hAnsi="宋体" w:cs="宋体"/>
          <w:color w:val="000000"/>
        </w:rPr>
        <w:t>供应商（须盖单位章）：</w:t>
      </w:r>
    </w:p>
    <w:p>
      <w:pPr>
        <w:pStyle w:val="17"/>
        <w:tabs>
          <w:tab w:val="left" w:pos="5580"/>
        </w:tabs>
        <w:spacing w:line="360" w:lineRule="auto"/>
        <w:ind w:firstLine="5000" w:firstLineChars="2500"/>
        <w:rPr>
          <w:rFonts w:hAnsi="宋体" w:cs="宋体"/>
          <w:color w:val="000000"/>
        </w:rPr>
      </w:pPr>
      <w:r>
        <w:rPr>
          <w:rFonts w:hint="eastAsia" w:hAnsi="宋体" w:cs="宋体"/>
          <w:color w:val="000000"/>
        </w:rPr>
        <w:t>法定代表人 (须签字或盖章)：</w:t>
      </w:r>
    </w:p>
    <w:p>
      <w:pPr>
        <w:pStyle w:val="17"/>
        <w:tabs>
          <w:tab w:val="left" w:pos="5580"/>
        </w:tabs>
        <w:spacing w:line="360" w:lineRule="auto"/>
        <w:ind w:firstLine="5000" w:firstLineChars="2500"/>
        <w:rPr>
          <w:rFonts w:hAnsi="宋体" w:cs="宋体"/>
          <w:color w:val="000000"/>
        </w:rPr>
      </w:pPr>
      <w:r>
        <w:rPr>
          <w:rFonts w:hint="eastAsia" w:hAnsi="宋体" w:cs="宋体"/>
          <w:color w:val="000000"/>
        </w:rPr>
        <w:t>日期：   年  月  日</w:t>
      </w:r>
    </w:p>
    <w:tbl>
      <w:tblPr>
        <w:tblStyle w:val="30"/>
        <w:tblpPr w:leftFromText="180" w:rightFromText="180" w:vertAnchor="page" w:horzAnchor="page" w:tblpX="1573" w:tblpY="25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752"/>
        <w:gridCol w:w="3826"/>
        <w:gridCol w:w="15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3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项目编号</w:t>
            </w:r>
          </w:p>
        </w:tc>
        <w:tc>
          <w:tcPr>
            <w:tcW w:w="6530"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3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6530"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1"/>
              </w:rPr>
            </w:pPr>
            <w:r>
              <w:rPr>
                <w:rFonts w:hint="eastAsia" w:ascii="宋体" w:hAnsi="宋体"/>
                <w:color w:val="000000"/>
                <w:szCs w:val="21"/>
              </w:rPr>
              <w:t>序号</w:t>
            </w:r>
          </w:p>
        </w:tc>
        <w:tc>
          <w:tcPr>
            <w:tcW w:w="17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1"/>
              </w:rPr>
            </w:pPr>
            <w:r>
              <w:rPr>
                <w:rFonts w:hint="eastAsia" w:ascii="宋体" w:hAnsi="宋体"/>
                <w:color w:val="000000"/>
                <w:szCs w:val="21"/>
              </w:rPr>
              <w:t>名称</w:t>
            </w:r>
          </w:p>
        </w:tc>
        <w:tc>
          <w:tcPr>
            <w:tcW w:w="38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1"/>
              </w:rPr>
            </w:pPr>
            <w:r>
              <w:rPr>
                <w:rFonts w:hint="eastAsia" w:ascii="宋体" w:hAnsi="宋体"/>
                <w:color w:val="000000"/>
                <w:szCs w:val="21"/>
              </w:rPr>
              <w:t>采购文件的商务条款</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1"/>
              </w:rPr>
            </w:pPr>
            <w:r>
              <w:rPr>
                <w:rFonts w:hint="eastAsia" w:ascii="宋体" w:hAnsi="宋体"/>
                <w:color w:val="000000"/>
                <w:szCs w:val="21"/>
              </w:rPr>
              <w:t>供应商响应</w:t>
            </w:r>
          </w:p>
        </w:tc>
        <w:tc>
          <w:tcPr>
            <w:tcW w:w="114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1</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供应商的关联性</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ascii="宋体" w:hAnsi="宋体"/>
                <w:color w:val="000000"/>
                <w:szCs w:val="21"/>
              </w:rPr>
              <w:t>单位负责人为同一人或者存在直接控股、管理关系的不同供应商，不得参加同一合同项下的政府采购活动</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i/>
                <w:color w:val="000000"/>
                <w:szCs w:val="21"/>
                <w:u w:val="single"/>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2</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szCs w:val="21"/>
              </w:rPr>
              <w:t>公平竞争原则</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000000"/>
                <w:szCs w:val="21"/>
              </w:rPr>
            </w:pPr>
            <w:r>
              <w:rPr>
                <w:rFonts w:hint="eastAsia" w:ascii="宋体" w:hAnsi="宋体" w:cs="宋体"/>
                <w:color w:val="000000"/>
                <w:szCs w:val="21"/>
              </w:rPr>
              <w:t>为采购项目提供整体设计、规范编制或者项目管理、监理、检测等服务的供应商，不得再参加该采购项目的其他采购活动</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3</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bCs/>
                <w:color w:val="000000"/>
              </w:rPr>
              <w:t>失信被执行人、重大税收违法案件当事人名单，以及重大违法纪录</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szCs w:val="21"/>
              </w:rPr>
            </w:pPr>
            <w:r>
              <w:rPr>
                <w:rFonts w:hint="eastAsia" w:ascii="宋体" w:hAnsi="宋体" w:cs="宋体"/>
                <w:color w:val="000000"/>
                <w:szCs w:val="21"/>
              </w:rPr>
              <w:t>供应商不得</w:t>
            </w:r>
            <w:r>
              <w:rPr>
                <w:rFonts w:hint="eastAsia" w:ascii="宋体" w:hAnsi="宋体" w:cs="宋体"/>
                <w:bCs/>
                <w:color w:val="000000"/>
              </w:rPr>
              <w:t>在中国政府采购网被列入政府采购严重违法失信行为记录名单，或在“信用中国”网站被列入失信被执行人、重大税收违法案件当事人名单，以及存在《政府采购法实施条例》第十九条规定的行政处罚记录</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4</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投标有效期满足要求</w:t>
            </w:r>
          </w:p>
        </w:tc>
        <w:tc>
          <w:tcPr>
            <w:tcW w:w="382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rPr>
            </w:pPr>
            <w:r>
              <w:rPr>
                <w:rFonts w:hint="eastAsia" w:ascii="宋体" w:hAnsi="宋体"/>
                <w:color w:val="000000"/>
              </w:rPr>
              <w:t>提交响应文件截止之日起</w:t>
            </w:r>
            <w:r>
              <w:rPr>
                <w:rFonts w:hint="eastAsia" w:ascii="宋体" w:hAnsi="宋体"/>
                <w:color w:val="000000"/>
                <w:u w:val="single"/>
              </w:rPr>
              <w:t>60</w:t>
            </w:r>
            <w:r>
              <w:rPr>
                <w:rFonts w:hint="eastAsia" w:ascii="宋体" w:hAnsi="宋体"/>
                <w:color w:val="000000"/>
              </w:rPr>
              <w:t>个日历日</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5</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szCs w:val="21"/>
              </w:rPr>
              <w:t>响应文件格式及要求</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000000"/>
                <w:szCs w:val="21"/>
              </w:rPr>
            </w:pPr>
            <w:r>
              <w:rPr>
                <w:rFonts w:hint="eastAsia" w:ascii="宋体" w:hAnsi="宋体" w:cs="宋体"/>
                <w:color w:val="000000"/>
                <w:szCs w:val="21"/>
              </w:rPr>
              <w:t>按采购文件提供的响应文件格式及要求编写响应文件</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6</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响应文件的签署和盖章符合要求</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000000"/>
                <w:szCs w:val="21"/>
              </w:rPr>
            </w:pPr>
            <w:r>
              <w:rPr>
                <w:rFonts w:hint="eastAsia" w:ascii="宋体" w:hAnsi="宋体"/>
                <w:color w:val="000000"/>
                <w:szCs w:val="21"/>
              </w:rPr>
              <w:t>按照采购文件规定要求签署、盖章。</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7</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满足投标范围的完整性要求</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olor w:val="000000"/>
                <w:szCs w:val="21"/>
              </w:rPr>
              <w:t>供应商</w:t>
            </w:r>
            <w:r>
              <w:rPr>
                <w:rFonts w:ascii="宋体" w:hAnsi="宋体"/>
                <w:color w:val="000000"/>
                <w:szCs w:val="21"/>
              </w:rPr>
              <w:t>对所投采购包</w:t>
            </w:r>
            <w:r>
              <w:rPr>
                <w:rFonts w:hint="eastAsia" w:ascii="宋体" w:hAnsi="宋体"/>
                <w:color w:val="000000"/>
                <w:szCs w:val="21"/>
              </w:rPr>
              <w:t>采购文件中所列的所有内容进行投标。</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8</w:t>
            </w:r>
          </w:p>
        </w:tc>
        <w:tc>
          <w:tcPr>
            <w:tcW w:w="1752" w:type="dxa"/>
            <w:tcBorders>
              <w:top w:val="single" w:color="auto" w:sz="4" w:space="0"/>
              <w:left w:val="single" w:color="auto" w:sz="4" w:space="0"/>
              <w:bottom w:val="single" w:color="auto" w:sz="4" w:space="0"/>
              <w:right w:val="single" w:color="auto" w:sz="4" w:space="0"/>
            </w:tcBorders>
            <w:noWrap/>
            <w:vAlign w:val="center"/>
          </w:tcPr>
          <w:p>
            <w:pPr>
              <w:jc w:val="center"/>
              <w:rPr>
                <w:color w:val="000000"/>
              </w:rPr>
            </w:pPr>
            <w:r>
              <w:rPr>
                <w:rFonts w:hint="eastAsia"/>
                <w:color w:val="000000"/>
              </w:rPr>
              <w:t>接受采购人的付款方式，对采购文件中的实质性要求无负偏离</w:t>
            </w:r>
          </w:p>
        </w:tc>
        <w:tc>
          <w:tcPr>
            <w:tcW w:w="3826" w:type="dxa"/>
            <w:tcBorders>
              <w:top w:val="single" w:color="auto" w:sz="4" w:space="0"/>
              <w:left w:val="single" w:color="auto" w:sz="4" w:space="0"/>
              <w:bottom w:val="single" w:color="auto" w:sz="4" w:space="0"/>
              <w:right w:val="single" w:color="auto" w:sz="4" w:space="0"/>
            </w:tcBorders>
            <w:noWrap/>
            <w:vAlign w:val="center"/>
          </w:tcPr>
          <w:p>
            <w:pPr>
              <w:rPr>
                <w:color w:val="000000"/>
              </w:rPr>
            </w:pPr>
            <w:r>
              <w:rPr>
                <w:rFonts w:hint="eastAsia"/>
                <w:color w:val="000000"/>
              </w:rPr>
              <w:t>接受采购人采购资金的支付方式、时间、条件（付款方式），对采购文件要求的免费质保期（合同履行期限）、交付或者实施的时间、地点等实质性要求无负偏离。</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r>
              <w:rPr>
                <w:rFonts w:hint="eastAsia" w:ascii="宋体" w:hAnsi="宋体" w:cs="宋体"/>
                <w:color w:val="000000"/>
                <w:szCs w:val="21"/>
              </w:rPr>
              <w:t>9</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olor w:val="000000"/>
                <w:szCs w:val="21"/>
              </w:rPr>
              <w:t>无采购人不能接受的附加条件</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olor w:val="000000"/>
                <w:szCs w:val="21"/>
              </w:rPr>
              <w:t>响应文件未含有采购人不能接受的附加条件。</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noWrap/>
            <w:vAlign w:val="center"/>
          </w:tcPr>
          <w:p>
            <w:pPr>
              <w:pStyle w:val="17"/>
              <w:jc w:val="center"/>
              <w:rPr>
                <w:rFonts w:hAnsi="宋体" w:cs="Courier New"/>
                <w:color w:val="000000"/>
                <w:kern w:val="2"/>
                <w:sz w:val="21"/>
                <w:szCs w:val="22"/>
              </w:rPr>
            </w:pPr>
          </w:p>
        </w:tc>
        <w:tc>
          <w:tcPr>
            <w:tcW w:w="38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000000"/>
                <w:szCs w:val="21"/>
                <w:u w:val="singl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noWrap/>
            <w:vAlign w:val="center"/>
          </w:tcPr>
          <w:p>
            <w:pPr>
              <w:pStyle w:val="17"/>
              <w:jc w:val="center"/>
              <w:rPr>
                <w:rFonts w:hAnsi="宋体" w:cs="Courier New"/>
                <w:color w:val="000000"/>
                <w:kern w:val="2"/>
                <w:sz w:val="21"/>
                <w:szCs w:val="22"/>
              </w:rPr>
            </w:pPr>
          </w:p>
        </w:tc>
        <w:tc>
          <w:tcPr>
            <w:tcW w:w="382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
                <w:color w:val="000000"/>
                <w:szCs w:val="21"/>
                <w:u w:val="singl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color w:val="000000"/>
                <w:szCs w:val="21"/>
                <w:u w:val="single"/>
              </w:rPr>
            </w:pPr>
          </w:p>
        </w:tc>
        <w:tc>
          <w:tcPr>
            <w:tcW w:w="38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szCs w:val="21"/>
                <w:u w:val="single"/>
              </w:rPr>
            </w:pPr>
            <w:r>
              <w:rPr>
                <w:rFonts w:hint="eastAsia" w:ascii="宋体" w:hAnsi="宋体"/>
                <w:i/>
                <w:color w:val="000000"/>
                <w:szCs w:val="21"/>
                <w:u w:val="single"/>
              </w:rPr>
              <w:t>行数不够，可按本表格式自行添加</w:t>
            </w:r>
          </w:p>
        </w:tc>
        <w:tc>
          <w:tcPr>
            <w:tcW w:w="15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23"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b/>
                <w:color w:val="000000"/>
                <w:szCs w:val="21"/>
                <w:u w:val="single"/>
              </w:rPr>
            </w:pPr>
            <w:r>
              <w:rPr>
                <w:rFonts w:hint="eastAsia" w:ascii="宋体" w:hAnsi="宋体"/>
                <w:b/>
                <w:color w:val="000000"/>
                <w:szCs w:val="21"/>
                <w:u w:val="single"/>
              </w:rPr>
              <w:t>法定代表人或其委托</w:t>
            </w:r>
            <w:r>
              <w:rPr>
                <w:rFonts w:ascii="宋体" w:hAnsi="宋体"/>
                <w:b/>
                <w:color w:val="000000"/>
                <w:szCs w:val="21"/>
                <w:u w:val="single"/>
              </w:rPr>
              <w:t>代理人</w:t>
            </w:r>
            <w:r>
              <w:rPr>
                <w:rFonts w:hint="eastAsia" w:ascii="宋体" w:hAnsi="宋体"/>
                <w:b/>
                <w:color w:val="000000"/>
                <w:szCs w:val="21"/>
                <w:u w:val="single"/>
              </w:rPr>
              <w:t xml:space="preserve">（签字）：                       </w:t>
            </w:r>
            <w:r>
              <w:rPr>
                <w:rFonts w:hint="eastAsia" w:ascii="宋体" w:hAnsi="宋体"/>
                <w:b/>
                <w:color w:val="000000"/>
                <w:szCs w:val="21"/>
                <w:u w:val="single"/>
              </w:rPr>
              <w:tab/>
            </w:r>
          </w:p>
          <w:p>
            <w:pPr>
              <w:rPr>
                <w:rFonts w:ascii="宋体" w:hAnsi="宋体" w:cs="宋体"/>
                <w:color w:val="000000"/>
                <w:szCs w:val="21"/>
              </w:rPr>
            </w:pPr>
            <w:r>
              <w:rPr>
                <w:rFonts w:hint="eastAsia" w:ascii="宋体" w:hAnsi="宋体"/>
                <w:b/>
                <w:color w:val="000000"/>
                <w:szCs w:val="21"/>
                <w:u w:val="single"/>
              </w:rPr>
              <w:t xml:space="preserve">供应商(盖单位章)：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23"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1"/>
              </w:rPr>
            </w:pPr>
            <w:r>
              <w:rPr>
                <w:rFonts w:hint="eastAsia" w:ascii="宋体" w:hAnsi="宋体"/>
                <w:color w:val="000000"/>
                <w:szCs w:val="21"/>
              </w:rPr>
              <w:t>注：</w:t>
            </w:r>
          </w:p>
          <w:p>
            <w:pPr>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供应商需按采购文件中对采购需求文档中的主要要求进行应答。</w:t>
            </w:r>
          </w:p>
          <w:p>
            <w:pPr>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用“满足/不满足/”响应来表明该要求是否被满足。</w:t>
            </w:r>
          </w:p>
        </w:tc>
      </w:tr>
    </w:tbl>
    <w:p>
      <w:pPr>
        <w:pStyle w:val="9"/>
        <w:jc w:val="center"/>
        <w:rPr>
          <w:rFonts w:ascii="宋体" w:hAnsi="宋体" w:eastAsia="宋体" w:cs="宋体"/>
          <w:b/>
          <w:kern w:val="2"/>
          <w:szCs w:val="28"/>
        </w:rPr>
      </w:pPr>
      <w:r>
        <w:rPr>
          <w:rFonts w:hint="eastAsia" w:ascii="宋体" w:hAnsi="宋体" w:eastAsia="宋体" w:cs="宋体"/>
          <w:b/>
          <w:kern w:val="2"/>
          <w:szCs w:val="28"/>
        </w:rPr>
        <w:t>六、商务条款偏离表（格式）</w:t>
      </w:r>
    </w:p>
    <w:p>
      <w:pPr>
        <w:pStyle w:val="17"/>
        <w:tabs>
          <w:tab w:val="left" w:pos="5580"/>
        </w:tabs>
        <w:spacing w:line="360" w:lineRule="auto"/>
        <w:ind w:firstLine="5000" w:firstLineChars="2500"/>
        <w:rPr>
          <w:rFonts w:hAnsi="宋体" w:cs="宋体"/>
          <w:color w:val="000000"/>
        </w:rPr>
      </w:pPr>
    </w:p>
    <w:p>
      <w:pPr>
        <w:rPr>
          <w:rFonts w:ascii="宋体" w:hAnsi="宋体" w:cs="宋体"/>
          <w:b/>
          <w:color w:val="000000"/>
          <w:szCs w:val="21"/>
        </w:rPr>
      </w:pPr>
    </w:p>
    <w:p>
      <w:pPr>
        <w:spacing w:line="360" w:lineRule="auto"/>
        <w:rPr>
          <w:rFonts w:ascii="宋体" w:hAnsi="宋体"/>
          <w:b/>
          <w:color w:val="000000"/>
          <w:sz w:val="24"/>
        </w:rPr>
      </w:pPr>
    </w:p>
    <w:p>
      <w:pPr>
        <w:spacing w:line="360" w:lineRule="auto"/>
        <w:jc w:val="center"/>
        <w:rPr>
          <w:rFonts w:ascii="宋体" w:hAnsi="宋体"/>
          <w:b/>
          <w:color w:val="000000"/>
          <w:szCs w:val="21"/>
        </w:rPr>
      </w:pPr>
    </w:p>
    <w:p>
      <w:pPr>
        <w:pStyle w:val="28"/>
        <w:ind w:firstLine="210"/>
      </w:pPr>
    </w:p>
    <w:p/>
    <w:p>
      <w:pPr>
        <w:pStyle w:val="9"/>
        <w:jc w:val="center"/>
        <w:rPr>
          <w:rFonts w:ascii="宋体" w:hAnsi="宋体" w:eastAsia="宋体" w:cs="宋体"/>
          <w:b/>
          <w:kern w:val="2"/>
          <w:szCs w:val="28"/>
        </w:rPr>
      </w:pPr>
      <w:r>
        <w:rPr>
          <w:rFonts w:hint="eastAsia" w:ascii="宋体" w:hAnsi="宋体" w:eastAsia="宋体" w:cs="宋体"/>
          <w:b/>
          <w:kern w:val="2"/>
          <w:szCs w:val="28"/>
        </w:rPr>
        <w:t>七、投标（响应）分项报价表（格式）</w:t>
      </w:r>
    </w:p>
    <w:tbl>
      <w:tblPr>
        <w:tblStyle w:val="30"/>
        <w:tblpPr w:leftFromText="180" w:rightFromText="180" w:vertAnchor="text" w:horzAnchor="margin" w:tblpXSpec="center" w:tblpY="318"/>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2835"/>
        <w:gridCol w:w="851"/>
        <w:gridCol w:w="850"/>
        <w:gridCol w:w="851"/>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65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项目编号</w:t>
            </w:r>
          </w:p>
        </w:tc>
        <w:tc>
          <w:tcPr>
            <w:tcW w:w="630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65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6306"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675"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序号</w:t>
            </w:r>
          </w:p>
        </w:tc>
        <w:tc>
          <w:tcPr>
            <w:tcW w:w="2977"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分项名称</w:t>
            </w:r>
          </w:p>
          <w:p>
            <w:pPr>
              <w:jc w:val="center"/>
              <w:rPr>
                <w:rFonts w:ascii="宋体" w:hAnsi="宋体"/>
                <w:szCs w:val="21"/>
              </w:rPr>
            </w:pPr>
            <w:r>
              <w:rPr>
                <w:rFonts w:hint="eastAsia" w:ascii="宋体" w:hAnsi="宋体"/>
                <w:szCs w:val="21"/>
              </w:rPr>
              <w:t>（品目）</w:t>
            </w:r>
          </w:p>
        </w:tc>
        <w:tc>
          <w:tcPr>
            <w:tcW w:w="2835"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相关说明</w:t>
            </w:r>
          </w:p>
          <w:p>
            <w:pPr>
              <w:jc w:val="center"/>
              <w:rPr>
                <w:rFonts w:ascii="宋体" w:hAnsi="宋体"/>
                <w:szCs w:val="21"/>
              </w:rPr>
            </w:pPr>
            <w:r>
              <w:rPr>
                <w:rFonts w:hint="eastAsia" w:ascii="宋体" w:hAnsi="宋体"/>
                <w:szCs w:val="21"/>
              </w:rPr>
              <w:t>（服务中的有关说明等）</w:t>
            </w:r>
          </w:p>
        </w:tc>
        <w:tc>
          <w:tcPr>
            <w:tcW w:w="851"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数量</w:t>
            </w:r>
          </w:p>
        </w:tc>
        <w:tc>
          <w:tcPr>
            <w:tcW w:w="850"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单价</w:t>
            </w:r>
          </w:p>
        </w:tc>
        <w:tc>
          <w:tcPr>
            <w:tcW w:w="851"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总价</w:t>
            </w:r>
          </w:p>
        </w:tc>
        <w:tc>
          <w:tcPr>
            <w:tcW w:w="919" w:type="dxa"/>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1</w:t>
            </w:r>
          </w:p>
        </w:tc>
        <w:tc>
          <w:tcPr>
            <w:tcW w:w="2977"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i/>
                <w:szCs w:val="21"/>
              </w:rPr>
            </w:pPr>
            <w:r>
              <w:rPr>
                <w:rFonts w:hint="eastAsia" w:ascii="宋体" w:hAnsi="宋体"/>
                <w:i/>
                <w:szCs w:val="21"/>
              </w:rPr>
              <w:t>分部分项工程</w:t>
            </w:r>
          </w:p>
        </w:tc>
        <w:tc>
          <w:tcPr>
            <w:tcW w:w="2835"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1.1</w:t>
            </w:r>
          </w:p>
        </w:tc>
        <w:tc>
          <w:tcPr>
            <w:tcW w:w="2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szCs w:val="21"/>
              </w:rPr>
            </w:pPr>
          </w:p>
        </w:tc>
        <w:tc>
          <w:tcPr>
            <w:tcW w:w="2835" w:type="dxa"/>
            <w:tcBorders>
              <w:top w:val="single" w:color="auto" w:sz="4" w:space="0"/>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1.2</w:t>
            </w:r>
          </w:p>
        </w:tc>
        <w:tc>
          <w:tcPr>
            <w:tcW w:w="2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szCs w:val="21"/>
              </w:rPr>
            </w:pPr>
          </w:p>
        </w:tc>
        <w:tc>
          <w:tcPr>
            <w:tcW w:w="2835" w:type="dxa"/>
            <w:tcBorders>
              <w:top w:val="single" w:color="auto" w:sz="4" w:space="0"/>
              <w:left w:val="single" w:color="auto" w:sz="4" w:space="0"/>
              <w:right w:val="single" w:color="auto" w:sz="4" w:space="0"/>
            </w:tcBorders>
            <w:noWrap/>
            <w:vAlign w:val="center"/>
          </w:tcPr>
          <w:p>
            <w:pPr>
              <w:rPr>
                <w:b/>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1.3</w:t>
            </w:r>
          </w:p>
        </w:tc>
        <w:tc>
          <w:tcPr>
            <w:tcW w:w="2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szCs w:val="21"/>
              </w:rPr>
            </w:pPr>
          </w:p>
        </w:tc>
        <w:tc>
          <w:tcPr>
            <w:tcW w:w="2835" w:type="dxa"/>
            <w:tcBorders>
              <w:top w:val="single" w:color="auto" w:sz="4" w:space="0"/>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2</w:t>
            </w: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措施项目</w:t>
            </w: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2.1</w:t>
            </w: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其中：安全文明施工费</w:t>
            </w: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3</w:t>
            </w: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其他项目</w:t>
            </w: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3.1</w:t>
            </w: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其中：暂列金额</w:t>
            </w: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3.2</w:t>
            </w: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其中：专业工程暂估价</w:t>
            </w: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3.3</w:t>
            </w: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其中：计日工</w:t>
            </w: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3.4</w:t>
            </w: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其中：总承包服务费</w:t>
            </w: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4</w:t>
            </w: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规费</w:t>
            </w:r>
          </w:p>
        </w:tc>
        <w:tc>
          <w:tcPr>
            <w:tcW w:w="2835" w:type="dxa"/>
            <w:tcBorders>
              <w:left w:val="single" w:color="auto" w:sz="4" w:space="0"/>
              <w:right w:val="single" w:color="auto" w:sz="4" w:space="0"/>
            </w:tcBorders>
            <w:noWrap/>
            <w:vAlign w:val="center"/>
          </w:tcPr>
          <w:p>
            <w:pPr>
              <w:rPr>
                <w:b/>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5</w:t>
            </w:r>
          </w:p>
        </w:tc>
        <w:tc>
          <w:tcPr>
            <w:tcW w:w="297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szCs w:val="21"/>
              </w:rPr>
            </w:pPr>
            <w:r>
              <w:rPr>
                <w:rFonts w:hint="eastAsia" w:ascii="宋体" w:hAnsi="宋体"/>
                <w:i/>
                <w:szCs w:val="21"/>
              </w:rPr>
              <w:t>税金</w:t>
            </w: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bottom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rFonts w:ascii="黑体" w:eastAsia="黑体"/>
                <w:i/>
                <w:szCs w:val="21"/>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i/>
                <w:szCs w:val="21"/>
              </w:rPr>
            </w:pPr>
          </w:p>
        </w:tc>
        <w:tc>
          <w:tcPr>
            <w:tcW w:w="2835" w:type="dxa"/>
            <w:tcBorders>
              <w:left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bottom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2977" w:type="dxa"/>
            <w:tcBorders>
              <w:top w:val="single" w:color="auto" w:sz="4" w:space="0"/>
              <w:left w:val="single" w:color="auto" w:sz="4" w:space="0"/>
              <w:bottom w:val="single" w:color="auto" w:sz="4" w:space="0"/>
              <w:right w:val="single" w:color="auto" w:sz="4" w:space="0"/>
            </w:tcBorders>
            <w:noWrap/>
            <w:vAlign w:val="center"/>
          </w:tcPr>
          <w:p>
            <w:pPr>
              <w:rPr>
                <w:b/>
                <w:i/>
                <w:u w:val="single"/>
              </w:rPr>
            </w:pPr>
            <w:r>
              <w:rPr>
                <w:rFonts w:hint="eastAsia"/>
                <w:b/>
                <w:i/>
                <w:u w:val="single"/>
              </w:rPr>
              <w:t>以上</w:t>
            </w:r>
            <w:r>
              <w:rPr>
                <w:b/>
                <w:i/>
                <w:u w:val="single"/>
              </w:rPr>
              <w:t>仅</w:t>
            </w:r>
            <w:r>
              <w:rPr>
                <w:rFonts w:hint="eastAsia"/>
                <w:b/>
                <w:i/>
                <w:u w:val="single"/>
              </w:rPr>
              <w:t>示</w:t>
            </w:r>
            <w:r>
              <w:rPr>
                <w:b/>
                <w:i/>
                <w:u w:val="single"/>
              </w:rPr>
              <w:t>例</w:t>
            </w:r>
            <w:r>
              <w:rPr>
                <w:rFonts w:hint="eastAsia"/>
                <w:b/>
                <w:i/>
                <w:u w:val="single"/>
              </w:rPr>
              <w:t>如何填写，与投标内容无关</w:t>
            </w:r>
          </w:p>
        </w:tc>
        <w:tc>
          <w:tcPr>
            <w:tcW w:w="2835" w:type="dxa"/>
            <w:tcBorders>
              <w:left w:val="single" w:color="auto" w:sz="4" w:space="0"/>
              <w:right w:val="single" w:color="auto" w:sz="4" w:space="0"/>
            </w:tcBorders>
            <w:noWrap/>
            <w:vAlign w:val="center"/>
          </w:tcPr>
          <w:p>
            <w:pPr>
              <w:rPr>
                <w:b/>
                <w:i/>
                <w:u w:val="single"/>
              </w:rPr>
            </w:pPr>
            <w:r>
              <w:rPr>
                <w:rFonts w:hint="eastAsia"/>
                <w:b/>
                <w:i/>
                <w:u w:val="single"/>
              </w:rPr>
              <w:t>行数不够，可按本表格式自行添加</w:t>
            </w: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0"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851" w:type="dxa"/>
            <w:tcBorders>
              <w:top w:val="single" w:color="auto" w:sz="4" w:space="0"/>
              <w:left w:val="single" w:color="auto" w:sz="4" w:space="0"/>
              <w:bottom w:val="single" w:color="auto" w:sz="4" w:space="0"/>
              <w:right w:val="single" w:color="auto" w:sz="4" w:space="0"/>
            </w:tcBorders>
            <w:noWrap/>
            <w:vAlign w:val="center"/>
          </w:tcPr>
          <w:p>
            <w:pPr>
              <w:rPr>
                <w:i/>
                <w:u w:val="single"/>
              </w:rPr>
            </w:pPr>
          </w:p>
        </w:tc>
        <w:tc>
          <w:tcPr>
            <w:tcW w:w="919" w:type="dxa"/>
            <w:tcBorders>
              <w:left w:val="single" w:color="auto" w:sz="4" w:space="0"/>
              <w:bottom w:val="single" w:color="auto" w:sz="4" w:space="0"/>
              <w:right w:val="single" w:color="auto" w:sz="4" w:space="0"/>
            </w:tcBorders>
            <w:noWrap/>
            <w:vAlign w:val="center"/>
          </w:tcPr>
          <w:p>
            <w:pPr>
              <w:rPr>
                <w: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9958" w:type="dxa"/>
            <w:gridSpan w:val="7"/>
            <w:tcBorders>
              <w:top w:val="single" w:color="auto" w:sz="4" w:space="0"/>
              <w:left w:val="single" w:color="auto" w:sz="4" w:space="0"/>
              <w:bottom w:val="single" w:color="auto" w:sz="4" w:space="0"/>
              <w:right w:val="single" w:color="auto" w:sz="4" w:space="0"/>
            </w:tcBorders>
            <w:noWrap/>
            <w:vAlign w:val="center"/>
          </w:tcPr>
          <w:p>
            <w:pPr>
              <w:spacing w:line="480" w:lineRule="auto"/>
              <w:rPr>
                <w:rFonts w:ascii="宋体" w:hAnsi="宋体" w:cs="宋体"/>
              </w:rPr>
            </w:pPr>
            <w:r>
              <w:rPr>
                <w:rFonts w:hint="eastAsia" w:ascii="宋体" w:hAnsi="宋体"/>
                <w:b/>
              </w:rPr>
              <w:t>总价</w:t>
            </w:r>
            <w:r>
              <w:rPr>
                <w:rFonts w:hint="eastAsia" w:ascii="宋体" w:hAnsi="宋体" w:cs="宋体"/>
                <w:b/>
              </w:rPr>
              <w:t>（人民币）：</w:t>
            </w:r>
            <w:r>
              <w:rPr>
                <w:rFonts w:hint="eastAsia" w:ascii="宋体" w:hAnsi="宋体" w:cs="宋体"/>
                <w:b/>
                <w:szCs w:val="21"/>
                <w:u w:val="single"/>
              </w:rPr>
              <w:t xml:space="preserve">                元（小写）</w:t>
            </w:r>
            <w:r>
              <w:rPr>
                <w:rFonts w:hint="eastAsia" w:ascii="宋体" w:hAnsi="宋体"/>
                <w:b/>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58" w:type="dxa"/>
            <w:gridSpan w:val="7"/>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rPr>
            </w:pPr>
            <w:r>
              <w:rPr>
                <w:rFonts w:hint="eastAsia" w:ascii="宋体" w:hAnsi="宋体" w:cs="宋体"/>
              </w:rPr>
              <w:t>法定代表人或</w:t>
            </w:r>
            <w:r>
              <w:rPr>
                <w:rFonts w:hint="eastAsia" w:ascii="宋体" w:hAnsi="宋体"/>
                <w:szCs w:val="21"/>
              </w:rPr>
              <w:t>其委托</w:t>
            </w:r>
            <w:r>
              <w:rPr>
                <w:rFonts w:ascii="宋体" w:hAnsi="宋体"/>
                <w:szCs w:val="21"/>
              </w:rPr>
              <w:t>代理人</w:t>
            </w:r>
            <w:r>
              <w:rPr>
                <w:rFonts w:hint="eastAsia" w:ascii="宋体" w:hAnsi="宋体" w:cs="宋体"/>
              </w:rPr>
              <w:t>（签字）</w:t>
            </w:r>
            <w:r>
              <w:rPr>
                <w:rFonts w:hint="eastAsia" w:ascii="宋体" w:hAnsi="宋体" w:cs="宋体"/>
                <w:u w:val="single"/>
              </w:rPr>
              <w:t xml:space="preserve">：                     </w:t>
            </w:r>
          </w:p>
          <w:p>
            <w:pPr>
              <w:spacing w:line="360" w:lineRule="auto"/>
              <w:rPr>
                <w:rFonts w:ascii="宋体" w:hAnsi="宋体" w:cs="宋体"/>
              </w:rPr>
            </w:pPr>
            <w:r>
              <w:rPr>
                <w:rFonts w:hint="eastAsia" w:ascii="宋体" w:hAnsi="宋体" w:cs="宋体"/>
              </w:rPr>
              <w:t>投标人(盖单位章)</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58" w:type="dxa"/>
            <w:gridSpan w:val="7"/>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pPr>
            <w:r>
              <w:rPr>
                <w:rFonts w:hint="eastAsia"/>
              </w:rPr>
              <w:t>注：1.如果本表与报价一览表（报价表）内容不一致的，以报价一览表（报价表）内容为准。</w:t>
            </w:r>
          </w:p>
          <w:p>
            <w:pPr>
              <w:spacing w:line="360" w:lineRule="auto"/>
              <w:ind w:firstLine="840" w:firstLineChars="400"/>
            </w:pPr>
            <w:r>
              <w:rPr>
                <w:rFonts w:hint="eastAsia"/>
              </w:rPr>
              <w:t>2.如果不提供详细分项报价将视为没有实质性响应招标文件。</w:t>
            </w:r>
          </w:p>
          <w:p>
            <w:pPr>
              <w:spacing w:line="360" w:lineRule="auto"/>
              <w:ind w:firstLine="840" w:firstLineChars="400"/>
            </w:pPr>
            <w:r>
              <w:rPr>
                <w:rFonts w:hint="eastAsia"/>
              </w:rPr>
              <w:t>3.上述各项的详细分项报价，可以另页描述。</w:t>
            </w:r>
          </w:p>
          <w:p>
            <w:pPr>
              <w:spacing w:line="360" w:lineRule="auto"/>
              <w:ind w:firstLine="840" w:firstLineChars="400"/>
            </w:pPr>
            <w:r>
              <w:rPr>
                <w:rFonts w:hint="eastAsia"/>
              </w:rPr>
              <w:t>4.如果投标人认为需要，可以每种品目填写一份该表。</w:t>
            </w:r>
          </w:p>
          <w:p>
            <w:pPr>
              <w:spacing w:line="360" w:lineRule="auto"/>
              <w:ind w:firstLine="840" w:firstLineChars="400"/>
            </w:pPr>
            <w:r>
              <w:rPr>
                <w:rFonts w:hint="eastAsia"/>
              </w:rPr>
              <w:t>5.</w:t>
            </w:r>
            <w:r>
              <w:rPr>
                <w:rFonts w:hint="eastAsia" w:ascii="宋体" w:hAnsi="宋体" w:cs="宋体"/>
                <w:szCs w:val="21"/>
              </w:rPr>
              <w:t>最后报价低于首次报价的，所有</w:t>
            </w:r>
            <w:r>
              <w:rPr>
                <w:rFonts w:hint="eastAsia" w:ascii="宋体" w:hAnsi="宋体"/>
                <w:szCs w:val="21"/>
              </w:rPr>
              <w:t>分项报价按总价下浮比同比下浮。</w:t>
            </w:r>
          </w:p>
        </w:tc>
      </w:tr>
    </w:tbl>
    <w:p>
      <w:pPr>
        <w:widowControl/>
        <w:spacing w:line="360" w:lineRule="auto"/>
        <w:jc w:val="left"/>
        <w:rPr>
          <w:rFonts w:ascii="宋体" w:hAnsi="宋体" w:cs="宋体"/>
          <w:b/>
          <w:color w:val="000000"/>
          <w:sz w:val="28"/>
          <w:szCs w:val="28"/>
        </w:rPr>
        <w:sectPr>
          <w:headerReference r:id="rId4" w:type="default"/>
          <w:footerReference r:id="rId5" w:type="default"/>
          <w:pgSz w:w="11906" w:h="16838"/>
          <w:pgMar w:top="1134" w:right="1077" w:bottom="1418" w:left="1191" w:header="851" w:footer="992" w:gutter="0"/>
          <w:cols w:space="720" w:num="1"/>
          <w:docGrid w:type="lines" w:linePitch="312" w:charSpace="0"/>
        </w:sectPr>
      </w:pPr>
    </w:p>
    <w:p>
      <w:pPr>
        <w:keepNext/>
        <w:keepLines/>
        <w:shd w:val="clear" w:color="auto" w:fill="FFFFFF"/>
        <w:snapToGrid w:val="0"/>
        <w:spacing w:before="260" w:after="260" w:line="480" w:lineRule="auto"/>
        <w:ind w:firstLine="137"/>
        <w:jc w:val="center"/>
        <w:outlineLvl w:val="2"/>
        <w:rPr>
          <w:b/>
          <w:color w:val="000000"/>
          <w:sz w:val="32"/>
          <w:szCs w:val="20"/>
        </w:rPr>
      </w:pPr>
      <w:bookmarkStart w:id="335" w:name="_Toc6843"/>
      <w:bookmarkStart w:id="336" w:name="_Toc11137"/>
      <w:bookmarkStart w:id="337" w:name="_Toc21271"/>
      <w:r>
        <w:rPr>
          <w:rFonts w:hint="eastAsia" w:ascii="新宋体" w:hAnsi="新宋体" w:eastAsia="新宋体"/>
          <w:b/>
          <w:color w:val="000000"/>
          <w:sz w:val="32"/>
          <w:szCs w:val="20"/>
        </w:rPr>
        <w:t>工程量清单</w:t>
      </w:r>
      <w:bookmarkEnd w:id="335"/>
      <w:bookmarkEnd w:id="336"/>
      <w:bookmarkEnd w:id="337"/>
    </w:p>
    <w:p>
      <w:pPr>
        <w:spacing w:line="360" w:lineRule="auto"/>
        <w:ind w:firstLine="482" w:firstLineChars="200"/>
        <w:jc w:val="left"/>
        <w:rPr>
          <w:rFonts w:ascii="宋体" w:hAnsi="宋体" w:cs="宋体"/>
          <w:b/>
          <w:color w:val="000000"/>
          <w:sz w:val="36"/>
          <w:szCs w:val="28"/>
        </w:rPr>
      </w:pPr>
      <w:r>
        <w:rPr>
          <w:rFonts w:hint="eastAsia" w:ascii="宋体" w:hAnsi="宋体" w:cs="宋体"/>
          <w:b/>
          <w:color w:val="000000"/>
          <w:sz w:val="24"/>
          <w:szCs w:val="21"/>
          <w:u w:val="single"/>
        </w:rPr>
        <w:t>投标文件中须提供已标价工程量清单，供应商递交响应文件时须同时提供电子标书（U盘）一份（U盘中包含响应书面文件所有内容及已标价工程量清单电子文件，U盘表面加贴投标单位简称（建议单独装袋封装）。</w:t>
      </w:r>
    </w:p>
    <w:p>
      <w:pPr>
        <w:pStyle w:val="10"/>
        <w:outlineLvl w:val="9"/>
        <w:rPr>
          <w:color w:val="000000"/>
        </w:rPr>
      </w:pPr>
    </w:p>
    <w:p>
      <w:pPr>
        <w:pStyle w:val="12"/>
      </w:pPr>
    </w:p>
    <w:p>
      <w:pPr>
        <w:rPr>
          <w:color w:val="000000"/>
        </w:rPr>
      </w:pPr>
    </w:p>
    <w:p>
      <w:pPr>
        <w:pStyle w:val="9"/>
        <w:rPr>
          <w:color w:val="000000"/>
        </w:rPr>
      </w:pPr>
    </w:p>
    <w:p>
      <w:pPr>
        <w:pStyle w:val="10"/>
        <w:outlineLvl w:val="9"/>
        <w:rPr>
          <w:color w:val="000000"/>
        </w:rPr>
      </w:pPr>
    </w:p>
    <w:p>
      <w:pPr>
        <w:pStyle w:val="12"/>
      </w:pPr>
    </w:p>
    <w:p>
      <w:pPr>
        <w:rPr>
          <w:color w:val="000000"/>
        </w:rPr>
      </w:pPr>
    </w:p>
    <w:p>
      <w:pPr>
        <w:pStyle w:val="9"/>
        <w:rPr>
          <w:color w:val="000000"/>
        </w:rPr>
      </w:pPr>
    </w:p>
    <w:p>
      <w:pPr>
        <w:pStyle w:val="10"/>
        <w:outlineLvl w:val="9"/>
        <w:rPr>
          <w:color w:val="000000"/>
        </w:rPr>
      </w:pPr>
    </w:p>
    <w:p>
      <w:pPr>
        <w:pStyle w:val="12"/>
      </w:pPr>
    </w:p>
    <w:p>
      <w:pPr>
        <w:rPr>
          <w:color w:val="000000"/>
        </w:rPr>
      </w:pPr>
    </w:p>
    <w:p>
      <w:pPr>
        <w:pStyle w:val="9"/>
        <w:rPr>
          <w:color w:val="000000"/>
        </w:rPr>
      </w:pPr>
    </w:p>
    <w:p>
      <w:pPr>
        <w:pStyle w:val="10"/>
        <w:outlineLvl w:val="9"/>
        <w:rPr>
          <w:color w:val="000000"/>
        </w:rPr>
      </w:pPr>
    </w:p>
    <w:p>
      <w:pPr>
        <w:pStyle w:val="12"/>
      </w:pPr>
    </w:p>
    <w:p>
      <w:pPr>
        <w:rPr>
          <w:color w:val="000000"/>
        </w:rPr>
      </w:pPr>
    </w:p>
    <w:p>
      <w:pPr>
        <w:pStyle w:val="9"/>
        <w:rPr>
          <w:color w:val="000000"/>
        </w:rPr>
      </w:pPr>
    </w:p>
    <w:p>
      <w:pPr>
        <w:pStyle w:val="10"/>
        <w:outlineLvl w:val="9"/>
        <w:rPr>
          <w:color w:val="000000"/>
        </w:rPr>
      </w:pPr>
    </w:p>
    <w:p>
      <w:pPr>
        <w:pStyle w:val="12"/>
      </w:pPr>
    </w:p>
    <w:p>
      <w:pPr>
        <w:rPr>
          <w:color w:val="000000"/>
        </w:rPr>
      </w:pPr>
    </w:p>
    <w:p>
      <w:pPr>
        <w:pStyle w:val="9"/>
        <w:rPr>
          <w:color w:val="000000"/>
        </w:rPr>
      </w:pPr>
    </w:p>
    <w:p>
      <w:pPr>
        <w:pStyle w:val="10"/>
        <w:outlineLvl w:val="9"/>
        <w:rPr>
          <w:color w:val="000000"/>
        </w:rPr>
      </w:pPr>
    </w:p>
    <w:p>
      <w:pPr>
        <w:pStyle w:val="12"/>
      </w:pPr>
    </w:p>
    <w:p>
      <w:pPr>
        <w:rPr>
          <w:color w:val="000000"/>
        </w:rPr>
      </w:pPr>
    </w:p>
    <w:p>
      <w:pPr>
        <w:pStyle w:val="12"/>
        <w:ind w:firstLine="420"/>
      </w:pPr>
    </w:p>
    <w:p/>
    <w:p>
      <w:pPr>
        <w:pStyle w:val="9"/>
      </w:pPr>
    </w:p>
    <w:p>
      <w:pPr>
        <w:pStyle w:val="10"/>
        <w:outlineLvl w:val="9"/>
      </w:pPr>
    </w:p>
    <w:p>
      <w:pPr>
        <w:pStyle w:val="12"/>
      </w:pPr>
    </w:p>
    <w:p/>
    <w:p>
      <w:pPr>
        <w:pStyle w:val="10"/>
        <w:jc w:val="center"/>
        <w:outlineLvl w:val="9"/>
      </w:pPr>
      <w:bookmarkStart w:id="338" w:name="_Toc28732"/>
      <w:r>
        <w:rPr>
          <w:rFonts w:hint="eastAsia" w:ascii="宋体" w:cs="宋体"/>
          <w:b/>
          <w:color w:val="000000"/>
          <w:sz w:val="28"/>
          <w:szCs w:val="28"/>
        </w:rPr>
        <w:t>八、技术规格（采购需求）偏离表</w:t>
      </w:r>
      <w:bookmarkEnd w:id="338"/>
    </w:p>
    <w:tbl>
      <w:tblPr>
        <w:tblStyle w:val="30"/>
        <w:tblpPr w:leftFromText="180" w:rightFromText="180" w:vertAnchor="text" w:horzAnchor="margin" w:tblpXSpec="center" w:tblpY="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216"/>
        <w:gridCol w:w="2569"/>
        <w:gridCol w:w="236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Cs w:val="21"/>
              </w:rPr>
            </w:pPr>
            <w:r>
              <w:rPr>
                <w:rFonts w:hint="eastAsia" w:ascii="宋体" w:hAnsi="宋体" w:cs="宋体"/>
                <w:color w:val="000000"/>
                <w:szCs w:val="21"/>
              </w:rPr>
              <w:t>项目编号</w:t>
            </w:r>
          </w:p>
        </w:tc>
        <w:tc>
          <w:tcPr>
            <w:tcW w:w="6494"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Cs w:val="21"/>
              </w:rPr>
            </w:pPr>
            <w:r>
              <w:rPr>
                <w:rFonts w:hint="eastAsia" w:ascii="宋体" w:hAnsi="宋体" w:cs="宋体"/>
                <w:color w:val="000000"/>
                <w:szCs w:val="21"/>
              </w:rPr>
              <w:t>项目名称</w:t>
            </w:r>
          </w:p>
        </w:tc>
        <w:tc>
          <w:tcPr>
            <w:tcW w:w="6494"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Cs w:val="21"/>
              </w:rPr>
            </w:pPr>
            <w:r>
              <w:rPr>
                <w:rFonts w:hint="eastAsia" w:ascii="宋体" w:hAnsi="宋体"/>
                <w:color w:val="000000"/>
                <w:szCs w:val="21"/>
              </w:rPr>
              <w:t>序号</w:t>
            </w:r>
          </w:p>
        </w:tc>
        <w:tc>
          <w:tcPr>
            <w:tcW w:w="221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Cs w:val="21"/>
              </w:rPr>
            </w:pPr>
            <w:r>
              <w:rPr>
                <w:rFonts w:hint="eastAsia" w:ascii="宋体" w:hAnsi="宋体"/>
                <w:color w:val="000000"/>
                <w:szCs w:val="21"/>
              </w:rPr>
              <w:t>名称（品目）</w:t>
            </w:r>
          </w:p>
        </w:tc>
        <w:tc>
          <w:tcPr>
            <w:tcW w:w="25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Cs w:val="21"/>
              </w:rPr>
            </w:pPr>
            <w:r>
              <w:rPr>
                <w:rFonts w:hint="eastAsia" w:ascii="宋体" w:hAnsi="宋体"/>
                <w:color w:val="000000"/>
                <w:szCs w:val="21"/>
              </w:rPr>
              <w:t>采购文件要求</w:t>
            </w:r>
          </w:p>
        </w:tc>
        <w:tc>
          <w:tcPr>
            <w:tcW w:w="23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Cs w:val="21"/>
              </w:rPr>
            </w:pPr>
            <w:r>
              <w:rPr>
                <w:rFonts w:hint="eastAsia" w:ascii="宋体" w:hAnsi="宋体"/>
                <w:color w:val="000000"/>
                <w:szCs w:val="21"/>
              </w:rPr>
              <w:t>供应商响应（承诺）</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i/>
                <w:color w:val="000000"/>
                <w:u w:val="single"/>
              </w:rPr>
            </w:pPr>
            <w:r>
              <w:rPr>
                <w:rFonts w:hint="eastAsia"/>
                <w:i/>
                <w:color w:val="000000"/>
                <w:u w:val="single"/>
              </w:rPr>
              <w:t>例：“</w:t>
            </w:r>
            <w:r>
              <w:rPr>
                <w:i/>
                <w:color w:val="000000"/>
                <w:u w:val="single"/>
              </w:rPr>
              <w:t>服务方式</w:t>
            </w:r>
            <w:r>
              <w:rPr>
                <w:rFonts w:hint="eastAsia"/>
                <w:i/>
                <w:color w:val="000000"/>
                <w:u w:val="single"/>
              </w:rPr>
              <w:t>”</w:t>
            </w:r>
          </w:p>
          <w:p>
            <w:pPr>
              <w:rPr>
                <w:i/>
                <w:color w:val="000000"/>
                <w:u w:val="single"/>
              </w:rPr>
            </w:pPr>
            <w:r>
              <w:rPr>
                <w:i/>
                <w:color w:val="000000"/>
                <w:u w:val="single"/>
              </w:rPr>
              <w:t>（注：仅</w:t>
            </w:r>
            <w:r>
              <w:rPr>
                <w:rFonts w:hint="eastAsia"/>
                <w:i/>
                <w:color w:val="000000"/>
                <w:u w:val="single"/>
              </w:rPr>
              <w:t>示</w:t>
            </w:r>
            <w:r>
              <w:rPr>
                <w:i/>
                <w:color w:val="000000"/>
                <w:u w:val="single"/>
              </w:rPr>
              <w:t>例</w:t>
            </w:r>
            <w:r>
              <w:rPr>
                <w:rFonts w:hint="eastAsia"/>
                <w:i/>
                <w:color w:val="000000"/>
                <w:u w:val="single"/>
              </w:rPr>
              <w:t>如何填写，与投标内容无关）</w:t>
            </w:r>
          </w:p>
        </w:tc>
        <w:tc>
          <w:tcPr>
            <w:tcW w:w="2569" w:type="dxa"/>
            <w:tcBorders>
              <w:top w:val="single" w:color="auto" w:sz="4" w:space="0"/>
              <w:left w:val="single" w:color="auto" w:sz="4" w:space="0"/>
              <w:bottom w:val="single" w:color="auto" w:sz="4" w:space="0"/>
              <w:right w:val="single" w:color="auto" w:sz="4" w:space="0"/>
            </w:tcBorders>
            <w:noWrap/>
            <w:vAlign w:val="center"/>
          </w:tcPr>
          <w:p>
            <w:pPr>
              <w:rPr>
                <w:i/>
                <w:color w:val="000000"/>
                <w:u w:val="single"/>
              </w:rPr>
            </w:pPr>
            <w:r>
              <w:rPr>
                <w:rFonts w:hint="eastAsia"/>
                <w:i/>
                <w:color w:val="000000"/>
                <w:u w:val="single"/>
              </w:rPr>
              <w:t>例：“须提供驻场服务”</w:t>
            </w:r>
          </w:p>
        </w:tc>
        <w:tc>
          <w:tcPr>
            <w:tcW w:w="2365" w:type="dxa"/>
            <w:tcBorders>
              <w:top w:val="single" w:color="auto" w:sz="4" w:space="0"/>
              <w:left w:val="single" w:color="auto" w:sz="4" w:space="0"/>
              <w:bottom w:val="single" w:color="auto" w:sz="4" w:space="0"/>
              <w:right w:val="single" w:color="auto" w:sz="4" w:space="0"/>
            </w:tcBorders>
            <w:noWrap/>
            <w:vAlign w:val="center"/>
          </w:tcPr>
          <w:p>
            <w:pPr>
              <w:rPr>
                <w:i/>
                <w:color w:val="000000"/>
                <w:u w:val="single"/>
              </w:rPr>
            </w:pPr>
            <w:r>
              <w:rPr>
                <w:rFonts w:hint="eastAsia"/>
                <w:i/>
                <w:color w:val="000000"/>
                <w:u w:val="single"/>
              </w:rPr>
              <w:t>例1：“提供驻场服务人中3名……”；</w:t>
            </w:r>
          </w:p>
          <w:p>
            <w:pPr>
              <w:rPr>
                <w:i/>
                <w:color w:val="000000"/>
                <w:u w:val="single"/>
              </w:rPr>
            </w:pPr>
            <w:r>
              <w:rPr>
                <w:rFonts w:hint="eastAsia"/>
                <w:i/>
                <w:color w:val="000000"/>
                <w:u w:val="single"/>
              </w:rPr>
              <w:t>例2：“详见投标文件第55页”</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i/>
                <w:color w:val="000000"/>
                <w:u w:val="single"/>
              </w:rPr>
            </w:pPr>
            <w:r>
              <w:rPr>
                <w:i/>
                <w:color w:val="000000"/>
                <w:u w:val="single"/>
              </w:rPr>
              <w:t>满足/不满足/部分满足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b/>
                <w:i/>
                <w:color w:val="000000"/>
                <w:u w:val="single"/>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b/>
                <w:i/>
                <w:color w:val="000000"/>
                <w:u w:val="single"/>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i/>
                <w:color w:val="000000"/>
                <w:u w:val="single"/>
              </w:rPr>
            </w:pPr>
            <w:r>
              <w:rPr>
                <w:rFonts w:hint="eastAsia"/>
                <w:i/>
                <w:color w:val="000000"/>
                <w:u w:val="single"/>
              </w:rPr>
              <w:t>可另页详述（应答），</w:t>
            </w:r>
          </w:p>
          <w:p>
            <w:pPr>
              <w:rPr>
                <w:b/>
                <w:i/>
                <w:color w:val="000000"/>
                <w:u w:val="single"/>
              </w:rPr>
            </w:pPr>
            <w:r>
              <w:rPr>
                <w:rFonts w:hint="eastAsia"/>
                <w:i/>
                <w:color w:val="000000"/>
                <w:u w:val="single"/>
              </w:rPr>
              <w:t>但须标注其所在页码</w:t>
            </w:r>
          </w:p>
        </w:tc>
        <w:tc>
          <w:tcPr>
            <w:tcW w:w="1560" w:type="dxa"/>
            <w:tcBorders>
              <w:top w:val="single" w:color="auto" w:sz="4" w:space="0"/>
              <w:left w:val="single" w:color="auto" w:sz="4" w:space="0"/>
              <w:bottom w:val="single" w:color="auto" w:sz="4" w:space="0"/>
              <w:right w:val="single" w:color="auto" w:sz="4" w:space="0"/>
            </w:tcBorders>
            <w:noWrap/>
            <w:vAlign w:val="center"/>
          </w:tcPr>
          <w:p>
            <w:pPr>
              <w:rPr>
                <w:b/>
                <w:i/>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216"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569"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2365"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ind w:firstLine="420"/>
              <w:jc w:val="center"/>
              <w:rPr>
                <w:rFonts w:hAnsi="宋体" w:cs="Courier New"/>
                <w:color w:val="000000"/>
                <w:kern w:val="2"/>
                <w:sz w:val="21"/>
                <w:szCs w:val="22"/>
              </w:rPr>
            </w:pPr>
          </w:p>
        </w:tc>
        <w:tc>
          <w:tcPr>
            <w:tcW w:w="256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szCs w:val="21"/>
                <w:u w:val="single"/>
              </w:rPr>
            </w:pPr>
            <w:r>
              <w:rPr>
                <w:rFonts w:hint="eastAsia" w:ascii="宋体" w:hAnsi="宋体"/>
                <w:i/>
                <w:color w:val="000000"/>
                <w:szCs w:val="21"/>
                <w:u w:val="single"/>
              </w:rPr>
              <w:t>行数不够，可按本表格式自行添加</w:t>
            </w:r>
          </w:p>
        </w:tc>
        <w:tc>
          <w:tcPr>
            <w:tcW w:w="236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rPr>
                <w:rFonts w:ascii="宋体" w:hAnsi="宋体"/>
                <w:color w:val="000000"/>
                <w:szCs w:val="21"/>
              </w:rPr>
            </w:pPr>
            <w:r>
              <w:rPr>
                <w:rFonts w:ascii="宋体" w:hAnsi="宋体"/>
                <w:color w:val="000000"/>
                <w:szCs w:val="21"/>
              </w:rPr>
              <w:t>我公司确认，除以上“偏离说明”栏中列明的偏差外，我公司无条件接受采购文件规定的所有技术规格</w:t>
            </w:r>
            <w:r>
              <w:rPr>
                <w:rFonts w:hint="eastAsia" w:ascii="宋体" w:hAnsi="宋体"/>
                <w:color w:val="000000"/>
                <w:szCs w:val="21"/>
              </w:rPr>
              <w:t>（服务标准等）</w:t>
            </w:r>
            <w:r>
              <w:rPr>
                <w:rFonts w:ascii="宋体" w:hAnsi="宋体"/>
                <w:color w:val="000000"/>
                <w:szCs w:val="21"/>
              </w:rPr>
              <w:t>。</w:t>
            </w:r>
          </w:p>
          <w:p>
            <w:pPr>
              <w:spacing w:line="360" w:lineRule="auto"/>
              <w:rPr>
                <w:rFonts w:ascii="宋体" w:hAnsi="宋体"/>
                <w:b/>
                <w:color w:val="000000"/>
                <w:szCs w:val="21"/>
                <w:u w:val="single"/>
              </w:rPr>
            </w:pPr>
            <w:r>
              <w:rPr>
                <w:rFonts w:hint="eastAsia" w:ascii="宋体" w:hAnsi="宋体"/>
                <w:b/>
                <w:color w:val="000000"/>
                <w:szCs w:val="21"/>
                <w:u w:val="single"/>
              </w:rPr>
              <w:t>法定代表人或其委托</w:t>
            </w:r>
            <w:r>
              <w:rPr>
                <w:rFonts w:ascii="宋体" w:hAnsi="宋体"/>
                <w:b/>
                <w:color w:val="000000"/>
                <w:szCs w:val="21"/>
                <w:u w:val="single"/>
              </w:rPr>
              <w:t>代理人</w:t>
            </w:r>
            <w:r>
              <w:rPr>
                <w:rFonts w:hint="eastAsia" w:ascii="宋体" w:hAnsi="宋体"/>
                <w:b/>
                <w:color w:val="000000"/>
                <w:szCs w:val="21"/>
                <w:u w:val="single"/>
              </w:rPr>
              <w:t xml:space="preserve">（签字）：                 </w:t>
            </w:r>
          </w:p>
          <w:p>
            <w:pPr>
              <w:spacing w:line="360" w:lineRule="auto"/>
              <w:rPr>
                <w:rFonts w:ascii="宋体" w:hAnsi="宋体" w:cs="宋体"/>
                <w:color w:val="000000"/>
                <w:szCs w:val="21"/>
              </w:rPr>
            </w:pPr>
            <w:r>
              <w:rPr>
                <w:rFonts w:hint="eastAsia" w:ascii="宋体" w:hAnsi="宋体"/>
                <w:b/>
                <w:color w:val="000000"/>
                <w:szCs w:val="21"/>
                <w:u w:val="single"/>
              </w:rPr>
              <w:t xml:space="preserve">供应商(盖单位章)：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ascii="宋体" w:hAnsi="宋体"/>
                <w:color w:val="000000"/>
              </w:rPr>
            </w:pPr>
            <w:r>
              <w:rPr>
                <w:rFonts w:hint="eastAsia" w:ascii="宋体" w:hAnsi="宋体"/>
                <w:color w:val="000000"/>
              </w:rPr>
              <w:t>注：</w:t>
            </w:r>
            <w:r>
              <w:rPr>
                <w:rFonts w:ascii="宋体" w:hAnsi="宋体"/>
                <w:color w:val="000000"/>
              </w:rPr>
              <w:t>1.供应商需按采购文件中对</w:t>
            </w:r>
            <w:r>
              <w:rPr>
                <w:rFonts w:hint="eastAsia" w:ascii="宋体" w:hAnsi="宋体"/>
                <w:color w:val="000000"/>
              </w:rPr>
              <w:t>技术规格（采购需求）</w:t>
            </w:r>
            <w:r>
              <w:rPr>
                <w:rFonts w:ascii="宋体" w:hAnsi="宋体"/>
                <w:color w:val="000000"/>
              </w:rPr>
              <w:t>进行应答</w:t>
            </w:r>
            <w:r>
              <w:rPr>
                <w:rFonts w:hint="eastAsia" w:ascii="宋体" w:hAnsi="宋体"/>
                <w:color w:val="000000"/>
              </w:rPr>
              <w:t>（</w:t>
            </w:r>
            <w:r>
              <w:rPr>
                <w:rFonts w:ascii="宋体" w:hAnsi="宋体"/>
                <w:color w:val="000000"/>
              </w:rPr>
              <w:t>详细描述如何满足该需求</w:t>
            </w:r>
            <w:r>
              <w:rPr>
                <w:rFonts w:hint="eastAsia" w:ascii="宋体" w:hAnsi="宋体"/>
                <w:color w:val="000000"/>
              </w:rPr>
              <w:t>）</w:t>
            </w:r>
            <w:r>
              <w:rPr>
                <w:rFonts w:ascii="宋体" w:hAnsi="宋体"/>
                <w:color w:val="000000"/>
              </w:rPr>
              <w:t>。</w:t>
            </w:r>
            <w:r>
              <w:rPr>
                <w:rFonts w:hint="eastAsia" w:ascii="宋体" w:hAnsi="宋体"/>
                <w:color w:val="000000"/>
              </w:rPr>
              <w:t>如本表表格填写不便的，可以另页</w:t>
            </w:r>
            <w:r>
              <w:rPr>
                <w:rFonts w:ascii="宋体" w:hAnsi="宋体"/>
                <w:color w:val="000000"/>
              </w:rPr>
              <w:t>详述</w:t>
            </w:r>
            <w:r>
              <w:rPr>
                <w:rFonts w:hint="eastAsia" w:ascii="宋体" w:hAnsi="宋体"/>
                <w:color w:val="000000"/>
              </w:rPr>
              <w:t>（</w:t>
            </w:r>
            <w:r>
              <w:rPr>
                <w:rFonts w:ascii="宋体" w:hAnsi="宋体"/>
                <w:color w:val="000000"/>
              </w:rPr>
              <w:t>应答</w:t>
            </w:r>
            <w:r>
              <w:rPr>
                <w:rFonts w:hint="eastAsia" w:ascii="宋体" w:hAnsi="宋体"/>
                <w:color w:val="000000"/>
              </w:rPr>
              <w:t>）</w:t>
            </w:r>
            <w:r>
              <w:rPr>
                <w:rFonts w:ascii="宋体" w:hAnsi="宋体"/>
                <w:color w:val="000000"/>
              </w:rPr>
              <w:t>，但必须给出确切的位置索引</w:t>
            </w:r>
            <w:r>
              <w:rPr>
                <w:rFonts w:hint="eastAsia" w:ascii="宋体" w:hAnsi="宋体"/>
                <w:color w:val="000000"/>
              </w:rPr>
              <w:t>（标注具体内容的所在页码）</w:t>
            </w:r>
            <w:r>
              <w:rPr>
                <w:rFonts w:ascii="宋体" w:hAnsi="宋体"/>
                <w:color w:val="000000"/>
              </w:rPr>
              <w:t>。</w:t>
            </w:r>
          </w:p>
          <w:p>
            <w:pPr>
              <w:ind w:firstLine="42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用“满足/不满足/部分满足”响应来表明该需求是否被满足，不得使用“明白”、“理解”等词语。</w:t>
            </w:r>
            <w:r>
              <w:rPr>
                <w:rFonts w:hint="eastAsia" w:ascii="宋体" w:hAnsi="宋体"/>
                <w:color w:val="000000"/>
              </w:rPr>
              <w:t>如</w:t>
            </w:r>
            <w:r>
              <w:rPr>
                <w:rFonts w:ascii="宋体" w:hAnsi="宋体"/>
                <w:color w:val="000000"/>
              </w:rPr>
              <w:t>与</w:t>
            </w:r>
            <w:r>
              <w:rPr>
                <w:rFonts w:hint="eastAsia" w:ascii="宋体" w:hAnsi="宋体"/>
                <w:color w:val="000000"/>
              </w:rPr>
              <w:t>采购</w:t>
            </w:r>
            <w:r>
              <w:rPr>
                <w:rFonts w:ascii="宋体" w:hAnsi="宋体"/>
                <w:color w:val="000000"/>
              </w:rPr>
              <w:t>需求之间有偏差时必须用“部分满足”响应来表明该需求未被完全满足的情况，并用确切的描述解释如何规避该偏差。</w:t>
            </w:r>
            <w:r>
              <w:rPr>
                <w:rFonts w:hint="eastAsia" w:ascii="宋体" w:hAnsi="宋体"/>
                <w:color w:val="000000"/>
              </w:rPr>
              <w:t>如</w:t>
            </w:r>
            <w:r>
              <w:rPr>
                <w:rFonts w:ascii="宋体" w:hAnsi="宋体"/>
                <w:color w:val="000000"/>
              </w:rPr>
              <w:t>不能实现</w:t>
            </w:r>
            <w:r>
              <w:rPr>
                <w:rFonts w:hint="eastAsia" w:ascii="宋体" w:hAnsi="宋体"/>
                <w:color w:val="000000"/>
              </w:rPr>
              <w:t>采购</w:t>
            </w:r>
            <w:r>
              <w:rPr>
                <w:rFonts w:ascii="宋体" w:hAnsi="宋体"/>
                <w:color w:val="000000"/>
              </w:rPr>
              <w:t>需求时必须用“不满足”来响应。</w:t>
            </w:r>
          </w:p>
          <w:p>
            <w:pPr>
              <w:ind w:firstLine="42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szCs w:val="21"/>
              </w:rPr>
              <w:t>供应商可根据其投标内容进一步细化上述表格，并可增添其它表格或说明以便进一步明确投标内容。</w:t>
            </w:r>
          </w:p>
        </w:tc>
      </w:tr>
    </w:tbl>
    <w:p>
      <w:pPr>
        <w:pStyle w:val="10"/>
        <w:ind w:left="0" w:firstLine="0"/>
        <w:outlineLvl w:val="9"/>
        <w:rPr>
          <w:color w:val="000000"/>
          <w:sz w:val="21"/>
          <w:szCs w:val="21"/>
        </w:rPr>
        <w:sectPr>
          <w:pgSz w:w="11906" w:h="16838"/>
          <w:pgMar w:top="1440" w:right="1080" w:bottom="1440" w:left="1080" w:header="851" w:footer="992" w:gutter="0"/>
          <w:cols w:space="720" w:num="1"/>
          <w:docGrid w:type="lines" w:linePitch="312" w:charSpace="0"/>
        </w:sectPr>
      </w:pPr>
    </w:p>
    <w:p>
      <w:pPr>
        <w:jc w:val="center"/>
        <w:rPr>
          <w:rFonts w:ascii="宋体" w:hAnsi="宋体" w:cs="宋体"/>
          <w:b/>
          <w:color w:val="000000"/>
          <w:szCs w:val="21"/>
        </w:rPr>
      </w:pPr>
    </w:p>
    <w:p>
      <w:pPr>
        <w:spacing w:line="360" w:lineRule="auto"/>
        <w:jc w:val="center"/>
        <w:outlineLvl w:val="1"/>
        <w:rPr>
          <w:rFonts w:ascii="宋体" w:hAnsi="宋体" w:cs="宋体"/>
          <w:b/>
          <w:color w:val="000000"/>
          <w:sz w:val="28"/>
          <w:szCs w:val="28"/>
        </w:rPr>
      </w:pPr>
      <w:bookmarkStart w:id="339" w:name="_Toc29582"/>
      <w:bookmarkStart w:id="340" w:name="_Toc2655"/>
      <w:r>
        <w:rPr>
          <w:rFonts w:hint="eastAsia" w:ascii="宋体" w:hAnsi="宋体" w:cs="宋体"/>
          <w:b/>
          <w:color w:val="000000"/>
          <w:sz w:val="28"/>
          <w:szCs w:val="28"/>
        </w:rPr>
        <w:t>九、拟投入本项目人员一览表</w:t>
      </w:r>
      <w:bookmarkEnd w:id="339"/>
      <w:bookmarkEnd w:id="340"/>
    </w:p>
    <w:tbl>
      <w:tblPr>
        <w:tblStyle w:val="30"/>
        <w:tblW w:w="0" w:type="auto"/>
        <w:jc w:val="center"/>
        <w:tblLayout w:type="fixed"/>
        <w:tblCellMar>
          <w:top w:w="0" w:type="dxa"/>
          <w:left w:w="0" w:type="dxa"/>
          <w:bottom w:w="0" w:type="dxa"/>
          <w:right w:w="0" w:type="dxa"/>
        </w:tblCellMar>
      </w:tblPr>
      <w:tblGrid>
        <w:gridCol w:w="902"/>
        <w:gridCol w:w="902"/>
        <w:gridCol w:w="902"/>
        <w:gridCol w:w="902"/>
        <w:gridCol w:w="1047"/>
        <w:gridCol w:w="898"/>
        <w:gridCol w:w="973"/>
        <w:gridCol w:w="729"/>
        <w:gridCol w:w="805"/>
      </w:tblGrid>
      <w:tr>
        <w:tblPrEx>
          <w:tblCellMar>
            <w:top w:w="0" w:type="dxa"/>
            <w:left w:w="0" w:type="dxa"/>
            <w:bottom w:w="0" w:type="dxa"/>
            <w:right w:w="0" w:type="dxa"/>
          </w:tblCellMar>
        </w:tblPrEx>
        <w:trPr>
          <w:trHeight w:val="536" w:hRule="atLeast"/>
          <w:jc w:val="center"/>
        </w:trPr>
        <w:tc>
          <w:tcPr>
            <w:tcW w:w="90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职务</w:t>
            </w:r>
          </w:p>
        </w:tc>
        <w:tc>
          <w:tcPr>
            <w:tcW w:w="90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姓名</w:t>
            </w:r>
          </w:p>
        </w:tc>
        <w:tc>
          <w:tcPr>
            <w:tcW w:w="90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职称</w:t>
            </w:r>
          </w:p>
        </w:tc>
        <w:tc>
          <w:tcPr>
            <w:tcW w:w="902" w:type="dxa"/>
            <w:vMerge w:val="restart"/>
            <w:tcBorders>
              <w:top w:val="single" w:color="000000" w:sz="4" w:space="0"/>
              <w:left w:val="single" w:color="000000" w:sz="4" w:space="0"/>
              <w:right w:val="single" w:color="auto"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年龄</w:t>
            </w:r>
          </w:p>
        </w:tc>
        <w:tc>
          <w:tcPr>
            <w:tcW w:w="3647" w:type="dxa"/>
            <w:gridSpan w:val="4"/>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jc w:val="center"/>
              <w:rPr>
                <w:rFonts w:ascii="宋体" w:hAnsi="宋体" w:cs="宋体"/>
                <w:b/>
                <w:color w:val="000000"/>
                <w:spacing w:val="1"/>
                <w:kern w:val="0"/>
                <w:szCs w:val="21"/>
              </w:rPr>
            </w:pPr>
            <w:r>
              <w:rPr>
                <w:rFonts w:hint="eastAsia" w:ascii="宋体" w:hAnsi="宋体" w:cs="宋体"/>
                <w:b/>
                <w:color w:val="000000"/>
                <w:spacing w:val="1"/>
                <w:kern w:val="0"/>
                <w:szCs w:val="21"/>
              </w:rPr>
              <w:t>执业或职业资格证明</w:t>
            </w:r>
          </w:p>
        </w:tc>
        <w:tc>
          <w:tcPr>
            <w:tcW w:w="805"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备注</w:t>
            </w:r>
          </w:p>
        </w:tc>
      </w:tr>
      <w:tr>
        <w:tblPrEx>
          <w:tblCellMar>
            <w:top w:w="0" w:type="dxa"/>
            <w:left w:w="0" w:type="dxa"/>
            <w:bottom w:w="0" w:type="dxa"/>
            <w:right w:w="0" w:type="dxa"/>
          </w:tblCellMar>
        </w:tblPrEx>
        <w:trPr>
          <w:trHeight w:val="64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vMerge w:val="continue"/>
            <w:tcBorders>
              <w:left w:val="single" w:color="000000" w:sz="4" w:space="0"/>
              <w:bottom w:val="single" w:color="000000" w:sz="4" w:space="0"/>
              <w:right w:val="single" w:color="auto"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证书名称</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级别</w:t>
            </w: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9"/>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证号</w:t>
            </w: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r>
              <w:rPr>
                <w:rFonts w:hint="eastAsia" w:ascii="宋体" w:hAnsi="宋体" w:cs="宋体"/>
                <w:b/>
                <w:color w:val="000000"/>
                <w:spacing w:val="1"/>
                <w:kern w:val="0"/>
                <w:szCs w:val="21"/>
              </w:rPr>
              <w:t>专业</w:t>
            </w:r>
          </w:p>
        </w:tc>
        <w:tc>
          <w:tcPr>
            <w:tcW w:w="805" w:type="dxa"/>
            <w:vMerge w:val="continue"/>
            <w:tcBorders>
              <w:left w:val="single" w:color="000000" w:sz="4" w:space="0"/>
              <w:bottom w:val="single" w:color="000000" w:sz="4" w:space="0"/>
              <w:right w:val="single" w:color="000000" w:sz="4" w:space="0"/>
            </w:tcBorders>
            <w:vAlign w:val="center"/>
          </w:tcPr>
          <w:p>
            <w:pPr>
              <w:autoSpaceDE w:val="0"/>
              <w:autoSpaceDN w:val="0"/>
              <w:adjustRightInd w:val="0"/>
              <w:ind w:right="97" w:firstLine="60" w:firstLineChars="28"/>
              <w:jc w:val="center"/>
              <w:rPr>
                <w:rFonts w:ascii="宋体" w:hAnsi="宋体" w:cs="宋体"/>
                <w:b/>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0" w:firstLineChars="28"/>
              <w:jc w:val="center"/>
              <w:rPr>
                <w:rFonts w:ascii="宋体" w:hAnsi="宋体" w:cs="宋体"/>
                <w:b/>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3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r>
        <w:tblPrEx>
          <w:tblCellMar>
            <w:top w:w="0" w:type="dxa"/>
            <w:left w:w="0" w:type="dxa"/>
            <w:bottom w:w="0" w:type="dxa"/>
            <w:right w:w="0" w:type="dxa"/>
          </w:tblCellMar>
        </w:tblPrEx>
        <w:trPr>
          <w:trHeight w:val="546" w:hRule="atLeast"/>
          <w:jc w:val="center"/>
        </w:trPr>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02"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1047"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7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59" w:firstLineChars="28"/>
              <w:jc w:val="center"/>
              <w:rPr>
                <w:rFonts w:ascii="宋体" w:hAnsi="宋体" w:cs="宋体"/>
                <w:color w:val="000000"/>
                <w:spacing w:val="1"/>
                <w:kern w:val="0"/>
                <w:szCs w:val="21"/>
              </w:rPr>
            </w:pPr>
          </w:p>
        </w:tc>
      </w:tr>
    </w:tbl>
    <w:p>
      <w:pPr>
        <w:spacing w:line="360" w:lineRule="auto"/>
        <w:jc w:val="left"/>
        <w:rPr>
          <w:rFonts w:ascii="宋体" w:hAnsi="宋体" w:cs="宋体"/>
          <w:color w:val="000000"/>
          <w:szCs w:val="21"/>
        </w:rPr>
      </w:pPr>
    </w:p>
    <w:p>
      <w:pPr>
        <w:spacing w:line="360" w:lineRule="auto"/>
        <w:jc w:val="left"/>
        <w:rPr>
          <w:rFonts w:ascii="宋体" w:hAnsi="宋体" w:cs="宋体"/>
          <w:color w:val="000000"/>
          <w:szCs w:val="21"/>
        </w:rPr>
      </w:pPr>
    </w:p>
    <w:p>
      <w:pPr>
        <w:spacing w:line="360" w:lineRule="auto"/>
        <w:jc w:val="left"/>
        <w:rPr>
          <w:rFonts w:ascii="宋体" w:hAnsi="宋体" w:cs="宋体"/>
          <w:color w:val="000000"/>
          <w:szCs w:val="21"/>
        </w:rPr>
      </w:pPr>
      <w:r>
        <w:rPr>
          <w:rFonts w:hint="eastAsia" w:ascii="宋体" w:hAnsi="宋体" w:cs="宋体"/>
          <w:color w:val="000000"/>
          <w:szCs w:val="21"/>
        </w:rPr>
        <w:t>注：后附拟投入本项目人员相关材料复印件。</w:t>
      </w:r>
    </w:p>
    <w:p>
      <w:pPr>
        <w:autoSpaceDE w:val="0"/>
        <w:autoSpaceDN w:val="0"/>
        <w:adjustRightInd w:val="0"/>
        <w:spacing w:line="360" w:lineRule="auto"/>
        <w:jc w:val="left"/>
        <w:rPr>
          <w:rFonts w:ascii="宋体" w:hAnsi="宋体" w:cs="宋体"/>
          <w:color w:val="000000"/>
          <w:kern w:val="0"/>
          <w:szCs w:val="21"/>
        </w:rPr>
      </w:pPr>
    </w:p>
    <w:p>
      <w:pPr>
        <w:spacing w:line="360" w:lineRule="auto"/>
        <w:ind w:left="2520" w:leftChars="1200"/>
        <w:rPr>
          <w:rFonts w:ascii="宋体" w:hAnsi="宋体" w:cs="宋体"/>
          <w:color w:val="000000"/>
          <w:szCs w:val="21"/>
        </w:rPr>
      </w:pPr>
      <w:r>
        <w:rPr>
          <w:rFonts w:hint="eastAsia" w:ascii="宋体" w:hAnsi="宋体" w:cs="宋体"/>
          <w:color w:val="000000"/>
          <w:szCs w:val="21"/>
        </w:rPr>
        <w:t>供应商名称：（加盖单位公章）</w:t>
      </w:r>
    </w:p>
    <w:p>
      <w:pPr>
        <w:spacing w:line="360" w:lineRule="auto"/>
        <w:ind w:left="2520" w:leftChars="1200"/>
        <w:rPr>
          <w:rFonts w:ascii="宋体" w:hAnsi="宋体" w:cs="宋体"/>
          <w:color w:val="000000"/>
          <w:kern w:val="0"/>
          <w:szCs w:val="21"/>
        </w:rPr>
      </w:pPr>
      <w:r>
        <w:rPr>
          <w:rFonts w:hint="eastAsia" w:ascii="宋体" w:hAnsi="宋体" w:cs="宋体"/>
          <w:color w:val="000000"/>
          <w:szCs w:val="21"/>
        </w:rPr>
        <w:t>法定代表人或其委托代理人：（签字或盖章）</w:t>
      </w:r>
    </w:p>
    <w:p>
      <w:pPr>
        <w:autoSpaceDE w:val="0"/>
        <w:autoSpaceDN w:val="0"/>
        <w:adjustRightInd w:val="0"/>
        <w:spacing w:line="360" w:lineRule="auto"/>
        <w:ind w:left="2520" w:leftChars="1200" w:right="481" w:rightChars="229"/>
        <w:rPr>
          <w:rFonts w:ascii="宋体" w:hAnsi="宋体" w:cs="宋体"/>
          <w:color w:val="000000"/>
          <w:kern w:val="0"/>
          <w:szCs w:val="21"/>
        </w:rPr>
      </w:pPr>
      <w:r>
        <w:rPr>
          <w:rFonts w:hint="eastAsia" w:ascii="宋体" w:hAnsi="宋体" w:cs="宋体"/>
          <w:color w:val="000000"/>
          <w:kern w:val="0"/>
          <w:szCs w:val="21"/>
        </w:rPr>
        <w:t>日    期：年月日</w:t>
      </w:r>
    </w:p>
    <w:p>
      <w:pPr>
        <w:jc w:val="center"/>
        <w:rPr>
          <w:rFonts w:ascii="宋体" w:hAnsi="宋体" w:cs="宋体"/>
          <w:b/>
          <w:color w:val="000000"/>
          <w:sz w:val="28"/>
          <w:szCs w:val="28"/>
        </w:rPr>
      </w:pPr>
    </w:p>
    <w:p>
      <w:pPr>
        <w:pStyle w:val="17"/>
      </w:pPr>
    </w:p>
    <w:p>
      <w:pPr>
        <w:pStyle w:val="6"/>
        <w:jc w:val="center"/>
        <w:rPr>
          <w:sz w:val="24"/>
        </w:rPr>
      </w:pPr>
      <w:bookmarkStart w:id="341" w:name="_Toc18588"/>
      <w:bookmarkStart w:id="342" w:name="_Toc11846"/>
      <w:r>
        <w:rPr>
          <w:rFonts w:hint="eastAsia"/>
        </w:rPr>
        <w:t>投标人基本情况表</w:t>
      </w:r>
      <w:bookmarkEnd w:id="341"/>
      <w:bookmarkEnd w:id="342"/>
    </w:p>
    <w:tbl>
      <w:tblPr>
        <w:tblStyle w:val="30"/>
        <w:tblW w:w="0" w:type="auto"/>
        <w:jc w:val="center"/>
        <w:tblLayout w:type="fixed"/>
        <w:tblCellMar>
          <w:top w:w="0" w:type="dxa"/>
          <w:left w:w="0" w:type="dxa"/>
          <w:bottom w:w="0" w:type="dxa"/>
          <w:right w:w="0" w:type="dxa"/>
        </w:tblCellMar>
      </w:tblPr>
      <w:tblGrid>
        <w:gridCol w:w="1485"/>
        <w:gridCol w:w="900"/>
        <w:gridCol w:w="1021"/>
        <w:gridCol w:w="993"/>
        <w:gridCol w:w="285"/>
        <w:gridCol w:w="195"/>
        <w:gridCol w:w="1246"/>
        <w:gridCol w:w="260"/>
        <w:gridCol w:w="709"/>
        <w:gridCol w:w="1416"/>
      </w:tblGrid>
      <w:tr>
        <w:tblPrEx>
          <w:tblCellMar>
            <w:top w:w="0" w:type="dxa"/>
            <w:left w:w="0" w:type="dxa"/>
            <w:bottom w:w="0" w:type="dxa"/>
            <w:right w:w="0" w:type="dxa"/>
          </w:tblCellMar>
        </w:tblPrEx>
        <w:trPr>
          <w:trHeight w:val="567" w:hRule="atLeast"/>
          <w:jc w:val="center"/>
        </w:trPr>
        <w:tc>
          <w:tcPr>
            <w:tcW w:w="14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投标人名称</w:t>
            </w:r>
          </w:p>
        </w:tc>
        <w:tc>
          <w:tcPr>
            <w:tcW w:w="7025" w:type="dxa"/>
            <w:gridSpan w:val="9"/>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注册地址</w:t>
            </w:r>
          </w:p>
        </w:tc>
        <w:tc>
          <w:tcPr>
            <w:tcW w:w="3394"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2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邮政编码</w:t>
            </w:r>
          </w:p>
        </w:tc>
        <w:tc>
          <w:tcPr>
            <w:tcW w:w="238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联系方式</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联系人</w:t>
            </w:r>
          </w:p>
        </w:tc>
        <w:tc>
          <w:tcPr>
            <w:tcW w:w="2494"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2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电 话</w:t>
            </w:r>
          </w:p>
        </w:tc>
        <w:tc>
          <w:tcPr>
            <w:tcW w:w="238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Cs w:val="21"/>
              </w:rPr>
            </w:pP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传 真</w:t>
            </w:r>
          </w:p>
        </w:tc>
        <w:tc>
          <w:tcPr>
            <w:tcW w:w="2494"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2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网 址</w:t>
            </w:r>
          </w:p>
        </w:tc>
        <w:tc>
          <w:tcPr>
            <w:tcW w:w="2385"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组织结构</w:t>
            </w:r>
          </w:p>
        </w:tc>
        <w:tc>
          <w:tcPr>
            <w:tcW w:w="7025" w:type="dxa"/>
            <w:gridSpan w:val="9"/>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法定代表人</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姓名</w:t>
            </w:r>
          </w:p>
        </w:tc>
        <w:tc>
          <w:tcPr>
            <w:tcW w:w="10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278"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技术职称</w:t>
            </w:r>
          </w:p>
        </w:tc>
        <w:tc>
          <w:tcPr>
            <w:tcW w:w="1701"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电话</w:t>
            </w:r>
          </w:p>
        </w:tc>
        <w:tc>
          <w:tcPr>
            <w:tcW w:w="141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技术负责人</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姓名</w:t>
            </w:r>
          </w:p>
        </w:tc>
        <w:tc>
          <w:tcPr>
            <w:tcW w:w="10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278"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技术职称</w:t>
            </w:r>
          </w:p>
        </w:tc>
        <w:tc>
          <w:tcPr>
            <w:tcW w:w="1701"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电话</w:t>
            </w:r>
          </w:p>
        </w:tc>
        <w:tc>
          <w:tcPr>
            <w:tcW w:w="141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成立时间</w:t>
            </w:r>
          </w:p>
        </w:tc>
        <w:tc>
          <w:tcPr>
            <w:tcW w:w="192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5104"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员工总人数：</w:t>
            </w: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企业资质等级</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0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993"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其中</w:t>
            </w: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项目经理</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营业执照号</w:t>
            </w:r>
          </w:p>
        </w:tc>
        <w:tc>
          <w:tcPr>
            <w:tcW w:w="900" w:type="dxa"/>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1021" w:type="dxa"/>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993" w:type="dxa"/>
            <w:vMerge w:val="continue"/>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高级职称人员</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注册资金</w:t>
            </w:r>
          </w:p>
        </w:tc>
        <w:tc>
          <w:tcPr>
            <w:tcW w:w="900" w:type="dxa"/>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1021" w:type="dxa"/>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993" w:type="dxa"/>
            <w:vMerge w:val="continue"/>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中级职称人员</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开户银行</w:t>
            </w:r>
          </w:p>
        </w:tc>
        <w:tc>
          <w:tcPr>
            <w:tcW w:w="900" w:type="dxa"/>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1021" w:type="dxa"/>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993" w:type="dxa"/>
            <w:vMerge w:val="continue"/>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初级职称人员</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账号</w:t>
            </w:r>
          </w:p>
        </w:tc>
        <w:tc>
          <w:tcPr>
            <w:tcW w:w="900" w:type="dxa"/>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1021" w:type="dxa"/>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993" w:type="dxa"/>
            <w:vMerge w:val="continue"/>
            <w:tcBorders>
              <w:top w:val="nil"/>
              <w:left w:val="nil"/>
              <w:bottom w:val="single" w:color="auto" w:sz="8" w:space="0"/>
              <w:right w:val="single" w:color="auto" w:sz="8" w:space="0"/>
            </w:tcBorders>
            <w:noWrap/>
            <w:vAlign w:val="center"/>
          </w:tcPr>
          <w:p>
            <w:pPr>
              <w:widowControl/>
              <w:jc w:val="left"/>
              <w:rPr>
                <w:rFonts w:ascii="宋体" w:hAnsi="宋体" w:cs="宋体"/>
                <w:kern w:val="0"/>
                <w:szCs w:val="21"/>
              </w:rPr>
            </w:pPr>
          </w:p>
        </w:tc>
        <w:tc>
          <w:tcPr>
            <w:tcW w:w="1986"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技 工</w:t>
            </w:r>
          </w:p>
        </w:tc>
        <w:tc>
          <w:tcPr>
            <w:tcW w:w="2125"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2172"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经营范围</w:t>
            </w:r>
          </w:p>
        </w:tc>
        <w:tc>
          <w:tcPr>
            <w:tcW w:w="7025" w:type="dxa"/>
            <w:gridSpan w:val="9"/>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567" w:hRule="atLeast"/>
          <w:jc w:val="center"/>
        </w:trPr>
        <w:tc>
          <w:tcPr>
            <w:tcW w:w="148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备注</w:t>
            </w:r>
          </w:p>
        </w:tc>
        <w:tc>
          <w:tcPr>
            <w:tcW w:w="7025" w:type="dxa"/>
            <w:gridSpan w:val="9"/>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bl>
    <w:p>
      <w:pPr>
        <w:widowControl/>
        <w:shd w:val="clear" w:color="auto" w:fill="FFFFFF"/>
        <w:snapToGrid w:val="0"/>
        <w:spacing w:before="100" w:beforeAutospacing="1" w:after="100" w:afterAutospacing="1" w:line="360" w:lineRule="auto"/>
        <w:rPr>
          <w:rFonts w:ascii="新宋体" w:hAnsi="新宋体" w:eastAsia="新宋体" w:cs="宋体"/>
          <w:b/>
          <w:bCs/>
          <w:kern w:val="0"/>
          <w:sz w:val="28"/>
          <w:szCs w:val="28"/>
        </w:rPr>
      </w:pPr>
    </w:p>
    <w:p>
      <w:pPr>
        <w:widowControl/>
        <w:shd w:val="clear" w:color="auto" w:fill="FFFFFF"/>
        <w:snapToGrid w:val="0"/>
        <w:spacing w:before="100" w:beforeAutospacing="1" w:after="100" w:afterAutospacing="1" w:line="360" w:lineRule="auto"/>
        <w:rPr>
          <w:rFonts w:ascii="新宋体" w:hAnsi="新宋体" w:eastAsia="新宋体" w:cs="宋体"/>
          <w:b/>
          <w:bCs/>
          <w:kern w:val="0"/>
          <w:sz w:val="28"/>
          <w:szCs w:val="28"/>
        </w:rPr>
      </w:pPr>
    </w:p>
    <w:p>
      <w:pPr>
        <w:pStyle w:val="9"/>
      </w:pPr>
    </w:p>
    <w:p>
      <w:pPr>
        <w:pStyle w:val="17"/>
      </w:pPr>
    </w:p>
    <w:p>
      <w:pPr>
        <w:pStyle w:val="17"/>
      </w:pPr>
    </w:p>
    <w:p>
      <w:pPr>
        <w:pStyle w:val="6"/>
        <w:jc w:val="center"/>
        <w:rPr>
          <w:rFonts w:ascii="宋体"/>
          <w:sz w:val="24"/>
        </w:rPr>
      </w:pPr>
      <w:bookmarkStart w:id="343" w:name="_Toc2710"/>
      <w:bookmarkStart w:id="344" w:name="_Toc32646"/>
      <w:r>
        <w:rPr>
          <w:rFonts w:hint="eastAsia"/>
        </w:rPr>
        <w:t>投标人近年完成的类似项目情况表</w:t>
      </w:r>
      <w:bookmarkEnd w:id="343"/>
      <w:bookmarkEnd w:id="344"/>
    </w:p>
    <w:tbl>
      <w:tblPr>
        <w:tblStyle w:val="30"/>
        <w:tblW w:w="0" w:type="auto"/>
        <w:jc w:val="center"/>
        <w:tblLayout w:type="fixed"/>
        <w:tblCellMar>
          <w:top w:w="0" w:type="dxa"/>
          <w:left w:w="0" w:type="dxa"/>
          <w:bottom w:w="0" w:type="dxa"/>
          <w:right w:w="0" w:type="dxa"/>
        </w:tblCellMar>
      </w:tblPr>
      <w:tblGrid>
        <w:gridCol w:w="2411"/>
        <w:gridCol w:w="6094"/>
      </w:tblGrid>
      <w:tr>
        <w:tblPrEx>
          <w:tblCellMar>
            <w:top w:w="0" w:type="dxa"/>
            <w:left w:w="0" w:type="dxa"/>
            <w:bottom w:w="0" w:type="dxa"/>
            <w:right w:w="0" w:type="dxa"/>
          </w:tblCellMar>
        </w:tblPrEx>
        <w:trPr>
          <w:trHeight w:val="624" w:hRule="atLeast"/>
          <w:jc w:val="center"/>
        </w:trPr>
        <w:tc>
          <w:tcPr>
            <w:tcW w:w="241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项目名称</w:t>
            </w:r>
          </w:p>
        </w:tc>
        <w:tc>
          <w:tcPr>
            <w:tcW w:w="609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项目所在地</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发包人名称</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发包人地址</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发包人联系人及电话</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合同价格</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开工日期</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竣工日期</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承担的工作</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工程质量</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项目经理</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技术负责人</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总监理工程师及电话</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1587"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项目描述</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工程获奖情况</w:t>
            </w:r>
            <w:r>
              <w:rPr>
                <w:rFonts w:ascii="宋体" w:hAnsi="宋体" w:cs="宋体"/>
                <w:kern w:val="0"/>
                <w:szCs w:val="21"/>
              </w:rPr>
              <w:t>(</w:t>
            </w:r>
            <w:r>
              <w:rPr>
                <w:rFonts w:hint="eastAsia" w:ascii="新宋体" w:hAnsi="新宋体" w:eastAsia="新宋体" w:cs="宋体"/>
                <w:kern w:val="0"/>
                <w:szCs w:val="21"/>
              </w:rPr>
              <w:t>请注明证书编号</w:t>
            </w:r>
            <w:r>
              <w:rPr>
                <w:rFonts w:ascii="宋体" w:hAnsi="宋体" w:cs="宋体"/>
                <w:kern w:val="0"/>
                <w:szCs w:val="21"/>
              </w:rPr>
              <w:t>)</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24" w:hRule="atLeast"/>
          <w:jc w:val="center"/>
        </w:trPr>
        <w:tc>
          <w:tcPr>
            <w:tcW w:w="241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备注</w:t>
            </w:r>
          </w:p>
        </w:tc>
        <w:tc>
          <w:tcPr>
            <w:tcW w:w="6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bl>
    <w:p>
      <w:pPr>
        <w:jc w:val="center"/>
        <w:rPr>
          <w:rFonts w:ascii="宋体" w:hAnsi="宋体" w:cs="宋体"/>
          <w:b/>
          <w:sz w:val="28"/>
          <w:szCs w:val="28"/>
        </w:rPr>
      </w:pPr>
    </w:p>
    <w:p>
      <w:pPr>
        <w:widowControl/>
        <w:shd w:val="clear" w:color="auto" w:fill="FFFFFF"/>
        <w:snapToGrid w:val="0"/>
        <w:spacing w:before="100" w:beforeAutospacing="1" w:after="100" w:afterAutospacing="1" w:line="360" w:lineRule="auto"/>
        <w:jc w:val="center"/>
        <w:rPr>
          <w:rFonts w:ascii="新宋体" w:hAnsi="新宋体" w:eastAsia="新宋体" w:cs="宋体"/>
          <w:b/>
          <w:bCs/>
          <w:kern w:val="0"/>
          <w:sz w:val="28"/>
          <w:szCs w:val="28"/>
        </w:rPr>
      </w:pPr>
    </w:p>
    <w:p>
      <w:pPr>
        <w:pStyle w:val="9"/>
      </w:pPr>
    </w:p>
    <w:p>
      <w:pPr>
        <w:pStyle w:val="6"/>
        <w:jc w:val="center"/>
      </w:pPr>
      <w:bookmarkStart w:id="345" w:name="_Toc18427"/>
      <w:bookmarkStart w:id="346" w:name="_Toc22843"/>
      <w:r>
        <w:rPr>
          <w:rFonts w:hint="eastAsia"/>
        </w:rPr>
        <w:t>项目经理简历表</w:t>
      </w:r>
      <w:bookmarkEnd w:id="345"/>
      <w:bookmarkEnd w:id="346"/>
    </w:p>
    <w:p>
      <w:pPr>
        <w:widowControl/>
        <w:shd w:val="clear" w:color="auto" w:fill="FFFFFF"/>
        <w:snapToGrid w:val="0"/>
        <w:spacing w:before="312" w:after="156" w:line="360" w:lineRule="auto"/>
        <w:jc w:val="center"/>
        <w:rPr>
          <w:rFonts w:ascii="宋体" w:hAnsi="宋体" w:cs="宋体"/>
          <w:kern w:val="0"/>
          <w:sz w:val="28"/>
        </w:rPr>
      </w:pPr>
      <w:r>
        <w:rPr>
          <w:rFonts w:hint="eastAsia" w:ascii="黑体" w:hAnsi="黑体" w:eastAsia="黑体" w:cs="宋体"/>
          <w:kern w:val="0"/>
          <w:sz w:val="28"/>
        </w:rPr>
        <w:t>附1：项目经理简历表</w:t>
      </w:r>
    </w:p>
    <w:tbl>
      <w:tblPr>
        <w:tblStyle w:val="30"/>
        <w:tblW w:w="0" w:type="auto"/>
        <w:jc w:val="center"/>
        <w:tblLayout w:type="fixed"/>
        <w:tblCellMar>
          <w:top w:w="0" w:type="dxa"/>
          <w:left w:w="0" w:type="dxa"/>
          <w:bottom w:w="0" w:type="dxa"/>
          <w:right w:w="0" w:type="dxa"/>
        </w:tblCellMar>
      </w:tblPr>
      <w:tblGrid>
        <w:gridCol w:w="1081"/>
        <w:gridCol w:w="1023"/>
        <w:gridCol w:w="1124"/>
        <w:gridCol w:w="1263"/>
        <w:gridCol w:w="1822"/>
        <w:gridCol w:w="2101"/>
      </w:tblGrid>
      <w:tr>
        <w:tblPrEx>
          <w:tblCellMar>
            <w:top w:w="0" w:type="dxa"/>
            <w:left w:w="0" w:type="dxa"/>
            <w:bottom w:w="0" w:type="dxa"/>
            <w:right w:w="0" w:type="dxa"/>
          </w:tblCellMar>
        </w:tblPrEx>
        <w:trPr>
          <w:trHeight w:val="454" w:hRule="atLeast"/>
          <w:jc w:val="center"/>
        </w:trPr>
        <w:tc>
          <w:tcPr>
            <w:tcW w:w="108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姓 名</w:t>
            </w:r>
          </w:p>
        </w:tc>
        <w:tc>
          <w:tcPr>
            <w:tcW w:w="102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12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年 龄</w:t>
            </w:r>
          </w:p>
        </w:tc>
        <w:tc>
          <w:tcPr>
            <w:tcW w:w="126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82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学历</w:t>
            </w:r>
          </w:p>
        </w:tc>
        <w:tc>
          <w:tcPr>
            <w:tcW w:w="210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454"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职 称</w:t>
            </w: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职 务</w:t>
            </w: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拟在本工程任职</w:t>
            </w: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项目经理</w:t>
            </w:r>
          </w:p>
        </w:tc>
      </w:tr>
      <w:tr>
        <w:tblPrEx>
          <w:tblCellMar>
            <w:top w:w="0" w:type="dxa"/>
            <w:left w:w="0" w:type="dxa"/>
            <w:bottom w:w="0" w:type="dxa"/>
            <w:right w:w="0" w:type="dxa"/>
          </w:tblCellMar>
        </w:tblPrEx>
        <w:trPr>
          <w:trHeight w:val="454" w:hRule="atLeast"/>
          <w:jc w:val="center"/>
        </w:trPr>
        <w:tc>
          <w:tcPr>
            <w:tcW w:w="3228" w:type="dxa"/>
            <w:gridSpan w:val="3"/>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注册建造师执业资格等级</w:t>
            </w: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级</w:t>
            </w: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建造师专业</w:t>
            </w: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454" w:hRule="atLeast"/>
          <w:jc w:val="center"/>
        </w:trPr>
        <w:tc>
          <w:tcPr>
            <w:tcW w:w="3228" w:type="dxa"/>
            <w:gridSpan w:val="3"/>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安全生产考核合格证书</w:t>
            </w:r>
          </w:p>
        </w:tc>
        <w:tc>
          <w:tcPr>
            <w:tcW w:w="5186"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454"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毕业学校</w:t>
            </w:r>
          </w:p>
        </w:tc>
        <w:tc>
          <w:tcPr>
            <w:tcW w:w="7333"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ind w:firstLine="840"/>
              <w:jc w:val="left"/>
              <w:rPr>
                <w:rFonts w:ascii="宋体" w:hAnsi="宋体" w:cs="宋体"/>
                <w:kern w:val="0"/>
                <w:szCs w:val="21"/>
              </w:rPr>
            </w:pPr>
            <w:r>
              <w:rPr>
                <w:rFonts w:hint="eastAsia" w:ascii="新宋体" w:hAnsi="新宋体" w:eastAsia="新宋体" w:cs="宋体"/>
                <w:kern w:val="0"/>
                <w:szCs w:val="21"/>
              </w:rPr>
              <w:t>年毕业于 学校 专业</w:t>
            </w:r>
          </w:p>
        </w:tc>
      </w:tr>
      <w:tr>
        <w:tblPrEx>
          <w:tblCellMar>
            <w:top w:w="0" w:type="dxa"/>
            <w:left w:w="0" w:type="dxa"/>
            <w:bottom w:w="0" w:type="dxa"/>
            <w:right w:w="0" w:type="dxa"/>
          </w:tblCellMar>
        </w:tblPrEx>
        <w:trPr>
          <w:trHeight w:val="454" w:hRule="atLeast"/>
          <w:jc w:val="center"/>
        </w:trPr>
        <w:tc>
          <w:tcPr>
            <w:tcW w:w="8414" w:type="dxa"/>
            <w:gridSpan w:val="6"/>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主要工作经历</w:t>
            </w:r>
          </w:p>
        </w:tc>
      </w:tr>
      <w:tr>
        <w:tblPrEx>
          <w:tblCellMar>
            <w:top w:w="0" w:type="dxa"/>
            <w:left w:w="0" w:type="dxa"/>
            <w:bottom w:w="0" w:type="dxa"/>
            <w:right w:w="0" w:type="dxa"/>
          </w:tblCellMar>
        </w:tblPrEx>
        <w:trPr>
          <w:trHeight w:val="454"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时 间</w:t>
            </w:r>
          </w:p>
        </w:tc>
        <w:tc>
          <w:tcPr>
            <w:tcW w:w="3410"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参加过的类似项目名称</w:t>
            </w: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工程概况说明</w:t>
            </w: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发包人及联系电话</w:t>
            </w:r>
          </w:p>
        </w:tc>
      </w:tr>
      <w:tr>
        <w:tblPrEx>
          <w:tblCellMar>
            <w:top w:w="0" w:type="dxa"/>
            <w:left w:w="0" w:type="dxa"/>
            <w:bottom w:w="0" w:type="dxa"/>
            <w:right w:w="0" w:type="dxa"/>
          </w:tblCellMar>
        </w:tblPrEx>
        <w:trPr>
          <w:trHeight w:val="680"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80"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80"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80" w:hRule="atLeast"/>
          <w:jc w:val="center"/>
        </w:trPr>
        <w:tc>
          <w:tcPr>
            <w:tcW w:w="108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0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12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26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182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c>
          <w:tcPr>
            <w:tcW w:w="210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1350" w:hRule="atLeast"/>
          <w:jc w:val="center"/>
        </w:trPr>
        <w:tc>
          <w:tcPr>
            <w:tcW w:w="8414" w:type="dxa"/>
            <w:gridSpan w:val="6"/>
            <w:tcBorders>
              <w:top w:val="nil"/>
              <w:left w:val="single" w:color="auto" w:sz="8" w:space="0"/>
              <w:bottom w:val="single" w:color="auto" w:sz="8" w:space="0"/>
              <w:right w:val="single" w:color="auto" w:sz="8" w:space="0"/>
            </w:tcBorders>
            <w:noWrap/>
            <w:tcMar>
              <w:top w:w="0" w:type="dxa"/>
              <w:left w:w="108" w:type="dxa"/>
              <w:bottom w:w="0" w:type="dxa"/>
              <w:right w:w="108" w:type="dxa"/>
            </w:tcMar>
          </w:tcPr>
          <w:p>
            <w:pPr>
              <w:widowControl/>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是否有在建工程情况：</w:t>
            </w:r>
          </w:p>
        </w:tc>
      </w:tr>
    </w:tbl>
    <w:p>
      <w:pPr>
        <w:rPr>
          <w:rFonts w:ascii="宋体" w:hAnsi="宋体" w:cs="宋体"/>
          <w:b/>
          <w:sz w:val="28"/>
          <w:szCs w:val="28"/>
        </w:rPr>
      </w:pPr>
    </w:p>
    <w:p>
      <w:pPr>
        <w:pStyle w:val="9"/>
        <w:rPr>
          <w:rFonts w:ascii="宋体" w:hAnsi="宋体" w:cs="宋体"/>
          <w:b/>
          <w:szCs w:val="28"/>
        </w:rPr>
      </w:pPr>
    </w:p>
    <w:p>
      <w:pPr>
        <w:pStyle w:val="10"/>
        <w:outlineLvl w:val="9"/>
        <w:rPr>
          <w:rFonts w:ascii="宋体" w:cs="宋体"/>
          <w:b/>
          <w:sz w:val="28"/>
          <w:szCs w:val="28"/>
        </w:rPr>
      </w:pPr>
    </w:p>
    <w:p>
      <w:pPr>
        <w:pStyle w:val="12"/>
        <w:ind w:firstLine="562"/>
        <w:rPr>
          <w:b/>
          <w:color w:val="auto"/>
          <w:sz w:val="28"/>
          <w:szCs w:val="28"/>
        </w:rPr>
      </w:pPr>
    </w:p>
    <w:p>
      <w:pPr>
        <w:rPr>
          <w:rFonts w:ascii="宋体" w:hAnsi="宋体" w:cs="宋体"/>
          <w:b/>
          <w:sz w:val="28"/>
          <w:szCs w:val="28"/>
        </w:rPr>
      </w:pPr>
    </w:p>
    <w:p>
      <w:pPr>
        <w:pStyle w:val="9"/>
        <w:rPr>
          <w:rFonts w:ascii="宋体" w:hAnsi="宋体" w:cs="宋体"/>
          <w:b/>
          <w:szCs w:val="28"/>
        </w:rPr>
      </w:pPr>
    </w:p>
    <w:p>
      <w:pPr>
        <w:widowControl/>
        <w:shd w:val="clear" w:color="auto" w:fill="FFFFFF"/>
        <w:snapToGrid w:val="0"/>
        <w:spacing w:before="312" w:after="156" w:line="360" w:lineRule="auto"/>
        <w:rPr>
          <w:rFonts w:ascii="黑体" w:hAnsi="黑体" w:eastAsia="黑体" w:cs="宋体"/>
          <w:kern w:val="0"/>
          <w:sz w:val="28"/>
        </w:rPr>
      </w:pPr>
    </w:p>
    <w:p>
      <w:pPr>
        <w:widowControl/>
        <w:shd w:val="clear" w:color="auto" w:fill="FFFFFF"/>
        <w:snapToGrid w:val="0"/>
        <w:spacing w:before="312" w:after="156" w:line="360" w:lineRule="auto"/>
        <w:jc w:val="center"/>
        <w:rPr>
          <w:rFonts w:ascii="黑体" w:hAnsi="黑体" w:eastAsia="黑体" w:cs="宋体"/>
          <w:kern w:val="0"/>
          <w:sz w:val="28"/>
        </w:rPr>
      </w:pPr>
      <w:r>
        <w:rPr>
          <w:rFonts w:hint="eastAsia" w:ascii="黑体" w:hAnsi="黑体" w:eastAsia="黑体" w:cs="宋体"/>
          <w:kern w:val="0"/>
          <w:sz w:val="28"/>
        </w:rPr>
        <w:t>附2：项目经理类似工程和获奖工程情况简表</w:t>
      </w:r>
    </w:p>
    <w:tbl>
      <w:tblPr>
        <w:tblStyle w:val="30"/>
        <w:tblW w:w="0" w:type="auto"/>
        <w:jc w:val="center"/>
        <w:tblLayout w:type="fixed"/>
        <w:tblCellMar>
          <w:top w:w="0" w:type="dxa"/>
          <w:left w:w="0" w:type="dxa"/>
          <w:bottom w:w="0" w:type="dxa"/>
          <w:right w:w="0" w:type="dxa"/>
        </w:tblCellMar>
      </w:tblPr>
      <w:tblGrid>
        <w:gridCol w:w="2021"/>
        <w:gridCol w:w="7201"/>
      </w:tblGrid>
      <w:tr>
        <w:tblPrEx>
          <w:tblCellMar>
            <w:top w:w="0" w:type="dxa"/>
            <w:left w:w="0" w:type="dxa"/>
            <w:bottom w:w="0" w:type="dxa"/>
            <w:right w:w="0" w:type="dxa"/>
          </w:tblCellMar>
        </w:tblPrEx>
        <w:trPr>
          <w:trHeight w:val="549" w:hRule="atLeast"/>
          <w:jc w:val="center"/>
        </w:trPr>
        <w:tc>
          <w:tcPr>
            <w:tcW w:w="2021" w:type="dxa"/>
            <w:tcBorders>
              <w:top w:val="single" w:color="auto" w:sz="12" w:space="0"/>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合同号</w:t>
            </w:r>
          </w:p>
        </w:tc>
        <w:tc>
          <w:tcPr>
            <w:tcW w:w="7201" w:type="dxa"/>
            <w:tcBorders>
              <w:top w:val="single" w:color="auto" w:sz="12" w:space="0"/>
              <w:left w:val="nil"/>
              <w:bottom w:val="single" w:color="auto" w:sz="8" w:space="0"/>
              <w:right w:val="single" w:color="auto" w:sz="12" w:space="0"/>
            </w:tcBorders>
            <w:noWrap/>
            <w:tcMar>
              <w:top w:w="0" w:type="dxa"/>
              <w:left w:w="28" w:type="dxa"/>
              <w:bottom w:w="0" w:type="dxa"/>
              <w:right w:w="2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14" w:hRule="atLeast"/>
          <w:jc w:val="center"/>
        </w:trPr>
        <w:tc>
          <w:tcPr>
            <w:tcW w:w="2021"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工程名称</w:t>
            </w:r>
          </w:p>
        </w:tc>
        <w:tc>
          <w:tcPr>
            <w:tcW w:w="7201" w:type="dxa"/>
            <w:tcBorders>
              <w:top w:val="nil"/>
              <w:left w:val="nil"/>
              <w:bottom w:val="single" w:color="auto" w:sz="8" w:space="0"/>
              <w:right w:val="single" w:color="auto" w:sz="12" w:space="0"/>
            </w:tcBorders>
            <w:noWrap/>
            <w:tcMar>
              <w:top w:w="0" w:type="dxa"/>
              <w:left w:w="28" w:type="dxa"/>
              <w:bottom w:w="0" w:type="dxa"/>
              <w:right w:w="2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05" w:hRule="atLeast"/>
          <w:jc w:val="center"/>
        </w:trPr>
        <w:tc>
          <w:tcPr>
            <w:tcW w:w="2021"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工程地址</w:t>
            </w:r>
          </w:p>
        </w:tc>
        <w:tc>
          <w:tcPr>
            <w:tcW w:w="7201" w:type="dxa"/>
            <w:tcBorders>
              <w:top w:val="nil"/>
              <w:left w:val="nil"/>
              <w:bottom w:val="single" w:color="auto" w:sz="8" w:space="0"/>
              <w:right w:val="single" w:color="auto" w:sz="12" w:space="0"/>
            </w:tcBorders>
            <w:noWrap/>
            <w:tcMar>
              <w:top w:w="0" w:type="dxa"/>
              <w:left w:w="28" w:type="dxa"/>
              <w:bottom w:w="0" w:type="dxa"/>
              <w:right w:w="2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13" w:hRule="atLeast"/>
          <w:jc w:val="center"/>
        </w:trPr>
        <w:tc>
          <w:tcPr>
            <w:tcW w:w="2021"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建设单位名称</w:t>
            </w:r>
          </w:p>
        </w:tc>
        <w:tc>
          <w:tcPr>
            <w:tcW w:w="7201" w:type="dxa"/>
            <w:tcBorders>
              <w:top w:val="nil"/>
              <w:left w:val="nil"/>
              <w:bottom w:val="single" w:color="auto" w:sz="8" w:space="0"/>
              <w:right w:val="single" w:color="auto" w:sz="12" w:space="0"/>
            </w:tcBorders>
            <w:noWrap/>
            <w:tcMar>
              <w:top w:w="0" w:type="dxa"/>
              <w:left w:w="28" w:type="dxa"/>
              <w:bottom w:w="0" w:type="dxa"/>
              <w:right w:w="28" w:type="dxa"/>
            </w:tcMar>
            <w:vAlign w:val="cente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765" w:hRule="atLeast"/>
          <w:jc w:val="center"/>
        </w:trPr>
        <w:tc>
          <w:tcPr>
            <w:tcW w:w="9222" w:type="dxa"/>
            <w:gridSpan w:val="2"/>
            <w:tcBorders>
              <w:top w:val="nil"/>
              <w:left w:val="single" w:color="auto" w:sz="12" w:space="0"/>
              <w:bottom w:val="single" w:color="auto" w:sz="8" w:space="0"/>
              <w:right w:val="single" w:color="auto" w:sz="12" w:space="0"/>
            </w:tcBorders>
            <w:noWrap/>
            <w:tcMar>
              <w:top w:w="0" w:type="dxa"/>
              <w:left w:w="28" w:type="dxa"/>
              <w:bottom w:w="0" w:type="dxa"/>
              <w:right w:w="28" w:type="dxa"/>
            </w:tcMa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建设单位地址</w:t>
            </w:r>
            <w:r>
              <w:rPr>
                <w:rFonts w:ascii="宋体" w:hAnsi="宋体" w:cs="宋体"/>
                <w:kern w:val="0"/>
                <w:szCs w:val="21"/>
              </w:rPr>
              <w:t>(</w:t>
            </w:r>
            <w:r>
              <w:rPr>
                <w:rFonts w:hint="eastAsia" w:ascii="新宋体" w:hAnsi="新宋体" w:eastAsia="新宋体" w:cs="宋体"/>
                <w:kern w:val="0"/>
                <w:szCs w:val="21"/>
              </w:rPr>
              <w:t>请详细说明发包人联系电话及联系人</w:t>
            </w:r>
            <w:r>
              <w:rPr>
                <w:rFonts w:ascii="宋体" w:hAnsi="宋体" w:cs="宋体"/>
                <w:kern w:val="0"/>
                <w:szCs w:val="21"/>
              </w:rPr>
              <w:t>)</w:t>
            </w:r>
            <w:r>
              <w:rPr>
                <w:rFonts w:hint="eastAsia" w:ascii="新宋体" w:hAnsi="新宋体" w:eastAsia="新宋体" w:cs="宋体"/>
                <w:kern w:val="0"/>
                <w:szCs w:val="21"/>
              </w:rPr>
              <w:t>：</w:t>
            </w:r>
          </w:p>
        </w:tc>
      </w:tr>
      <w:tr>
        <w:tblPrEx>
          <w:tblCellMar>
            <w:top w:w="0" w:type="dxa"/>
            <w:left w:w="0" w:type="dxa"/>
            <w:bottom w:w="0" w:type="dxa"/>
            <w:right w:w="0" w:type="dxa"/>
          </w:tblCellMar>
        </w:tblPrEx>
        <w:trPr>
          <w:trHeight w:val="1851" w:hRule="atLeast"/>
          <w:jc w:val="center"/>
        </w:trPr>
        <w:tc>
          <w:tcPr>
            <w:tcW w:w="9222" w:type="dxa"/>
            <w:gridSpan w:val="2"/>
            <w:tcBorders>
              <w:top w:val="nil"/>
              <w:left w:val="single" w:color="auto" w:sz="12" w:space="0"/>
              <w:bottom w:val="single" w:color="auto" w:sz="8" w:space="0"/>
              <w:right w:val="single" w:color="auto" w:sz="12" w:space="0"/>
            </w:tcBorders>
            <w:noWrap/>
            <w:tcMar>
              <w:top w:w="0" w:type="dxa"/>
              <w:left w:w="28" w:type="dxa"/>
              <w:bottom w:w="0" w:type="dxa"/>
              <w:right w:w="28" w:type="dxa"/>
            </w:tcMa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与投标申请人所申请的合同相类似的工程性质和特点</w:t>
            </w:r>
          </w:p>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(请详细说明所承担的合同工程内容，如规模、长度、跨度、层数、结构、特殊施工工艺等等)</w:t>
            </w:r>
          </w:p>
        </w:tc>
      </w:tr>
      <w:tr>
        <w:tblPrEx>
          <w:tblCellMar>
            <w:top w:w="0" w:type="dxa"/>
            <w:left w:w="0" w:type="dxa"/>
            <w:bottom w:w="0" w:type="dxa"/>
            <w:right w:w="0" w:type="dxa"/>
          </w:tblCellMar>
        </w:tblPrEx>
        <w:trPr>
          <w:trHeight w:val="601" w:hRule="atLeast"/>
          <w:jc w:val="center"/>
        </w:trPr>
        <w:tc>
          <w:tcPr>
            <w:tcW w:w="2021"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合同总价</w:t>
            </w:r>
          </w:p>
        </w:tc>
        <w:tc>
          <w:tcPr>
            <w:tcW w:w="7201" w:type="dxa"/>
            <w:tcBorders>
              <w:top w:val="nil"/>
              <w:left w:val="nil"/>
              <w:bottom w:val="single" w:color="auto" w:sz="8" w:space="0"/>
              <w:right w:val="single" w:color="auto" w:sz="12" w:space="0"/>
            </w:tcBorders>
            <w:noWrap/>
            <w:tcMar>
              <w:top w:w="0" w:type="dxa"/>
              <w:left w:w="28" w:type="dxa"/>
              <w:bottom w:w="0" w:type="dxa"/>
              <w:right w:w="28" w:type="dxa"/>
            </w:tcMa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01" w:hRule="atLeast"/>
          <w:jc w:val="center"/>
        </w:trPr>
        <w:tc>
          <w:tcPr>
            <w:tcW w:w="2021"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工程规模</w:t>
            </w:r>
          </w:p>
        </w:tc>
        <w:tc>
          <w:tcPr>
            <w:tcW w:w="7201" w:type="dxa"/>
            <w:tcBorders>
              <w:top w:val="nil"/>
              <w:left w:val="nil"/>
              <w:bottom w:val="single" w:color="auto" w:sz="8" w:space="0"/>
              <w:right w:val="single" w:color="auto" w:sz="12" w:space="0"/>
            </w:tcBorders>
            <w:noWrap/>
            <w:tcMar>
              <w:top w:w="0" w:type="dxa"/>
              <w:left w:w="28" w:type="dxa"/>
              <w:bottom w:w="0" w:type="dxa"/>
              <w:right w:w="28" w:type="dxa"/>
            </w:tcMa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11" w:hRule="atLeast"/>
          <w:jc w:val="center"/>
        </w:trPr>
        <w:tc>
          <w:tcPr>
            <w:tcW w:w="2021"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合同授予时间</w:t>
            </w:r>
          </w:p>
        </w:tc>
        <w:tc>
          <w:tcPr>
            <w:tcW w:w="7201" w:type="dxa"/>
            <w:tcBorders>
              <w:top w:val="nil"/>
              <w:left w:val="nil"/>
              <w:bottom w:val="single" w:color="auto" w:sz="8" w:space="0"/>
              <w:right w:val="single" w:color="auto" w:sz="12" w:space="0"/>
            </w:tcBorders>
            <w:noWrap/>
            <w:tcMar>
              <w:top w:w="0" w:type="dxa"/>
              <w:left w:w="28" w:type="dxa"/>
              <w:bottom w:w="0" w:type="dxa"/>
              <w:right w:w="28" w:type="dxa"/>
            </w:tcMa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11" w:hRule="atLeast"/>
          <w:jc w:val="center"/>
        </w:trPr>
        <w:tc>
          <w:tcPr>
            <w:tcW w:w="2021"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质量情况</w:t>
            </w:r>
          </w:p>
        </w:tc>
        <w:tc>
          <w:tcPr>
            <w:tcW w:w="7201" w:type="dxa"/>
            <w:tcBorders>
              <w:top w:val="nil"/>
              <w:left w:val="nil"/>
              <w:bottom w:val="single" w:color="auto" w:sz="8" w:space="0"/>
              <w:right w:val="single" w:color="auto" w:sz="12" w:space="0"/>
            </w:tcBorders>
            <w:noWrap/>
            <w:tcMar>
              <w:top w:w="0" w:type="dxa"/>
              <w:left w:w="28" w:type="dxa"/>
              <w:bottom w:w="0" w:type="dxa"/>
              <w:right w:w="28" w:type="dxa"/>
            </w:tcMa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601" w:hRule="atLeast"/>
          <w:jc w:val="center"/>
        </w:trPr>
        <w:tc>
          <w:tcPr>
            <w:tcW w:w="2021"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开竣工日期</w:t>
            </w:r>
          </w:p>
        </w:tc>
        <w:tc>
          <w:tcPr>
            <w:tcW w:w="7201" w:type="dxa"/>
            <w:tcBorders>
              <w:top w:val="nil"/>
              <w:left w:val="nil"/>
              <w:bottom w:val="single" w:color="auto" w:sz="8" w:space="0"/>
              <w:right w:val="single" w:color="auto" w:sz="12" w:space="0"/>
            </w:tcBorders>
            <w:noWrap/>
            <w:tcMar>
              <w:top w:w="0" w:type="dxa"/>
              <w:left w:w="28" w:type="dxa"/>
              <w:bottom w:w="0" w:type="dxa"/>
              <w:right w:w="28" w:type="dxa"/>
            </w:tcMar>
          </w:tcPr>
          <w:p>
            <w:pPr>
              <w:widowControl/>
              <w:jc w:val="left"/>
              <w:rPr>
                <w:rFonts w:ascii="宋体" w:hAnsi="宋体" w:cs="宋体"/>
                <w:kern w:val="0"/>
                <w:szCs w:val="21"/>
              </w:rPr>
            </w:pPr>
          </w:p>
        </w:tc>
      </w:tr>
      <w:tr>
        <w:tblPrEx>
          <w:tblCellMar>
            <w:top w:w="0" w:type="dxa"/>
            <w:left w:w="0" w:type="dxa"/>
            <w:bottom w:w="0" w:type="dxa"/>
            <w:right w:w="0" w:type="dxa"/>
          </w:tblCellMar>
        </w:tblPrEx>
        <w:trPr>
          <w:trHeight w:val="1348" w:hRule="atLeast"/>
          <w:jc w:val="center"/>
        </w:trPr>
        <w:tc>
          <w:tcPr>
            <w:tcW w:w="2021" w:type="dxa"/>
            <w:tcBorders>
              <w:top w:val="nil"/>
              <w:left w:val="single" w:color="auto" w:sz="12" w:space="0"/>
              <w:bottom w:val="single" w:color="auto" w:sz="8"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center"/>
              <w:rPr>
                <w:rFonts w:ascii="宋体" w:hAnsi="宋体" w:cs="宋体"/>
                <w:kern w:val="0"/>
                <w:szCs w:val="21"/>
              </w:rPr>
            </w:pPr>
            <w:r>
              <w:rPr>
                <w:rFonts w:hint="eastAsia" w:ascii="新宋体" w:hAnsi="新宋体" w:eastAsia="新宋体" w:cs="宋体"/>
                <w:kern w:val="0"/>
                <w:szCs w:val="21"/>
              </w:rPr>
              <w:t>工程获奖情况</w:t>
            </w:r>
            <w:r>
              <w:rPr>
                <w:rFonts w:ascii="宋体" w:hAnsi="宋体" w:cs="宋体"/>
                <w:kern w:val="0"/>
                <w:szCs w:val="21"/>
              </w:rPr>
              <w:t>(</w:t>
            </w:r>
            <w:r>
              <w:rPr>
                <w:rFonts w:hint="eastAsia" w:ascii="新宋体" w:hAnsi="新宋体" w:eastAsia="新宋体" w:cs="宋体"/>
                <w:kern w:val="0"/>
                <w:szCs w:val="21"/>
              </w:rPr>
              <w:t>请注明证书编号</w:t>
            </w:r>
            <w:r>
              <w:rPr>
                <w:rFonts w:ascii="宋体" w:hAnsi="宋体" w:cs="宋体"/>
                <w:kern w:val="0"/>
                <w:szCs w:val="21"/>
              </w:rPr>
              <w:t>)</w:t>
            </w:r>
          </w:p>
        </w:tc>
        <w:tc>
          <w:tcPr>
            <w:tcW w:w="7201" w:type="dxa"/>
            <w:tcBorders>
              <w:top w:val="nil"/>
              <w:left w:val="nil"/>
              <w:bottom w:val="single" w:color="auto" w:sz="8" w:space="0"/>
              <w:right w:val="single" w:color="auto" w:sz="12" w:space="0"/>
            </w:tcBorders>
            <w:noWrap/>
            <w:tcMar>
              <w:top w:w="0" w:type="dxa"/>
              <w:left w:w="28" w:type="dxa"/>
              <w:bottom w:w="0" w:type="dxa"/>
              <w:right w:w="28" w:type="dxa"/>
            </w:tcMar>
            <w:vAlign w:val="center"/>
          </w:tcPr>
          <w:p>
            <w:pPr>
              <w:widowControl/>
              <w:jc w:val="center"/>
              <w:rPr>
                <w:rFonts w:ascii="宋体" w:hAnsi="宋体" w:cs="宋体"/>
                <w:kern w:val="0"/>
                <w:szCs w:val="21"/>
              </w:rPr>
            </w:pPr>
          </w:p>
        </w:tc>
      </w:tr>
      <w:tr>
        <w:tblPrEx>
          <w:tblCellMar>
            <w:top w:w="0" w:type="dxa"/>
            <w:left w:w="0" w:type="dxa"/>
            <w:bottom w:w="0" w:type="dxa"/>
            <w:right w:w="0" w:type="dxa"/>
          </w:tblCellMar>
        </w:tblPrEx>
        <w:trPr>
          <w:trHeight w:val="1347" w:hRule="atLeast"/>
          <w:jc w:val="center"/>
        </w:trPr>
        <w:tc>
          <w:tcPr>
            <w:tcW w:w="2021" w:type="dxa"/>
            <w:tcBorders>
              <w:top w:val="nil"/>
              <w:left w:val="single" w:color="auto" w:sz="12" w:space="0"/>
              <w:bottom w:val="single" w:color="auto" w:sz="12" w:space="0"/>
              <w:right w:val="single" w:color="auto" w:sz="8" w:space="0"/>
            </w:tcBorders>
            <w:noWrap/>
            <w:tcMar>
              <w:top w:w="0" w:type="dxa"/>
              <w:left w:w="28" w:type="dxa"/>
              <w:bottom w:w="0" w:type="dxa"/>
              <w:right w:w="28" w:type="dxa"/>
            </w:tcMar>
            <w:vAlign w:val="center"/>
          </w:tcPr>
          <w:p>
            <w:pPr>
              <w:widowControl/>
              <w:snapToGrid w:val="0"/>
              <w:spacing w:before="100" w:beforeAutospacing="1" w:after="100" w:afterAutospacing="1" w:line="360" w:lineRule="auto"/>
              <w:jc w:val="left"/>
              <w:rPr>
                <w:rFonts w:ascii="宋体" w:hAnsi="宋体" w:cs="宋体"/>
                <w:kern w:val="0"/>
                <w:szCs w:val="21"/>
              </w:rPr>
            </w:pPr>
            <w:r>
              <w:rPr>
                <w:rFonts w:hint="eastAsia" w:ascii="新宋体" w:hAnsi="新宋体" w:eastAsia="新宋体" w:cs="宋体"/>
                <w:kern w:val="0"/>
                <w:szCs w:val="21"/>
              </w:rPr>
              <w:t>备注</w:t>
            </w:r>
          </w:p>
        </w:tc>
        <w:tc>
          <w:tcPr>
            <w:tcW w:w="7201" w:type="dxa"/>
            <w:tcBorders>
              <w:top w:val="nil"/>
              <w:left w:val="nil"/>
              <w:bottom w:val="single" w:color="auto" w:sz="12" w:space="0"/>
              <w:right w:val="single" w:color="auto" w:sz="12" w:space="0"/>
            </w:tcBorders>
            <w:noWrap/>
            <w:tcMar>
              <w:top w:w="0" w:type="dxa"/>
              <w:left w:w="28" w:type="dxa"/>
              <w:bottom w:w="0" w:type="dxa"/>
              <w:right w:w="28" w:type="dxa"/>
            </w:tcMar>
          </w:tcPr>
          <w:p>
            <w:pPr>
              <w:widowControl/>
              <w:jc w:val="left"/>
              <w:rPr>
                <w:rFonts w:ascii="宋体" w:hAnsi="宋体" w:cs="宋体"/>
                <w:kern w:val="0"/>
                <w:szCs w:val="21"/>
              </w:rPr>
            </w:pPr>
          </w:p>
        </w:tc>
      </w:tr>
    </w:tbl>
    <w:p>
      <w:pPr>
        <w:jc w:val="center"/>
        <w:rPr>
          <w:rFonts w:ascii="宋体" w:hAnsi="宋体" w:cs="宋体"/>
          <w:b/>
          <w:color w:val="000000"/>
          <w:sz w:val="28"/>
          <w:szCs w:val="28"/>
        </w:rPr>
      </w:pPr>
    </w:p>
    <w:p>
      <w:pPr>
        <w:jc w:val="center"/>
        <w:rPr>
          <w:rFonts w:ascii="宋体" w:hAnsi="宋体" w:cs="宋体"/>
          <w:b/>
          <w:color w:val="000000"/>
          <w:sz w:val="28"/>
          <w:szCs w:val="28"/>
        </w:rPr>
      </w:pPr>
    </w:p>
    <w:p>
      <w:pPr>
        <w:jc w:val="center"/>
        <w:rPr>
          <w:rFonts w:ascii="宋体" w:hAnsi="宋体" w:cs="宋体"/>
          <w:b/>
          <w:color w:val="000000"/>
          <w:sz w:val="28"/>
          <w:szCs w:val="28"/>
        </w:rPr>
      </w:pPr>
    </w:p>
    <w:p>
      <w:pPr>
        <w:jc w:val="center"/>
        <w:rPr>
          <w:rFonts w:ascii="宋体" w:hAnsi="宋体" w:cs="宋体"/>
          <w:b/>
          <w:color w:val="000000"/>
          <w:sz w:val="28"/>
          <w:szCs w:val="28"/>
        </w:rPr>
      </w:pPr>
    </w:p>
    <w:p>
      <w:pPr>
        <w:jc w:val="center"/>
        <w:rPr>
          <w:rFonts w:ascii="宋体" w:hAnsi="宋体" w:cs="宋体"/>
          <w:b/>
          <w:color w:val="000000"/>
          <w:sz w:val="28"/>
          <w:szCs w:val="28"/>
        </w:rPr>
      </w:pPr>
    </w:p>
    <w:p>
      <w:pPr>
        <w:jc w:val="center"/>
        <w:outlineLvl w:val="1"/>
        <w:rPr>
          <w:rFonts w:ascii="宋体" w:hAnsi="宋体" w:cs="宋体"/>
          <w:b/>
          <w:color w:val="000000"/>
          <w:sz w:val="28"/>
          <w:szCs w:val="28"/>
        </w:rPr>
      </w:pPr>
      <w:bookmarkStart w:id="347" w:name="_Toc11948"/>
      <w:r>
        <w:rPr>
          <w:rFonts w:hint="eastAsia" w:ascii="宋体" w:hAnsi="宋体" w:cs="宋体"/>
          <w:b/>
          <w:color w:val="000000"/>
          <w:sz w:val="28"/>
          <w:szCs w:val="28"/>
        </w:rPr>
        <w:t>十、</w:t>
      </w:r>
      <w:r>
        <w:rPr>
          <w:rFonts w:hint="eastAsia" w:ascii="宋体" w:hAnsi="宋体"/>
          <w:b/>
          <w:color w:val="000000"/>
          <w:sz w:val="28"/>
          <w:szCs w:val="28"/>
        </w:rPr>
        <w:t>投标（响应）文件的</w:t>
      </w:r>
      <w:r>
        <w:rPr>
          <w:rFonts w:hint="eastAsia" w:ascii="宋体" w:hAnsi="宋体" w:cs="宋体"/>
          <w:b/>
          <w:color w:val="000000"/>
          <w:sz w:val="28"/>
          <w:szCs w:val="28"/>
        </w:rPr>
        <w:t>其它内容</w:t>
      </w:r>
      <w:bookmarkEnd w:id="347"/>
    </w:p>
    <w:p>
      <w:pPr>
        <w:spacing w:line="360" w:lineRule="auto"/>
        <w:jc w:val="center"/>
        <w:rPr>
          <w:rFonts w:ascii="宋体" w:hAnsi="宋体" w:cs="宋体"/>
          <w:b/>
          <w:color w:val="000000"/>
          <w:sz w:val="28"/>
          <w:szCs w:val="28"/>
        </w:rPr>
      </w:pPr>
      <w:bookmarkStart w:id="348" w:name="_Toc23450"/>
      <w:r>
        <w:rPr>
          <w:rFonts w:hint="eastAsia" w:ascii="宋体" w:hAnsi="宋体" w:cs="宋体"/>
          <w:b/>
          <w:color w:val="000000"/>
          <w:sz w:val="28"/>
          <w:szCs w:val="28"/>
        </w:rPr>
        <w:t>证明投标标的的合格性和符合采购文件规定的技术文件</w:t>
      </w:r>
      <w:r>
        <w:rPr>
          <w:rFonts w:hint="eastAsia" w:ascii="宋体" w:hAnsi="宋体"/>
          <w:b/>
          <w:color w:val="000000"/>
          <w:sz w:val="28"/>
          <w:szCs w:val="28"/>
        </w:rPr>
        <w:t>等</w:t>
      </w:r>
      <w:bookmarkEnd w:id="348"/>
    </w:p>
    <w:p>
      <w:pPr>
        <w:spacing w:line="360" w:lineRule="auto"/>
        <w:jc w:val="center"/>
        <w:rPr>
          <w:rFonts w:ascii="宋体" w:hAnsi="宋体" w:cs="宋体"/>
          <w:color w:val="000000"/>
          <w:sz w:val="28"/>
          <w:szCs w:val="28"/>
        </w:rPr>
      </w:pPr>
      <w:bookmarkStart w:id="349" w:name="_Toc30692"/>
      <w:r>
        <w:rPr>
          <w:rFonts w:hint="eastAsia" w:ascii="宋体" w:hAnsi="宋体" w:cs="宋体"/>
          <w:color w:val="000000"/>
          <w:sz w:val="28"/>
          <w:szCs w:val="28"/>
        </w:rPr>
        <w:t>（包括但不限于:采购文件要求及供应商认为应当提供相关</w:t>
      </w:r>
      <w:r>
        <w:rPr>
          <w:rFonts w:hint="eastAsia" w:ascii="宋体" w:hAnsi="宋体"/>
          <w:color w:val="000000"/>
          <w:sz w:val="28"/>
          <w:szCs w:val="28"/>
        </w:rPr>
        <w:t>文件</w:t>
      </w:r>
      <w:r>
        <w:rPr>
          <w:rFonts w:hint="eastAsia" w:ascii="宋体" w:hAnsi="宋体" w:cs="宋体"/>
          <w:color w:val="000000"/>
          <w:sz w:val="28"/>
          <w:szCs w:val="28"/>
        </w:rPr>
        <w:t>等）</w:t>
      </w:r>
      <w:bookmarkEnd w:id="349"/>
    </w:p>
    <w:p>
      <w:pPr>
        <w:spacing w:line="240" w:lineRule="exact"/>
        <w:jc w:val="center"/>
        <w:rPr>
          <w:rFonts w:ascii="宋体" w:hAnsi="宋体" w:cs="宋体"/>
          <w:color w:val="000000"/>
          <w:szCs w:val="21"/>
        </w:rPr>
      </w:pPr>
    </w:p>
    <w:p>
      <w:pPr>
        <w:spacing w:line="360" w:lineRule="auto"/>
        <w:ind w:firstLine="482" w:firstLineChars="200"/>
        <w:jc w:val="left"/>
        <w:rPr>
          <w:rFonts w:ascii="宋体" w:hAnsi="宋体" w:cs="宋体"/>
          <w:b/>
          <w:color w:val="000000"/>
          <w:sz w:val="24"/>
        </w:rPr>
      </w:pPr>
      <w:r>
        <w:rPr>
          <w:rFonts w:hint="eastAsia" w:ascii="宋体" w:hAnsi="宋体" w:cs="宋体"/>
          <w:b/>
          <w:color w:val="000000"/>
          <w:sz w:val="24"/>
        </w:rPr>
        <w:t>注：中小企业应当按照《政府采购促进中小企业发展管理办法》等相关规定出具《中小企业声明函》等相关证明（自行从财政部官方网站下载），否则不得享受相关中小企业扶持政策。</w:t>
      </w:r>
    </w:p>
    <w:p>
      <w:pPr>
        <w:spacing w:line="480" w:lineRule="auto"/>
        <w:ind w:firstLine="632" w:firstLineChars="300"/>
        <w:rPr>
          <w:rFonts w:ascii="宋体" w:hAnsi="宋体" w:cs="宋体"/>
          <w:b/>
          <w:bCs/>
          <w:color w:val="000000"/>
          <w:szCs w:val="21"/>
        </w:rPr>
      </w:pPr>
    </w:p>
    <w:p>
      <w:pPr>
        <w:spacing w:line="480" w:lineRule="auto"/>
        <w:ind w:firstLine="632" w:firstLineChars="300"/>
        <w:rPr>
          <w:rFonts w:ascii="宋体" w:hAnsi="宋体" w:cs="宋体"/>
          <w:b/>
          <w:bCs/>
          <w:color w:val="000000"/>
          <w:szCs w:val="21"/>
        </w:rPr>
      </w:pPr>
    </w:p>
    <w:p>
      <w:pPr>
        <w:spacing w:line="480" w:lineRule="auto"/>
        <w:ind w:firstLine="632" w:firstLineChars="300"/>
        <w:rPr>
          <w:rFonts w:ascii="宋体" w:hAnsi="宋体" w:cs="宋体"/>
          <w:b/>
          <w:bCs/>
          <w:color w:val="000000"/>
          <w:szCs w:val="21"/>
        </w:rPr>
      </w:pPr>
    </w:p>
    <w:p>
      <w:pPr>
        <w:spacing w:line="480" w:lineRule="auto"/>
        <w:ind w:firstLine="632" w:firstLineChars="300"/>
        <w:rPr>
          <w:rFonts w:ascii="宋体" w:hAnsi="宋体" w:cs="宋体"/>
          <w:b/>
          <w:bCs/>
          <w:color w:val="000000"/>
          <w:szCs w:val="21"/>
        </w:rPr>
      </w:pPr>
    </w:p>
    <w:p>
      <w:pPr>
        <w:spacing w:line="480" w:lineRule="auto"/>
        <w:ind w:firstLine="632" w:firstLineChars="300"/>
        <w:rPr>
          <w:rFonts w:ascii="宋体" w:hAnsi="宋体" w:cs="宋体"/>
          <w:b/>
          <w:bCs/>
          <w:color w:val="000000"/>
          <w:szCs w:val="21"/>
        </w:rPr>
      </w:pPr>
    </w:p>
    <w:p>
      <w:pPr>
        <w:spacing w:line="480" w:lineRule="auto"/>
        <w:ind w:firstLine="632" w:firstLineChars="300"/>
        <w:rPr>
          <w:rFonts w:ascii="宋体" w:hAnsi="宋体" w:cs="宋体"/>
          <w:b/>
          <w:bCs/>
          <w:color w:val="000000"/>
          <w:szCs w:val="21"/>
        </w:rPr>
      </w:pPr>
    </w:p>
    <w:p>
      <w:pPr>
        <w:spacing w:line="480" w:lineRule="auto"/>
        <w:ind w:firstLine="632" w:firstLineChars="300"/>
        <w:rPr>
          <w:rFonts w:ascii="宋体" w:hAnsi="宋体" w:cs="宋体"/>
          <w:b/>
          <w:bCs/>
          <w:color w:val="000000"/>
          <w:szCs w:val="21"/>
        </w:rPr>
      </w:pPr>
    </w:p>
    <w:p>
      <w:pPr>
        <w:spacing w:line="480" w:lineRule="auto"/>
        <w:ind w:firstLine="632" w:firstLineChars="300"/>
        <w:rPr>
          <w:rFonts w:ascii="宋体" w:hAnsi="宋体" w:cs="宋体"/>
          <w:b/>
          <w:bCs/>
          <w:color w:val="000000"/>
          <w:szCs w:val="21"/>
        </w:rPr>
      </w:pPr>
    </w:p>
    <w:p>
      <w:pPr>
        <w:spacing w:line="480" w:lineRule="auto"/>
        <w:ind w:firstLine="632" w:firstLineChars="300"/>
        <w:rPr>
          <w:rFonts w:ascii="宋体" w:hAnsi="宋体" w:cs="宋体"/>
          <w:b/>
          <w:bCs/>
          <w:color w:val="000000"/>
          <w:szCs w:val="21"/>
        </w:rPr>
      </w:pPr>
    </w:p>
    <w:p>
      <w:pPr>
        <w:spacing w:line="480" w:lineRule="auto"/>
        <w:ind w:firstLine="632" w:firstLineChars="300"/>
        <w:rPr>
          <w:rFonts w:ascii="宋体" w:hAnsi="宋体" w:cs="宋体"/>
          <w:b/>
          <w:bCs/>
          <w:color w:val="000000"/>
          <w:szCs w:val="21"/>
        </w:rPr>
      </w:pPr>
    </w:p>
    <w:p>
      <w:pPr>
        <w:spacing w:line="480" w:lineRule="auto"/>
        <w:ind w:firstLine="632" w:firstLineChars="300"/>
        <w:rPr>
          <w:rFonts w:ascii="宋体" w:hAnsi="宋体" w:cs="宋体"/>
          <w:b/>
          <w:bCs/>
          <w:color w:val="000000"/>
          <w:szCs w:val="21"/>
        </w:rPr>
      </w:pPr>
    </w:p>
    <w:p>
      <w:pPr>
        <w:spacing w:line="480" w:lineRule="auto"/>
        <w:ind w:firstLine="632" w:firstLineChars="300"/>
        <w:rPr>
          <w:rFonts w:ascii="宋体" w:hAnsi="宋体" w:cs="宋体"/>
          <w:b/>
          <w:bCs/>
          <w:color w:val="000000"/>
          <w:szCs w:val="21"/>
        </w:rPr>
      </w:pPr>
    </w:p>
    <w:p>
      <w:pPr>
        <w:spacing w:line="480" w:lineRule="auto"/>
        <w:ind w:firstLine="632" w:firstLineChars="300"/>
        <w:rPr>
          <w:rFonts w:ascii="宋体" w:hAnsi="宋体" w:cs="宋体"/>
          <w:b/>
          <w:bCs/>
          <w:color w:val="000000"/>
          <w:szCs w:val="21"/>
        </w:rPr>
      </w:pPr>
    </w:p>
    <w:p>
      <w:pPr>
        <w:spacing w:line="480" w:lineRule="auto"/>
        <w:ind w:firstLine="632" w:firstLineChars="300"/>
        <w:rPr>
          <w:rFonts w:ascii="宋体" w:hAnsi="宋体" w:cs="宋体"/>
          <w:b/>
          <w:bCs/>
          <w:color w:val="000000"/>
          <w:szCs w:val="21"/>
        </w:rPr>
      </w:pPr>
    </w:p>
    <w:p>
      <w:pPr>
        <w:spacing w:line="480" w:lineRule="auto"/>
        <w:ind w:firstLine="632" w:firstLineChars="300"/>
        <w:rPr>
          <w:rFonts w:ascii="宋体" w:hAnsi="宋体" w:cs="宋体"/>
          <w:b/>
          <w:bCs/>
          <w:color w:val="000000"/>
          <w:szCs w:val="21"/>
        </w:rPr>
      </w:pPr>
    </w:p>
    <w:p>
      <w:pPr>
        <w:spacing w:line="480" w:lineRule="auto"/>
        <w:rPr>
          <w:rFonts w:ascii="宋体" w:hAnsi="宋体" w:cs="宋体"/>
          <w:b/>
          <w:bCs/>
          <w:color w:val="000000"/>
          <w:szCs w:val="21"/>
        </w:rPr>
      </w:pPr>
    </w:p>
    <w:p>
      <w:pPr>
        <w:spacing w:line="480" w:lineRule="auto"/>
        <w:ind w:firstLine="632" w:firstLineChars="300"/>
        <w:rPr>
          <w:rFonts w:ascii="宋体" w:hAnsi="宋体" w:cs="宋体"/>
          <w:b/>
          <w:bCs/>
          <w:color w:val="000000"/>
          <w:szCs w:val="21"/>
        </w:rPr>
      </w:pPr>
      <w:r>
        <w:rPr>
          <w:rFonts w:hint="eastAsia" w:ascii="宋体" w:hAnsi="宋体" w:cs="宋体"/>
          <w:b/>
          <w:bCs/>
          <w:color w:val="000000"/>
          <w:szCs w:val="21"/>
        </w:rPr>
        <w:t>附表一：</w:t>
      </w:r>
    </w:p>
    <w:p>
      <w:pPr>
        <w:spacing w:line="80" w:lineRule="atLeast"/>
        <w:rPr>
          <w:rFonts w:ascii="宋体" w:hAnsi="宋体"/>
          <w:color w:val="000000"/>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dxa"/>
            <w:vAlign w:val="center"/>
          </w:tcPr>
          <w:p>
            <w:pPr>
              <w:spacing w:line="480" w:lineRule="auto"/>
              <w:jc w:val="center"/>
              <w:rPr>
                <w:rFonts w:ascii="宋体" w:hAnsi="宋体" w:cs="宋体"/>
                <w:b/>
                <w:bCs/>
                <w:color w:val="000000"/>
                <w:szCs w:val="21"/>
              </w:rPr>
            </w:pPr>
            <w:r>
              <w:rPr>
                <w:rFonts w:hint="eastAsia" w:ascii="宋体" w:hAnsi="宋体" w:cs="宋体"/>
                <w:b/>
                <w:bCs/>
                <w:color w:val="000000"/>
                <w:szCs w:val="21"/>
              </w:rPr>
              <w:t>项目名称</w:t>
            </w:r>
          </w:p>
        </w:tc>
        <w:tc>
          <w:tcPr>
            <w:tcW w:w="7306" w:type="dxa"/>
            <w:vAlign w:val="center"/>
          </w:tcPr>
          <w:p>
            <w:pPr>
              <w:spacing w:line="480" w:lineRule="auto"/>
              <w:jc w:val="center"/>
              <w:rPr>
                <w:rFonts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dxa"/>
            <w:vAlign w:val="center"/>
          </w:tcPr>
          <w:p>
            <w:pPr>
              <w:spacing w:line="480" w:lineRule="auto"/>
              <w:jc w:val="center"/>
              <w:rPr>
                <w:rFonts w:ascii="宋体" w:hAnsi="宋体" w:cs="宋体"/>
                <w:b/>
                <w:bCs/>
                <w:color w:val="000000"/>
                <w:szCs w:val="21"/>
              </w:rPr>
            </w:pPr>
            <w:r>
              <w:rPr>
                <w:rFonts w:hint="eastAsia" w:ascii="宋体" w:hAnsi="宋体" w:cs="宋体"/>
                <w:b/>
                <w:bCs/>
                <w:color w:val="000000"/>
                <w:szCs w:val="21"/>
              </w:rPr>
              <w:t>工期</w:t>
            </w:r>
          </w:p>
        </w:tc>
        <w:tc>
          <w:tcPr>
            <w:tcW w:w="7306" w:type="dxa"/>
            <w:vAlign w:val="center"/>
          </w:tcPr>
          <w:p>
            <w:pPr>
              <w:spacing w:line="480" w:lineRule="auto"/>
              <w:jc w:val="center"/>
              <w:rPr>
                <w:rFonts w:ascii="宋体" w:hAnsi="宋体" w:cs="宋体"/>
                <w:b/>
                <w:bCs/>
                <w:color w:val="000000"/>
                <w:szCs w:val="21"/>
                <w:u w:val="single"/>
              </w:rPr>
            </w:pPr>
            <w:r>
              <w:rPr>
                <w:rFonts w:hint="eastAsia" w:ascii="宋体" w:hAnsi="宋体" w:cs="宋体"/>
                <w:b/>
                <w:bCs/>
                <w:color w:val="000000"/>
                <w:szCs w:val="21"/>
                <w:u w:val="single"/>
              </w:rPr>
              <w:t xml:space="preserve">             </w:t>
            </w:r>
            <w:r>
              <w:rPr>
                <w:rFonts w:hint="eastAsia" w:ascii="宋体" w:hAnsi="宋体" w:cs="宋体"/>
                <w:b/>
                <w:bCs/>
                <w:color w:val="00000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dxa"/>
            <w:vAlign w:val="center"/>
          </w:tcPr>
          <w:p>
            <w:pPr>
              <w:spacing w:line="480" w:lineRule="auto"/>
              <w:jc w:val="center"/>
              <w:rPr>
                <w:rFonts w:ascii="宋体" w:hAnsi="宋体" w:cs="宋体"/>
                <w:b/>
                <w:bCs/>
                <w:color w:val="000000"/>
                <w:szCs w:val="21"/>
              </w:rPr>
            </w:pPr>
            <w:r>
              <w:rPr>
                <w:rFonts w:hint="eastAsia" w:ascii="宋体" w:hAnsi="宋体" w:cs="宋体"/>
                <w:b/>
                <w:bCs/>
                <w:color w:val="000000"/>
                <w:szCs w:val="21"/>
              </w:rPr>
              <w:t>工程保修期</w:t>
            </w:r>
          </w:p>
        </w:tc>
        <w:tc>
          <w:tcPr>
            <w:tcW w:w="7306" w:type="dxa"/>
            <w:vAlign w:val="center"/>
          </w:tcPr>
          <w:p>
            <w:pPr>
              <w:spacing w:line="480" w:lineRule="auto"/>
              <w:jc w:val="center"/>
              <w:rPr>
                <w:rFonts w:ascii="宋体" w:hAnsi="宋体" w:cs="宋体"/>
                <w:b/>
                <w:bCs/>
                <w:color w:val="000000"/>
                <w:szCs w:val="21"/>
                <w:u w:val="single"/>
              </w:rPr>
            </w:pPr>
            <w:r>
              <w:rPr>
                <w:rFonts w:hint="eastAsia" w:ascii="宋体" w:hAnsi="宋体" w:cs="宋体"/>
                <w:b/>
                <w:bCs/>
                <w:color w:val="000000"/>
                <w:szCs w:val="21"/>
                <w:u w:val="single"/>
              </w:rPr>
              <w:t xml:space="preserve">            </w:t>
            </w:r>
            <w:r>
              <w:rPr>
                <w:rFonts w:hint="eastAsia" w:ascii="宋体" w:hAnsi="宋体" w:cs="宋体"/>
                <w:b/>
                <w:bCs/>
                <w:color w:val="000000"/>
                <w:szCs w:val="21"/>
              </w:rPr>
              <w:t>年</w:t>
            </w:r>
          </w:p>
        </w:tc>
      </w:tr>
    </w:tbl>
    <w:p>
      <w:pPr>
        <w:spacing w:line="240" w:lineRule="exact"/>
        <w:jc w:val="center"/>
        <w:rPr>
          <w:rFonts w:ascii="宋体" w:hAnsi="宋体" w:cs="宋体"/>
          <w:color w:val="000000"/>
          <w:szCs w:val="21"/>
        </w:rPr>
      </w:pPr>
    </w:p>
    <w:p>
      <w:pPr>
        <w:spacing w:line="480" w:lineRule="auto"/>
        <w:rPr>
          <w:rFonts w:ascii="宋体" w:hAnsi="宋体" w:cs="宋体"/>
          <w:b/>
          <w:bCs/>
          <w:color w:val="000000"/>
          <w:szCs w:val="21"/>
        </w:rPr>
      </w:pPr>
    </w:p>
    <w:p>
      <w:pPr>
        <w:spacing w:line="480" w:lineRule="auto"/>
        <w:rPr>
          <w:rFonts w:ascii="宋体" w:hAnsi="宋体" w:cs="宋体"/>
          <w:b/>
          <w:bCs/>
          <w:color w:val="000000"/>
          <w:szCs w:val="21"/>
        </w:rPr>
      </w:pPr>
    </w:p>
    <w:p>
      <w:pPr>
        <w:spacing w:line="480" w:lineRule="auto"/>
        <w:rPr>
          <w:rFonts w:ascii="宋体" w:hAnsi="宋体" w:cs="宋体"/>
          <w:b/>
          <w:bCs/>
          <w:color w:val="000000"/>
          <w:szCs w:val="21"/>
        </w:rPr>
      </w:pPr>
    </w:p>
    <w:p>
      <w:pPr>
        <w:spacing w:line="480" w:lineRule="auto"/>
        <w:rPr>
          <w:rFonts w:ascii="宋体" w:hAnsi="宋体" w:cs="宋体"/>
          <w:b/>
          <w:bCs/>
          <w:color w:val="000000"/>
          <w:szCs w:val="21"/>
        </w:rPr>
      </w:pPr>
    </w:p>
    <w:p>
      <w:pPr>
        <w:spacing w:line="480" w:lineRule="auto"/>
        <w:rPr>
          <w:rFonts w:ascii="宋体" w:hAnsi="宋体" w:cs="宋体"/>
          <w:b/>
          <w:bCs/>
          <w:color w:val="000000"/>
          <w:szCs w:val="21"/>
        </w:rPr>
      </w:pPr>
    </w:p>
    <w:p>
      <w:pPr>
        <w:spacing w:line="480" w:lineRule="auto"/>
        <w:rPr>
          <w:rFonts w:ascii="宋体" w:hAnsi="宋体" w:cs="宋体"/>
          <w:b/>
          <w:bCs/>
          <w:color w:val="000000"/>
          <w:szCs w:val="21"/>
        </w:rPr>
      </w:pPr>
    </w:p>
    <w:p>
      <w:pPr>
        <w:spacing w:line="480" w:lineRule="auto"/>
        <w:rPr>
          <w:rFonts w:ascii="宋体" w:hAnsi="宋体" w:cs="宋体"/>
          <w:b/>
          <w:bCs/>
          <w:color w:val="000000"/>
          <w:szCs w:val="21"/>
        </w:rPr>
      </w:pPr>
    </w:p>
    <w:p>
      <w:pPr>
        <w:spacing w:line="480" w:lineRule="auto"/>
        <w:rPr>
          <w:rFonts w:ascii="宋体" w:hAnsi="宋体" w:cs="宋体"/>
          <w:b/>
          <w:bCs/>
          <w:color w:val="000000"/>
          <w:szCs w:val="21"/>
        </w:rPr>
      </w:pPr>
    </w:p>
    <w:p>
      <w:pPr>
        <w:spacing w:line="480" w:lineRule="auto"/>
        <w:rPr>
          <w:rFonts w:ascii="宋体" w:hAnsi="宋体" w:cs="宋体"/>
          <w:b/>
          <w:bCs/>
          <w:color w:val="000000"/>
          <w:szCs w:val="21"/>
        </w:rPr>
      </w:pPr>
    </w:p>
    <w:p>
      <w:pPr>
        <w:spacing w:line="480" w:lineRule="auto"/>
        <w:rPr>
          <w:rFonts w:ascii="宋体" w:hAnsi="宋体" w:cs="宋体"/>
          <w:b/>
          <w:bCs/>
          <w:color w:val="000000"/>
          <w:szCs w:val="21"/>
        </w:rPr>
      </w:pPr>
    </w:p>
    <w:p>
      <w:pPr>
        <w:spacing w:line="480" w:lineRule="auto"/>
        <w:rPr>
          <w:rFonts w:ascii="宋体" w:hAnsi="宋体" w:cs="宋体"/>
          <w:b/>
          <w:bCs/>
          <w:color w:val="000000"/>
          <w:szCs w:val="21"/>
        </w:rPr>
      </w:pPr>
    </w:p>
    <w:p>
      <w:pPr>
        <w:spacing w:line="480" w:lineRule="auto"/>
        <w:rPr>
          <w:rFonts w:ascii="宋体" w:hAnsi="宋体" w:cs="宋体"/>
          <w:b/>
          <w:bCs/>
          <w:color w:val="000000"/>
          <w:szCs w:val="21"/>
        </w:rPr>
      </w:pPr>
    </w:p>
    <w:p>
      <w:pPr>
        <w:spacing w:line="480" w:lineRule="auto"/>
        <w:rPr>
          <w:rFonts w:ascii="宋体" w:hAnsi="宋体" w:cs="宋体"/>
          <w:b/>
          <w:bCs/>
          <w:color w:val="000000"/>
          <w:szCs w:val="21"/>
        </w:rPr>
      </w:pPr>
    </w:p>
    <w:p>
      <w:pPr>
        <w:spacing w:line="480" w:lineRule="auto"/>
        <w:rPr>
          <w:rFonts w:ascii="宋体" w:hAnsi="宋体" w:cs="宋体"/>
          <w:b/>
          <w:bCs/>
          <w:color w:val="000000"/>
          <w:szCs w:val="21"/>
        </w:rPr>
      </w:pPr>
    </w:p>
    <w:p>
      <w:pPr>
        <w:spacing w:line="480" w:lineRule="auto"/>
        <w:rPr>
          <w:rFonts w:ascii="宋体" w:hAnsi="宋体" w:cs="宋体"/>
          <w:b/>
          <w:bCs/>
          <w:color w:val="000000"/>
          <w:szCs w:val="21"/>
        </w:rPr>
      </w:pPr>
    </w:p>
    <w:p>
      <w:pPr>
        <w:spacing w:line="480" w:lineRule="auto"/>
        <w:rPr>
          <w:rFonts w:ascii="宋体" w:hAnsi="宋体" w:cs="宋体"/>
          <w:b/>
          <w:bCs/>
          <w:color w:val="000000"/>
          <w:szCs w:val="21"/>
        </w:rPr>
      </w:pPr>
    </w:p>
    <w:p>
      <w:pPr>
        <w:spacing w:line="480" w:lineRule="auto"/>
        <w:rPr>
          <w:rFonts w:ascii="宋体" w:hAnsi="宋体" w:cs="宋体"/>
          <w:b/>
          <w:bCs/>
          <w:color w:val="000000"/>
          <w:szCs w:val="21"/>
        </w:rPr>
      </w:pPr>
    </w:p>
    <w:p>
      <w:pPr>
        <w:spacing w:line="480" w:lineRule="auto"/>
        <w:rPr>
          <w:rFonts w:ascii="宋体" w:hAnsi="宋体" w:cs="宋体"/>
          <w:b/>
          <w:bCs/>
          <w:color w:val="000000"/>
          <w:szCs w:val="21"/>
        </w:rPr>
      </w:pPr>
    </w:p>
    <w:p>
      <w:pPr>
        <w:spacing w:line="480" w:lineRule="auto"/>
        <w:rPr>
          <w:rFonts w:ascii="宋体" w:hAnsi="宋体" w:cs="宋体"/>
          <w:b/>
          <w:bCs/>
          <w:color w:val="000000"/>
          <w:kern w:val="0"/>
          <w:szCs w:val="21"/>
          <w:lang w:bidi="ar"/>
        </w:rPr>
      </w:pPr>
      <w:r>
        <w:rPr>
          <w:rFonts w:hint="eastAsia" w:ascii="宋体" w:hAnsi="宋体" w:cs="宋体"/>
          <w:b/>
          <w:bCs/>
          <w:color w:val="000000"/>
          <w:szCs w:val="21"/>
        </w:rPr>
        <w:t>附表二：主要材料品牌表</w:t>
      </w:r>
    </w:p>
    <w:tbl>
      <w:tblPr>
        <w:tblStyle w:val="30"/>
        <w:tblW w:w="9670" w:type="dxa"/>
        <w:jc w:val="center"/>
        <w:tblLayout w:type="fixed"/>
        <w:tblCellMar>
          <w:top w:w="0" w:type="dxa"/>
          <w:left w:w="108" w:type="dxa"/>
          <w:bottom w:w="0" w:type="dxa"/>
          <w:right w:w="108" w:type="dxa"/>
        </w:tblCellMar>
      </w:tblPr>
      <w:tblGrid>
        <w:gridCol w:w="773"/>
        <w:gridCol w:w="1667"/>
        <w:gridCol w:w="1587"/>
        <w:gridCol w:w="1674"/>
        <w:gridCol w:w="1359"/>
        <w:gridCol w:w="2610"/>
      </w:tblGrid>
      <w:tr>
        <w:tblPrEx>
          <w:tblCellMar>
            <w:top w:w="0" w:type="dxa"/>
            <w:left w:w="108" w:type="dxa"/>
            <w:bottom w:w="0" w:type="dxa"/>
            <w:right w:w="108" w:type="dxa"/>
          </w:tblCellMar>
        </w:tblPrEx>
        <w:trPr>
          <w:trHeight w:val="789" w:hRule="atLeast"/>
          <w:tblHeader/>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16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材料名称</w:t>
            </w:r>
          </w:p>
        </w:tc>
        <w:tc>
          <w:tcPr>
            <w:tcW w:w="158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规格、型号及技术要求等</w:t>
            </w:r>
          </w:p>
        </w:tc>
        <w:tc>
          <w:tcPr>
            <w:tcW w:w="167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参照或相当于</w:t>
            </w:r>
          </w:p>
        </w:tc>
        <w:tc>
          <w:tcPr>
            <w:tcW w:w="13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投标人选用品牌</w:t>
            </w:r>
          </w:p>
        </w:tc>
        <w:tc>
          <w:tcPr>
            <w:tcW w:w="261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728" w:hRule="atLeast"/>
          <w:jc w:val="center"/>
        </w:trPr>
        <w:tc>
          <w:tcPr>
            <w:tcW w:w="773" w:type="dxa"/>
            <w:tcBorders>
              <w:top w:val="nil"/>
              <w:left w:val="single" w:color="auto" w:sz="4" w:space="0"/>
              <w:bottom w:val="nil"/>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16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金属面岩棉夹芯保温钢板</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符合规范及招标技术要求</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言信/林森/华翱</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2610"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施工前经建设单位和设计确认，建设单位有权在颜色、用量、材质做适当调整，但价格不予调整</w:t>
            </w:r>
          </w:p>
        </w:tc>
      </w:tr>
      <w:tr>
        <w:tblPrEx>
          <w:tblCellMar>
            <w:top w:w="0" w:type="dxa"/>
            <w:left w:w="108" w:type="dxa"/>
            <w:bottom w:w="0" w:type="dxa"/>
            <w:right w:w="108" w:type="dxa"/>
          </w:tblCellMar>
        </w:tblPrEx>
        <w:trPr>
          <w:trHeight w:val="555"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6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电线电缆</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符合规范及招标技术要求</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远东/江南/长江</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261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90" w:hRule="atLeast"/>
          <w:jc w:val="center"/>
        </w:trPr>
        <w:tc>
          <w:tcPr>
            <w:tcW w:w="773" w:type="dxa"/>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16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开关插座</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符合规范及招标技术要求</w:t>
            </w:r>
          </w:p>
        </w:tc>
        <w:tc>
          <w:tcPr>
            <w:tcW w:w="1674" w:type="dxa"/>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西门子/施耐德/朗能</w:t>
            </w:r>
          </w:p>
        </w:tc>
        <w:tc>
          <w:tcPr>
            <w:tcW w:w="1359" w:type="dxa"/>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hAnsi="宋体" w:cs="宋体"/>
                <w:color w:val="000000"/>
                <w:kern w:val="0"/>
                <w:szCs w:val="21"/>
              </w:rPr>
            </w:pPr>
          </w:p>
        </w:tc>
        <w:tc>
          <w:tcPr>
            <w:tcW w:w="261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39"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16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配电箱空开</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符合规范及招标技术要求</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德力西/施耐德/正泰</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261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872" w:hRule="atLeast"/>
          <w:jc w:val="center"/>
        </w:trPr>
        <w:tc>
          <w:tcPr>
            <w:tcW w:w="773" w:type="dxa"/>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16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恒温净化空调机组</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符合规范及招标技术要求</w:t>
            </w:r>
          </w:p>
        </w:tc>
        <w:tc>
          <w:tcPr>
            <w:tcW w:w="1674" w:type="dxa"/>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雅士、麦克维尔、天加</w:t>
            </w:r>
          </w:p>
        </w:tc>
        <w:tc>
          <w:tcPr>
            <w:tcW w:w="1359" w:type="dxa"/>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hAnsi="宋体" w:cs="宋体"/>
                <w:color w:val="000000"/>
                <w:kern w:val="0"/>
                <w:szCs w:val="21"/>
              </w:rPr>
            </w:pPr>
          </w:p>
        </w:tc>
        <w:tc>
          <w:tcPr>
            <w:tcW w:w="261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12"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灯具</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符合规范及招标技术要求</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bCs/>
                <w:szCs w:val="21"/>
              </w:rPr>
              <w:t>云镜</w:t>
            </w:r>
            <w:r>
              <w:rPr>
                <w:bCs/>
                <w:szCs w:val="21"/>
              </w:rPr>
              <w:t>/</w:t>
            </w:r>
            <w:r>
              <w:rPr>
                <w:rFonts w:hint="eastAsia"/>
                <w:bCs/>
                <w:szCs w:val="21"/>
              </w:rPr>
              <w:t>中工通明</w:t>
            </w:r>
            <w:r>
              <w:rPr>
                <w:bCs/>
                <w:szCs w:val="21"/>
              </w:rPr>
              <w:t>/</w:t>
            </w:r>
            <w:r>
              <w:rPr>
                <w:rFonts w:hint="eastAsia"/>
                <w:bCs/>
                <w:szCs w:val="21"/>
              </w:rPr>
              <w:t>爱美潞</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261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650"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成品钢板门</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符合规范及招标技术要求</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bCs/>
                <w:szCs w:val="21"/>
              </w:rPr>
              <w:t>言信、苏净、林森</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261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650"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实验台理化板台面</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符合规范及招标技术要求</w:t>
            </w:r>
          </w:p>
        </w:tc>
        <w:tc>
          <w:tcPr>
            <w:tcW w:w="16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rFonts w:hint="eastAsia"/>
                <w:bCs/>
                <w:szCs w:val="21"/>
              </w:rPr>
              <w:t>千思板、威盛亚、盛德瑞</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2610"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650" w:hRule="atLeast"/>
          <w:jc w:val="center"/>
        </w:trPr>
        <w:tc>
          <w:tcPr>
            <w:tcW w:w="9670"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outlineLvl w:val="1"/>
              <w:rPr>
                <w:b/>
              </w:rPr>
            </w:pPr>
            <w:bookmarkStart w:id="350" w:name="_Toc26079"/>
            <w:r>
              <w:rPr>
                <w:rFonts w:hint="eastAsia"/>
                <w:b/>
              </w:rPr>
              <w:t>注： 1、本工程主要材料均由投标供应商（简称“供应商”）自行组织实施，凡由供应商采购的材料，供应商应按照设计和有关标准及采购文件要求采购，并向采购人提供质量保证书、出厂合格证及现场抽样检测报告等证明材料，对材料质量负责；</w:t>
            </w:r>
            <w:bookmarkEnd w:id="350"/>
          </w:p>
          <w:p>
            <w:pPr>
              <w:spacing w:line="360" w:lineRule="auto"/>
              <w:ind w:firstLine="422" w:firstLineChars="200"/>
              <w:outlineLvl w:val="1"/>
              <w:rPr>
                <w:b/>
              </w:rPr>
            </w:pPr>
            <w:bookmarkStart w:id="351" w:name="_Toc15397"/>
            <w:r>
              <w:rPr>
                <w:rFonts w:hint="eastAsia"/>
                <w:b/>
              </w:rPr>
              <w:t>2、以上材料在进场前须经采购人认可，采购人有权在颜色、样式、用量、材质、配置等方面做出适当调整，但价格不予调整；</w:t>
            </w:r>
            <w:bookmarkEnd w:id="351"/>
          </w:p>
          <w:p>
            <w:pPr>
              <w:spacing w:line="360" w:lineRule="auto"/>
              <w:ind w:firstLine="422" w:firstLineChars="200"/>
              <w:outlineLvl w:val="1"/>
              <w:rPr>
                <w:rFonts w:ascii="宋体" w:hAnsi="宋体" w:cs="宋体"/>
                <w:color w:val="000000"/>
                <w:kern w:val="0"/>
                <w:szCs w:val="21"/>
              </w:rPr>
            </w:pPr>
            <w:bookmarkStart w:id="352" w:name="_Toc7782"/>
            <w:r>
              <w:rPr>
                <w:rFonts w:hint="eastAsia"/>
                <w:b/>
              </w:rPr>
              <w:t>3、供应商</w:t>
            </w:r>
            <w:r>
              <w:rPr>
                <w:rFonts w:hint="eastAsia" w:ascii="宋体" w:hAnsi="宋体" w:cs="宋体"/>
                <w:b/>
                <w:bCs/>
                <w:color w:val="000000"/>
                <w:kern w:val="0"/>
                <w:szCs w:val="21"/>
              </w:rPr>
              <w:t>可在推荐（参照或相当于）品牌表里面选择品牌投标，也可选择其他能满足本项目技术需求且性能与参考设备材料品牌相当或者更优的产品，成交后不得随意更换品牌，</w:t>
            </w:r>
            <w:r>
              <w:rPr>
                <w:rFonts w:hint="eastAsia" w:cs="宋体"/>
                <w:b/>
                <w:szCs w:val="21"/>
              </w:rPr>
              <w:t>并于领取成交通知书后三天内向建设单位提供样品，经建设单位认可后方可签订合同</w:t>
            </w:r>
            <w:r>
              <w:rPr>
                <w:rFonts w:hint="eastAsia" w:ascii="宋体" w:hAnsi="宋体" w:cs="宋体"/>
                <w:b/>
                <w:bCs/>
                <w:color w:val="000000"/>
                <w:kern w:val="0"/>
                <w:szCs w:val="21"/>
              </w:rPr>
              <w:t>。</w:t>
            </w:r>
            <w:bookmarkEnd w:id="352"/>
          </w:p>
        </w:tc>
      </w:tr>
    </w:tbl>
    <w:p>
      <w:pPr>
        <w:rPr>
          <w:rFonts w:ascii="宋体" w:hAnsi="宋体"/>
          <w:color w:val="000000"/>
        </w:rPr>
      </w:pPr>
    </w:p>
    <w:p>
      <w:pPr>
        <w:pStyle w:val="2"/>
        <w:ind w:left="3360" w:firstLine="210"/>
      </w:pPr>
    </w:p>
    <w:p>
      <w:pPr>
        <w:spacing w:line="480" w:lineRule="auto"/>
        <w:rPr>
          <w:rFonts w:ascii="宋体" w:hAnsi="宋体" w:cs="宋体"/>
          <w:b/>
          <w:bCs/>
          <w:color w:val="000000"/>
          <w:szCs w:val="21"/>
          <w:u w:val="single"/>
        </w:rPr>
      </w:pPr>
    </w:p>
    <w:p>
      <w:pPr>
        <w:spacing w:line="480" w:lineRule="auto"/>
        <w:jc w:val="center"/>
        <w:rPr>
          <w:rFonts w:ascii="宋体" w:hAnsi="宋体" w:cs="宋体"/>
          <w:b/>
          <w:bCs/>
          <w:color w:val="000000"/>
          <w:szCs w:val="21"/>
          <w:u w:val="single"/>
        </w:rPr>
      </w:pPr>
      <w:r>
        <w:rPr>
          <w:rFonts w:hint="eastAsia" w:ascii="宋体" w:hAnsi="宋体" w:cs="宋体"/>
          <w:b/>
          <w:bCs/>
          <w:color w:val="000000"/>
          <w:szCs w:val="21"/>
          <w:u w:val="single"/>
        </w:rPr>
        <w:t>本采购文件至此，以下空白。感谢您对我们工作的支持。</w:t>
      </w:r>
    </w:p>
    <w:p/>
    <w:p>
      <w:pPr>
        <w:rPr>
          <w:rFonts w:ascii="宋体" w:hAnsi="宋体"/>
          <w:b/>
          <w:color w:val="000000"/>
          <w:sz w:val="28"/>
          <w:szCs w:val="28"/>
        </w:rPr>
      </w:pPr>
    </w:p>
    <w:sectPr>
      <w:headerReference r:id="rId6" w:type="default"/>
      <w:footerReference r:id="rId7" w:type="default"/>
      <w:pgSz w:w="11906" w:h="16838"/>
      <w:pgMar w:top="1077" w:right="1077"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大黑简体">
    <w:altName w:val="宋体"/>
    <w:panose1 w:val="00000000000000000000"/>
    <w:charset w:val="86"/>
    <w:family w:val="auto"/>
    <w:pitch w:val="default"/>
    <w:sig w:usb0="00000000" w:usb1="00000000" w:usb2="00000000" w:usb3="00000000" w:csb0="00040000" w:csb1="00000000"/>
  </w:font>
  <w:font w:name="汉仪粗黑简">
    <w:altName w:val="宋体"/>
    <w:panose1 w:val="00000000000000000000"/>
    <w:charset w:val="86"/>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6" w:firstLineChars="150"/>
      <w:jc w:val="center"/>
      <w:rPr>
        <w:rFonts w:ascii="宋体" w:hAnsi="宋体"/>
        <w:b/>
        <w:color w:val="FF0000"/>
        <w:szCs w:val="21"/>
      </w:rPr>
    </w:pPr>
    <w:r>
      <w:rPr>
        <w:rFonts w:hint="eastAsia" w:ascii="宋体" w:hAnsi="宋体"/>
        <w:b/>
        <w:szCs w:val="21"/>
      </w:rPr>
      <w:t>盐城市携手阳光集中采购代理有限公司</w:t>
    </w:r>
    <w:r>
      <w:rPr>
        <w:rFonts w:hint="eastAsia"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w:instrText>
    </w:r>
    <w:r>
      <w:rPr>
        <w:rFonts w:ascii="宋体" w:hAnsi="宋体"/>
        <w:b/>
        <w:color w:val="000000"/>
        <w:szCs w:val="21"/>
      </w:rPr>
      <w:fldChar w:fldCharType="separate"/>
    </w:r>
    <w:r>
      <w:rPr>
        <w:rFonts w:ascii="宋体" w:hAnsi="宋体"/>
        <w:b/>
        <w:color w:val="000000"/>
        <w:szCs w:val="21"/>
      </w:rPr>
      <w:t>36</w:t>
    </w:r>
    <w:r>
      <w:rPr>
        <w:rFonts w:ascii="宋体" w:hAnsi="宋体"/>
        <w:b/>
        <w:color w:val="000000"/>
        <w:szCs w:val="21"/>
      </w:rPr>
      <w:fldChar w:fldCharType="end"/>
    </w:r>
    <w:r>
      <w:rPr>
        <w:rFonts w:hint="eastAsia" w:ascii="宋体" w:hAnsi="宋体"/>
        <w:b/>
        <w:color w:val="00000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6" w:firstLineChars="150"/>
      <w:jc w:val="center"/>
      <w:rPr>
        <w:rFonts w:ascii="宋体" w:hAnsi="宋体"/>
        <w:b/>
        <w:color w:val="FF0000"/>
        <w:szCs w:val="21"/>
      </w:rPr>
    </w:pPr>
    <w:r>
      <w:rPr>
        <w:rFonts w:hint="eastAsia" w:ascii="宋体" w:hAnsi="宋体"/>
        <w:b/>
        <w:szCs w:val="21"/>
      </w:rPr>
      <w:t>盐城市携手阳光集中采购代理有限公司</w:t>
    </w:r>
    <w:r>
      <w:rPr>
        <w:rFonts w:hint="eastAsia"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w:instrText>
    </w:r>
    <w:r>
      <w:rPr>
        <w:rFonts w:ascii="宋体" w:hAnsi="宋体"/>
        <w:b/>
        <w:color w:val="000000"/>
        <w:szCs w:val="21"/>
      </w:rPr>
      <w:fldChar w:fldCharType="separate"/>
    </w:r>
    <w:r>
      <w:rPr>
        <w:rFonts w:ascii="宋体" w:hAnsi="宋体"/>
        <w:b/>
        <w:color w:val="000000"/>
        <w:szCs w:val="21"/>
      </w:rPr>
      <w:t>57</w:t>
    </w:r>
    <w:r>
      <w:rPr>
        <w:rFonts w:ascii="宋体" w:hAnsi="宋体"/>
        <w:b/>
        <w:color w:val="000000"/>
        <w:szCs w:val="21"/>
      </w:rPr>
      <w:fldChar w:fldCharType="end"/>
    </w:r>
    <w:r>
      <w:rPr>
        <w:rFonts w:hint="eastAsia" w:ascii="宋体" w:hAnsi="宋体"/>
        <w:b/>
        <w:color w:val="00000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Cs w:val="21"/>
        <w:u w:val="single"/>
      </w:rPr>
    </w:pPr>
    <w:r>
      <w:rPr>
        <w:rFonts w:hint="eastAsia"/>
        <w:szCs w:val="21"/>
        <w:u w:val="single"/>
      </w:rPr>
      <w:t xml:space="preserve">                                    术业有专攻、政采有阳光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Cs w:val="21"/>
        <w:u w:val="single"/>
      </w:rPr>
    </w:pPr>
    <w:r>
      <w:rPr>
        <w:rFonts w:hint="eastAsia"/>
        <w:szCs w:val="21"/>
        <w:u w:val="single"/>
      </w:rPr>
      <w:t>术业有专攻、政采有阳光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9DEE3"/>
    <w:multiLevelType w:val="singleLevel"/>
    <w:tmpl w:val="0019DEE3"/>
    <w:lvl w:ilvl="0" w:tentative="0">
      <w:start w:val="1"/>
      <w:numFmt w:val="chineseCounting"/>
      <w:suff w:val="space"/>
      <w:lvlText w:val="第%1章"/>
      <w:lvlJc w:val="left"/>
      <w:rPr>
        <w:rFonts w:hint="eastAsia"/>
      </w:rPr>
    </w:lvl>
  </w:abstractNum>
  <w:abstractNum w:abstractNumId="1">
    <w:nsid w:val="2CAE8B67"/>
    <w:multiLevelType w:val="singleLevel"/>
    <w:tmpl w:val="2CAE8B67"/>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ODlmNmVlNzJmNjkyZjAzNGE1ZDkxZjIwMjM1MTcifQ=="/>
  </w:docVars>
  <w:rsids>
    <w:rsidRoot w:val="362A1B67"/>
    <w:rsid w:val="000016F8"/>
    <w:rsid w:val="00001C8E"/>
    <w:rsid w:val="00005FDA"/>
    <w:rsid w:val="000236D0"/>
    <w:rsid w:val="00023AE2"/>
    <w:rsid w:val="000275B9"/>
    <w:rsid w:val="000316B8"/>
    <w:rsid w:val="00034000"/>
    <w:rsid w:val="00036B07"/>
    <w:rsid w:val="00041E63"/>
    <w:rsid w:val="000439E7"/>
    <w:rsid w:val="00046A2D"/>
    <w:rsid w:val="00071B8E"/>
    <w:rsid w:val="00081B72"/>
    <w:rsid w:val="00082625"/>
    <w:rsid w:val="000851B2"/>
    <w:rsid w:val="00085646"/>
    <w:rsid w:val="00091652"/>
    <w:rsid w:val="00091C88"/>
    <w:rsid w:val="000A2297"/>
    <w:rsid w:val="000B4817"/>
    <w:rsid w:val="000B4A7A"/>
    <w:rsid w:val="000C53F2"/>
    <w:rsid w:val="000C625F"/>
    <w:rsid w:val="000D0124"/>
    <w:rsid w:val="000D31A9"/>
    <w:rsid w:val="000D51E0"/>
    <w:rsid w:val="000F1064"/>
    <w:rsid w:val="000F19FC"/>
    <w:rsid w:val="00116683"/>
    <w:rsid w:val="00116AA0"/>
    <w:rsid w:val="001467EC"/>
    <w:rsid w:val="00150AD5"/>
    <w:rsid w:val="00154AAC"/>
    <w:rsid w:val="00172A18"/>
    <w:rsid w:val="001756B4"/>
    <w:rsid w:val="001814E7"/>
    <w:rsid w:val="00184034"/>
    <w:rsid w:val="001A69B1"/>
    <w:rsid w:val="001A6E3C"/>
    <w:rsid w:val="001C0BC5"/>
    <w:rsid w:val="001C0E56"/>
    <w:rsid w:val="001D2330"/>
    <w:rsid w:val="001E500B"/>
    <w:rsid w:val="001F31CE"/>
    <w:rsid w:val="001F64AD"/>
    <w:rsid w:val="001F720C"/>
    <w:rsid w:val="0020201F"/>
    <w:rsid w:val="0020613E"/>
    <w:rsid w:val="00224128"/>
    <w:rsid w:val="002269D4"/>
    <w:rsid w:val="00234A27"/>
    <w:rsid w:val="00246233"/>
    <w:rsid w:val="00247964"/>
    <w:rsid w:val="00274219"/>
    <w:rsid w:val="00274234"/>
    <w:rsid w:val="002852DA"/>
    <w:rsid w:val="00285E01"/>
    <w:rsid w:val="002951E1"/>
    <w:rsid w:val="002A05CA"/>
    <w:rsid w:val="002A377A"/>
    <w:rsid w:val="002A3AD8"/>
    <w:rsid w:val="002A3F4A"/>
    <w:rsid w:val="002B41DE"/>
    <w:rsid w:val="002C2589"/>
    <w:rsid w:val="002D3B43"/>
    <w:rsid w:val="002E39CB"/>
    <w:rsid w:val="002E3F57"/>
    <w:rsid w:val="002E66A7"/>
    <w:rsid w:val="002F4571"/>
    <w:rsid w:val="002F5311"/>
    <w:rsid w:val="003002D2"/>
    <w:rsid w:val="00304E10"/>
    <w:rsid w:val="00305FBD"/>
    <w:rsid w:val="00311CCD"/>
    <w:rsid w:val="00312AE1"/>
    <w:rsid w:val="00327376"/>
    <w:rsid w:val="003303DC"/>
    <w:rsid w:val="003305FA"/>
    <w:rsid w:val="00341ED6"/>
    <w:rsid w:val="0034696A"/>
    <w:rsid w:val="003535F8"/>
    <w:rsid w:val="003550AC"/>
    <w:rsid w:val="003563FD"/>
    <w:rsid w:val="00364D57"/>
    <w:rsid w:val="00365845"/>
    <w:rsid w:val="00376AAD"/>
    <w:rsid w:val="00396429"/>
    <w:rsid w:val="00396D0E"/>
    <w:rsid w:val="00396DEE"/>
    <w:rsid w:val="003A2FD2"/>
    <w:rsid w:val="003A51C4"/>
    <w:rsid w:val="003B022D"/>
    <w:rsid w:val="003B44A6"/>
    <w:rsid w:val="003D670D"/>
    <w:rsid w:val="003D7E60"/>
    <w:rsid w:val="003E36A4"/>
    <w:rsid w:val="003E4A1B"/>
    <w:rsid w:val="003F2C20"/>
    <w:rsid w:val="003F3DFB"/>
    <w:rsid w:val="0040150C"/>
    <w:rsid w:val="0040274E"/>
    <w:rsid w:val="004110F2"/>
    <w:rsid w:val="00414698"/>
    <w:rsid w:val="004227B6"/>
    <w:rsid w:val="00423C6D"/>
    <w:rsid w:val="004266DA"/>
    <w:rsid w:val="00426ADE"/>
    <w:rsid w:val="00427431"/>
    <w:rsid w:val="004313ED"/>
    <w:rsid w:val="00434E6A"/>
    <w:rsid w:val="00435474"/>
    <w:rsid w:val="00436FD0"/>
    <w:rsid w:val="00440672"/>
    <w:rsid w:val="004479E5"/>
    <w:rsid w:val="0045397C"/>
    <w:rsid w:val="00453B69"/>
    <w:rsid w:val="00460AB1"/>
    <w:rsid w:val="004616BE"/>
    <w:rsid w:val="00465099"/>
    <w:rsid w:val="00473F8D"/>
    <w:rsid w:val="00483122"/>
    <w:rsid w:val="00486A02"/>
    <w:rsid w:val="00493900"/>
    <w:rsid w:val="004B60F9"/>
    <w:rsid w:val="004B6EBB"/>
    <w:rsid w:val="004C5A40"/>
    <w:rsid w:val="004C7B41"/>
    <w:rsid w:val="004E03CD"/>
    <w:rsid w:val="004E616D"/>
    <w:rsid w:val="004F3F79"/>
    <w:rsid w:val="004F69A5"/>
    <w:rsid w:val="0051278D"/>
    <w:rsid w:val="00521363"/>
    <w:rsid w:val="0052445A"/>
    <w:rsid w:val="00527906"/>
    <w:rsid w:val="00530752"/>
    <w:rsid w:val="00541A85"/>
    <w:rsid w:val="0054217F"/>
    <w:rsid w:val="00542988"/>
    <w:rsid w:val="005433AB"/>
    <w:rsid w:val="00545461"/>
    <w:rsid w:val="00546EDC"/>
    <w:rsid w:val="00555137"/>
    <w:rsid w:val="0055637C"/>
    <w:rsid w:val="00557262"/>
    <w:rsid w:val="00563A6B"/>
    <w:rsid w:val="00565C8E"/>
    <w:rsid w:val="00567379"/>
    <w:rsid w:val="00574BA8"/>
    <w:rsid w:val="00586ACD"/>
    <w:rsid w:val="005A19CE"/>
    <w:rsid w:val="005A3F05"/>
    <w:rsid w:val="005A5813"/>
    <w:rsid w:val="005A77F1"/>
    <w:rsid w:val="005B0EC8"/>
    <w:rsid w:val="005C779F"/>
    <w:rsid w:val="005E7397"/>
    <w:rsid w:val="005F09CF"/>
    <w:rsid w:val="005F25FC"/>
    <w:rsid w:val="0061633E"/>
    <w:rsid w:val="00616591"/>
    <w:rsid w:val="0062008D"/>
    <w:rsid w:val="006208A0"/>
    <w:rsid w:val="006259B3"/>
    <w:rsid w:val="00627E6B"/>
    <w:rsid w:val="006432CA"/>
    <w:rsid w:val="00646C7C"/>
    <w:rsid w:val="006475C4"/>
    <w:rsid w:val="00647D65"/>
    <w:rsid w:val="006540DA"/>
    <w:rsid w:val="00654AFE"/>
    <w:rsid w:val="006558A6"/>
    <w:rsid w:val="0066593D"/>
    <w:rsid w:val="006718B2"/>
    <w:rsid w:val="00675CC3"/>
    <w:rsid w:val="006768C1"/>
    <w:rsid w:val="00694131"/>
    <w:rsid w:val="006A1B37"/>
    <w:rsid w:val="006A73E4"/>
    <w:rsid w:val="006A7A8F"/>
    <w:rsid w:val="006B3EBE"/>
    <w:rsid w:val="006C4E28"/>
    <w:rsid w:val="006C72BC"/>
    <w:rsid w:val="006D58EC"/>
    <w:rsid w:val="006D6351"/>
    <w:rsid w:val="006D6D8B"/>
    <w:rsid w:val="006E10CB"/>
    <w:rsid w:val="006E56E0"/>
    <w:rsid w:val="006F0A27"/>
    <w:rsid w:val="00701372"/>
    <w:rsid w:val="00705FF9"/>
    <w:rsid w:val="00712758"/>
    <w:rsid w:val="0072221F"/>
    <w:rsid w:val="00727F5B"/>
    <w:rsid w:val="00735312"/>
    <w:rsid w:val="00752306"/>
    <w:rsid w:val="00754D1B"/>
    <w:rsid w:val="00754EF5"/>
    <w:rsid w:val="0076073D"/>
    <w:rsid w:val="00761733"/>
    <w:rsid w:val="007720C1"/>
    <w:rsid w:val="0077332A"/>
    <w:rsid w:val="00775CD2"/>
    <w:rsid w:val="00776047"/>
    <w:rsid w:val="00776058"/>
    <w:rsid w:val="007770DD"/>
    <w:rsid w:val="00780493"/>
    <w:rsid w:val="0078070D"/>
    <w:rsid w:val="00781373"/>
    <w:rsid w:val="00784788"/>
    <w:rsid w:val="00784EA9"/>
    <w:rsid w:val="00790537"/>
    <w:rsid w:val="00792F91"/>
    <w:rsid w:val="007959C2"/>
    <w:rsid w:val="00797F83"/>
    <w:rsid w:val="007A0403"/>
    <w:rsid w:val="007A07A7"/>
    <w:rsid w:val="007A2FE6"/>
    <w:rsid w:val="007B6903"/>
    <w:rsid w:val="007C5601"/>
    <w:rsid w:val="007D116B"/>
    <w:rsid w:val="007D3802"/>
    <w:rsid w:val="007D75C3"/>
    <w:rsid w:val="007E35EC"/>
    <w:rsid w:val="007E48FC"/>
    <w:rsid w:val="007E4B02"/>
    <w:rsid w:val="007E5501"/>
    <w:rsid w:val="007E790B"/>
    <w:rsid w:val="007F7916"/>
    <w:rsid w:val="0080783C"/>
    <w:rsid w:val="00807E4E"/>
    <w:rsid w:val="00811B26"/>
    <w:rsid w:val="008156D0"/>
    <w:rsid w:val="00817BC0"/>
    <w:rsid w:val="008208C7"/>
    <w:rsid w:val="0082450D"/>
    <w:rsid w:val="00831D9A"/>
    <w:rsid w:val="00832BDC"/>
    <w:rsid w:val="008368D9"/>
    <w:rsid w:val="00845B0D"/>
    <w:rsid w:val="008468AA"/>
    <w:rsid w:val="00847DE1"/>
    <w:rsid w:val="00856FAF"/>
    <w:rsid w:val="00863463"/>
    <w:rsid w:val="00881355"/>
    <w:rsid w:val="008825A2"/>
    <w:rsid w:val="00884FF9"/>
    <w:rsid w:val="00890EE5"/>
    <w:rsid w:val="008911D9"/>
    <w:rsid w:val="00895E46"/>
    <w:rsid w:val="008967CE"/>
    <w:rsid w:val="008A1149"/>
    <w:rsid w:val="008B3E6D"/>
    <w:rsid w:val="008C08A6"/>
    <w:rsid w:val="008D5CB7"/>
    <w:rsid w:val="008E0FC7"/>
    <w:rsid w:val="008E1482"/>
    <w:rsid w:val="008E1D7B"/>
    <w:rsid w:val="008E30FB"/>
    <w:rsid w:val="008F0B95"/>
    <w:rsid w:val="008F1806"/>
    <w:rsid w:val="008F7CB4"/>
    <w:rsid w:val="00906222"/>
    <w:rsid w:val="009070D7"/>
    <w:rsid w:val="0091066F"/>
    <w:rsid w:val="00914C32"/>
    <w:rsid w:val="00925CA5"/>
    <w:rsid w:val="00940AA8"/>
    <w:rsid w:val="00942D36"/>
    <w:rsid w:val="00952109"/>
    <w:rsid w:val="00957081"/>
    <w:rsid w:val="00970147"/>
    <w:rsid w:val="009777FB"/>
    <w:rsid w:val="0098087D"/>
    <w:rsid w:val="009C7CD4"/>
    <w:rsid w:val="009D16B6"/>
    <w:rsid w:val="009D226B"/>
    <w:rsid w:val="009D7531"/>
    <w:rsid w:val="009E0EBD"/>
    <w:rsid w:val="009E54DF"/>
    <w:rsid w:val="009E60FA"/>
    <w:rsid w:val="009F06B2"/>
    <w:rsid w:val="00A028AE"/>
    <w:rsid w:val="00A27E1A"/>
    <w:rsid w:val="00A33257"/>
    <w:rsid w:val="00A438CF"/>
    <w:rsid w:val="00A45F9D"/>
    <w:rsid w:val="00A566D5"/>
    <w:rsid w:val="00A603D0"/>
    <w:rsid w:val="00A645CB"/>
    <w:rsid w:val="00A67F48"/>
    <w:rsid w:val="00A81A6E"/>
    <w:rsid w:val="00A84C4D"/>
    <w:rsid w:val="00A914AD"/>
    <w:rsid w:val="00A97668"/>
    <w:rsid w:val="00AA1A86"/>
    <w:rsid w:val="00AA2EF4"/>
    <w:rsid w:val="00AA7D21"/>
    <w:rsid w:val="00AB35EA"/>
    <w:rsid w:val="00AD309C"/>
    <w:rsid w:val="00AD7CF5"/>
    <w:rsid w:val="00AE4605"/>
    <w:rsid w:val="00AE660F"/>
    <w:rsid w:val="00AF28C5"/>
    <w:rsid w:val="00AF6A22"/>
    <w:rsid w:val="00B07992"/>
    <w:rsid w:val="00B1375E"/>
    <w:rsid w:val="00B21298"/>
    <w:rsid w:val="00B2195F"/>
    <w:rsid w:val="00B356E4"/>
    <w:rsid w:val="00B36A4F"/>
    <w:rsid w:val="00B5460E"/>
    <w:rsid w:val="00B63F3A"/>
    <w:rsid w:val="00B655B7"/>
    <w:rsid w:val="00B7130A"/>
    <w:rsid w:val="00B80BC0"/>
    <w:rsid w:val="00B84AA7"/>
    <w:rsid w:val="00B87A8B"/>
    <w:rsid w:val="00BA1C5D"/>
    <w:rsid w:val="00BA2A2B"/>
    <w:rsid w:val="00BB2EE9"/>
    <w:rsid w:val="00BB43FE"/>
    <w:rsid w:val="00BC23E8"/>
    <w:rsid w:val="00BC2B21"/>
    <w:rsid w:val="00BE3458"/>
    <w:rsid w:val="00BE6EF2"/>
    <w:rsid w:val="00BF6C3A"/>
    <w:rsid w:val="00BF7932"/>
    <w:rsid w:val="00C027DF"/>
    <w:rsid w:val="00C03A49"/>
    <w:rsid w:val="00C15F71"/>
    <w:rsid w:val="00C22B0E"/>
    <w:rsid w:val="00C26819"/>
    <w:rsid w:val="00C27489"/>
    <w:rsid w:val="00C44AB2"/>
    <w:rsid w:val="00C536EE"/>
    <w:rsid w:val="00C55603"/>
    <w:rsid w:val="00C579A4"/>
    <w:rsid w:val="00C613FB"/>
    <w:rsid w:val="00C64C19"/>
    <w:rsid w:val="00C71DDA"/>
    <w:rsid w:val="00C7527B"/>
    <w:rsid w:val="00C763AC"/>
    <w:rsid w:val="00C94652"/>
    <w:rsid w:val="00C9625E"/>
    <w:rsid w:val="00CA0A5D"/>
    <w:rsid w:val="00CA1F46"/>
    <w:rsid w:val="00CA5DEE"/>
    <w:rsid w:val="00CB4723"/>
    <w:rsid w:val="00CC57D5"/>
    <w:rsid w:val="00CD4CF7"/>
    <w:rsid w:val="00CF6BF6"/>
    <w:rsid w:val="00CF6C8C"/>
    <w:rsid w:val="00D02170"/>
    <w:rsid w:val="00D02320"/>
    <w:rsid w:val="00D02FD2"/>
    <w:rsid w:val="00D032A1"/>
    <w:rsid w:val="00D074CA"/>
    <w:rsid w:val="00D15007"/>
    <w:rsid w:val="00D169E3"/>
    <w:rsid w:val="00D22DDA"/>
    <w:rsid w:val="00D31AD7"/>
    <w:rsid w:val="00D415E4"/>
    <w:rsid w:val="00D46AA8"/>
    <w:rsid w:val="00D5688F"/>
    <w:rsid w:val="00D56F13"/>
    <w:rsid w:val="00D62393"/>
    <w:rsid w:val="00D67D98"/>
    <w:rsid w:val="00D71EB5"/>
    <w:rsid w:val="00D7446B"/>
    <w:rsid w:val="00D75EE6"/>
    <w:rsid w:val="00D81569"/>
    <w:rsid w:val="00DA1A24"/>
    <w:rsid w:val="00DA2290"/>
    <w:rsid w:val="00DA2629"/>
    <w:rsid w:val="00DA33D5"/>
    <w:rsid w:val="00DA787D"/>
    <w:rsid w:val="00DB74EE"/>
    <w:rsid w:val="00DD1A8A"/>
    <w:rsid w:val="00DD4BCB"/>
    <w:rsid w:val="00DF2CF7"/>
    <w:rsid w:val="00E00E73"/>
    <w:rsid w:val="00E02E27"/>
    <w:rsid w:val="00E02EFD"/>
    <w:rsid w:val="00E15216"/>
    <w:rsid w:val="00E17E64"/>
    <w:rsid w:val="00E231A7"/>
    <w:rsid w:val="00E308CC"/>
    <w:rsid w:val="00E31848"/>
    <w:rsid w:val="00E322FB"/>
    <w:rsid w:val="00E32886"/>
    <w:rsid w:val="00E37F75"/>
    <w:rsid w:val="00E425DE"/>
    <w:rsid w:val="00E50204"/>
    <w:rsid w:val="00E51046"/>
    <w:rsid w:val="00E53934"/>
    <w:rsid w:val="00E55E42"/>
    <w:rsid w:val="00E63694"/>
    <w:rsid w:val="00E67CC9"/>
    <w:rsid w:val="00E67E8E"/>
    <w:rsid w:val="00E72C5D"/>
    <w:rsid w:val="00E81CD8"/>
    <w:rsid w:val="00E82ECF"/>
    <w:rsid w:val="00E83862"/>
    <w:rsid w:val="00E8449F"/>
    <w:rsid w:val="00E93FBB"/>
    <w:rsid w:val="00EA1037"/>
    <w:rsid w:val="00EA2F2F"/>
    <w:rsid w:val="00EB00E5"/>
    <w:rsid w:val="00EB4F05"/>
    <w:rsid w:val="00EB560A"/>
    <w:rsid w:val="00EB5FF9"/>
    <w:rsid w:val="00EC0008"/>
    <w:rsid w:val="00EC40FB"/>
    <w:rsid w:val="00EC4AAC"/>
    <w:rsid w:val="00EC4C50"/>
    <w:rsid w:val="00EE276B"/>
    <w:rsid w:val="00EE47F7"/>
    <w:rsid w:val="00EF3F0B"/>
    <w:rsid w:val="00F0096F"/>
    <w:rsid w:val="00F014CC"/>
    <w:rsid w:val="00F146D4"/>
    <w:rsid w:val="00F17454"/>
    <w:rsid w:val="00F174AF"/>
    <w:rsid w:val="00F1791D"/>
    <w:rsid w:val="00F21AAB"/>
    <w:rsid w:val="00F22FF2"/>
    <w:rsid w:val="00F27856"/>
    <w:rsid w:val="00F36BA7"/>
    <w:rsid w:val="00F36C45"/>
    <w:rsid w:val="00F47C77"/>
    <w:rsid w:val="00F53038"/>
    <w:rsid w:val="00F530CC"/>
    <w:rsid w:val="00F61750"/>
    <w:rsid w:val="00F63BB1"/>
    <w:rsid w:val="00F64770"/>
    <w:rsid w:val="00F71289"/>
    <w:rsid w:val="00F7210C"/>
    <w:rsid w:val="00F738A0"/>
    <w:rsid w:val="00F74729"/>
    <w:rsid w:val="00F771DD"/>
    <w:rsid w:val="00F8158C"/>
    <w:rsid w:val="00F913D4"/>
    <w:rsid w:val="00F95EA2"/>
    <w:rsid w:val="00F973C7"/>
    <w:rsid w:val="00FA0028"/>
    <w:rsid w:val="00FA3D79"/>
    <w:rsid w:val="00FB2763"/>
    <w:rsid w:val="00FB449E"/>
    <w:rsid w:val="00FB4D48"/>
    <w:rsid w:val="00FB7B0A"/>
    <w:rsid w:val="00FC0D61"/>
    <w:rsid w:val="00FD2CBB"/>
    <w:rsid w:val="00FE1D87"/>
    <w:rsid w:val="00FF6605"/>
    <w:rsid w:val="00FF708A"/>
    <w:rsid w:val="01060C7A"/>
    <w:rsid w:val="01227B80"/>
    <w:rsid w:val="01255120"/>
    <w:rsid w:val="015679D0"/>
    <w:rsid w:val="016A347B"/>
    <w:rsid w:val="018502B5"/>
    <w:rsid w:val="01B110AA"/>
    <w:rsid w:val="01C94F17"/>
    <w:rsid w:val="01CF6826"/>
    <w:rsid w:val="01F36FCC"/>
    <w:rsid w:val="01FB40D3"/>
    <w:rsid w:val="020250AD"/>
    <w:rsid w:val="022278B2"/>
    <w:rsid w:val="02251150"/>
    <w:rsid w:val="0242356F"/>
    <w:rsid w:val="025A704C"/>
    <w:rsid w:val="02641C78"/>
    <w:rsid w:val="02705A59"/>
    <w:rsid w:val="02765728"/>
    <w:rsid w:val="02783D4A"/>
    <w:rsid w:val="027D0F8C"/>
    <w:rsid w:val="027F4D04"/>
    <w:rsid w:val="02837B03"/>
    <w:rsid w:val="02883D22"/>
    <w:rsid w:val="02B349AE"/>
    <w:rsid w:val="02BC3862"/>
    <w:rsid w:val="02EE1086"/>
    <w:rsid w:val="02FB6CDA"/>
    <w:rsid w:val="03057289"/>
    <w:rsid w:val="031F2ECC"/>
    <w:rsid w:val="03675EC4"/>
    <w:rsid w:val="03EC0177"/>
    <w:rsid w:val="03F079D9"/>
    <w:rsid w:val="03F86B1C"/>
    <w:rsid w:val="03FB660C"/>
    <w:rsid w:val="040500AF"/>
    <w:rsid w:val="041B280B"/>
    <w:rsid w:val="044262F7"/>
    <w:rsid w:val="044E1D39"/>
    <w:rsid w:val="0454692A"/>
    <w:rsid w:val="04610B65"/>
    <w:rsid w:val="046930FC"/>
    <w:rsid w:val="04857CE0"/>
    <w:rsid w:val="0499464F"/>
    <w:rsid w:val="049F168E"/>
    <w:rsid w:val="04B0389B"/>
    <w:rsid w:val="04B641E5"/>
    <w:rsid w:val="04B8274F"/>
    <w:rsid w:val="04C335CE"/>
    <w:rsid w:val="04C54360"/>
    <w:rsid w:val="050339CA"/>
    <w:rsid w:val="052120A3"/>
    <w:rsid w:val="052676B9"/>
    <w:rsid w:val="052B056E"/>
    <w:rsid w:val="05300538"/>
    <w:rsid w:val="053E4A03"/>
    <w:rsid w:val="054933A7"/>
    <w:rsid w:val="055F471E"/>
    <w:rsid w:val="05753047"/>
    <w:rsid w:val="059C656F"/>
    <w:rsid w:val="05A76A4C"/>
    <w:rsid w:val="05DF2F6E"/>
    <w:rsid w:val="05EC3CFE"/>
    <w:rsid w:val="05F72E03"/>
    <w:rsid w:val="060929C5"/>
    <w:rsid w:val="061B11E8"/>
    <w:rsid w:val="061E65E2"/>
    <w:rsid w:val="062365AE"/>
    <w:rsid w:val="06336531"/>
    <w:rsid w:val="06383B48"/>
    <w:rsid w:val="06417EB4"/>
    <w:rsid w:val="065A6526"/>
    <w:rsid w:val="065F10D4"/>
    <w:rsid w:val="066704AD"/>
    <w:rsid w:val="06695AAF"/>
    <w:rsid w:val="066B5CCB"/>
    <w:rsid w:val="066F6244"/>
    <w:rsid w:val="068E5516"/>
    <w:rsid w:val="069A210C"/>
    <w:rsid w:val="06A37B17"/>
    <w:rsid w:val="06A66D03"/>
    <w:rsid w:val="06B93983"/>
    <w:rsid w:val="06D43123"/>
    <w:rsid w:val="06D66EBD"/>
    <w:rsid w:val="070C4535"/>
    <w:rsid w:val="07267138"/>
    <w:rsid w:val="07293490"/>
    <w:rsid w:val="073E518E"/>
    <w:rsid w:val="077D2FDF"/>
    <w:rsid w:val="078132CC"/>
    <w:rsid w:val="079B25E0"/>
    <w:rsid w:val="07BC2556"/>
    <w:rsid w:val="07C40E9D"/>
    <w:rsid w:val="07D77390"/>
    <w:rsid w:val="07E163D5"/>
    <w:rsid w:val="07F46FEF"/>
    <w:rsid w:val="08070A00"/>
    <w:rsid w:val="08170505"/>
    <w:rsid w:val="083B791F"/>
    <w:rsid w:val="084B0776"/>
    <w:rsid w:val="0865674A"/>
    <w:rsid w:val="08940143"/>
    <w:rsid w:val="08971C0E"/>
    <w:rsid w:val="089F7EAE"/>
    <w:rsid w:val="08AD3BAB"/>
    <w:rsid w:val="08B64722"/>
    <w:rsid w:val="08BA0844"/>
    <w:rsid w:val="08BA5C89"/>
    <w:rsid w:val="08C22CC5"/>
    <w:rsid w:val="08CA0902"/>
    <w:rsid w:val="08CF4683"/>
    <w:rsid w:val="08D262A8"/>
    <w:rsid w:val="08EC0968"/>
    <w:rsid w:val="08FF35C4"/>
    <w:rsid w:val="09146912"/>
    <w:rsid w:val="092C1016"/>
    <w:rsid w:val="093D2F14"/>
    <w:rsid w:val="094D16B8"/>
    <w:rsid w:val="0962481E"/>
    <w:rsid w:val="09744D54"/>
    <w:rsid w:val="097D7547"/>
    <w:rsid w:val="097D7E05"/>
    <w:rsid w:val="097E3AE5"/>
    <w:rsid w:val="0994055C"/>
    <w:rsid w:val="099472E7"/>
    <w:rsid w:val="0995137D"/>
    <w:rsid w:val="09A677DE"/>
    <w:rsid w:val="09CF2342"/>
    <w:rsid w:val="09D83256"/>
    <w:rsid w:val="09DA6CC4"/>
    <w:rsid w:val="09DE4A06"/>
    <w:rsid w:val="09E6794E"/>
    <w:rsid w:val="09FE4D70"/>
    <w:rsid w:val="0A595E3B"/>
    <w:rsid w:val="0A5B632D"/>
    <w:rsid w:val="0A5C3699"/>
    <w:rsid w:val="0A79472F"/>
    <w:rsid w:val="0A79570C"/>
    <w:rsid w:val="0A7E07AB"/>
    <w:rsid w:val="0A825C26"/>
    <w:rsid w:val="0A924098"/>
    <w:rsid w:val="0AA03A6A"/>
    <w:rsid w:val="0AC27AB4"/>
    <w:rsid w:val="0AE61961"/>
    <w:rsid w:val="0B1F2196"/>
    <w:rsid w:val="0B2428ED"/>
    <w:rsid w:val="0B3568A8"/>
    <w:rsid w:val="0B6161A3"/>
    <w:rsid w:val="0B776EC0"/>
    <w:rsid w:val="0B8213C1"/>
    <w:rsid w:val="0B897DCB"/>
    <w:rsid w:val="0B980BE5"/>
    <w:rsid w:val="0BA31874"/>
    <w:rsid w:val="0BB717D7"/>
    <w:rsid w:val="0BBC48D3"/>
    <w:rsid w:val="0BC47C2C"/>
    <w:rsid w:val="0C1B5A9E"/>
    <w:rsid w:val="0C236700"/>
    <w:rsid w:val="0C25673D"/>
    <w:rsid w:val="0C291044"/>
    <w:rsid w:val="0C2A7A8F"/>
    <w:rsid w:val="0C2C7CAB"/>
    <w:rsid w:val="0C3C259B"/>
    <w:rsid w:val="0C403DDB"/>
    <w:rsid w:val="0C41302A"/>
    <w:rsid w:val="0C4F1BEB"/>
    <w:rsid w:val="0C516F71"/>
    <w:rsid w:val="0C711556"/>
    <w:rsid w:val="0C782EF0"/>
    <w:rsid w:val="0CA05FA3"/>
    <w:rsid w:val="0CC53C5B"/>
    <w:rsid w:val="0CD21ED4"/>
    <w:rsid w:val="0CD90540"/>
    <w:rsid w:val="0CDB522D"/>
    <w:rsid w:val="0D1129FD"/>
    <w:rsid w:val="0D183D8B"/>
    <w:rsid w:val="0D1D6B9E"/>
    <w:rsid w:val="0D3F57BC"/>
    <w:rsid w:val="0D4C1C87"/>
    <w:rsid w:val="0D5D44B5"/>
    <w:rsid w:val="0D774F56"/>
    <w:rsid w:val="0D9A669A"/>
    <w:rsid w:val="0D9D0734"/>
    <w:rsid w:val="0DBD756F"/>
    <w:rsid w:val="0DC95E8B"/>
    <w:rsid w:val="0DD26630"/>
    <w:rsid w:val="0DE66142"/>
    <w:rsid w:val="0DE7680D"/>
    <w:rsid w:val="0DEB5944"/>
    <w:rsid w:val="0DED346A"/>
    <w:rsid w:val="0E010E09"/>
    <w:rsid w:val="0E03489D"/>
    <w:rsid w:val="0E0B7D94"/>
    <w:rsid w:val="0E146C48"/>
    <w:rsid w:val="0E146F9D"/>
    <w:rsid w:val="0E19425F"/>
    <w:rsid w:val="0E286250"/>
    <w:rsid w:val="0E39045D"/>
    <w:rsid w:val="0E3C3018"/>
    <w:rsid w:val="0E62296F"/>
    <w:rsid w:val="0E6A2D0C"/>
    <w:rsid w:val="0E71409B"/>
    <w:rsid w:val="0E94731D"/>
    <w:rsid w:val="0E985859"/>
    <w:rsid w:val="0ED20405"/>
    <w:rsid w:val="0EDA2FEF"/>
    <w:rsid w:val="0EF10D38"/>
    <w:rsid w:val="0F083F8A"/>
    <w:rsid w:val="0F15222C"/>
    <w:rsid w:val="0F18046C"/>
    <w:rsid w:val="0F410148"/>
    <w:rsid w:val="0F475A3E"/>
    <w:rsid w:val="0F5B4403"/>
    <w:rsid w:val="0F7D306C"/>
    <w:rsid w:val="0F882BE7"/>
    <w:rsid w:val="0F8B1A2C"/>
    <w:rsid w:val="0F9A4F2B"/>
    <w:rsid w:val="0FAE09D7"/>
    <w:rsid w:val="0FB12275"/>
    <w:rsid w:val="0FB57FB7"/>
    <w:rsid w:val="0FC65D20"/>
    <w:rsid w:val="0FC72505"/>
    <w:rsid w:val="0FD04DF1"/>
    <w:rsid w:val="10141182"/>
    <w:rsid w:val="10150A56"/>
    <w:rsid w:val="10273790"/>
    <w:rsid w:val="10476E1D"/>
    <w:rsid w:val="104A6951"/>
    <w:rsid w:val="105D5D5A"/>
    <w:rsid w:val="10795489"/>
    <w:rsid w:val="10AF4A06"/>
    <w:rsid w:val="10C167E4"/>
    <w:rsid w:val="10C763EA"/>
    <w:rsid w:val="10E87F18"/>
    <w:rsid w:val="10FD1C16"/>
    <w:rsid w:val="11116391"/>
    <w:rsid w:val="11164A85"/>
    <w:rsid w:val="111D5E14"/>
    <w:rsid w:val="11271AB8"/>
    <w:rsid w:val="113849FC"/>
    <w:rsid w:val="114F61E9"/>
    <w:rsid w:val="11984976"/>
    <w:rsid w:val="11A46535"/>
    <w:rsid w:val="11AC0F46"/>
    <w:rsid w:val="11AC53EA"/>
    <w:rsid w:val="11CA48D8"/>
    <w:rsid w:val="11CB5105"/>
    <w:rsid w:val="11D21AE6"/>
    <w:rsid w:val="11D706B9"/>
    <w:rsid w:val="11F50CE9"/>
    <w:rsid w:val="12080872"/>
    <w:rsid w:val="12107727"/>
    <w:rsid w:val="12117DB8"/>
    <w:rsid w:val="121C02BE"/>
    <w:rsid w:val="121C431D"/>
    <w:rsid w:val="12292935"/>
    <w:rsid w:val="12296A3A"/>
    <w:rsid w:val="123C49C0"/>
    <w:rsid w:val="12423F8B"/>
    <w:rsid w:val="125C6E10"/>
    <w:rsid w:val="12687563"/>
    <w:rsid w:val="12754004"/>
    <w:rsid w:val="128B2877"/>
    <w:rsid w:val="12975631"/>
    <w:rsid w:val="1299771C"/>
    <w:rsid w:val="129C4AFB"/>
    <w:rsid w:val="12C16C73"/>
    <w:rsid w:val="12D06EB6"/>
    <w:rsid w:val="12E3308D"/>
    <w:rsid w:val="12F7648C"/>
    <w:rsid w:val="1338440E"/>
    <w:rsid w:val="133B4C77"/>
    <w:rsid w:val="133E6103"/>
    <w:rsid w:val="13426191"/>
    <w:rsid w:val="1347361C"/>
    <w:rsid w:val="134753CA"/>
    <w:rsid w:val="13660293"/>
    <w:rsid w:val="1368169B"/>
    <w:rsid w:val="136E6DFB"/>
    <w:rsid w:val="13710699"/>
    <w:rsid w:val="137B5074"/>
    <w:rsid w:val="13A445CA"/>
    <w:rsid w:val="13AF55F0"/>
    <w:rsid w:val="13B47B12"/>
    <w:rsid w:val="13BA3DEE"/>
    <w:rsid w:val="13D44784"/>
    <w:rsid w:val="13F3192F"/>
    <w:rsid w:val="13F6106B"/>
    <w:rsid w:val="13FB7F63"/>
    <w:rsid w:val="140F5871"/>
    <w:rsid w:val="14103A0E"/>
    <w:rsid w:val="144A5C2E"/>
    <w:rsid w:val="144B713C"/>
    <w:rsid w:val="145E2AD3"/>
    <w:rsid w:val="1466786F"/>
    <w:rsid w:val="14717E92"/>
    <w:rsid w:val="14724AB6"/>
    <w:rsid w:val="14810A3E"/>
    <w:rsid w:val="148B7538"/>
    <w:rsid w:val="148E3042"/>
    <w:rsid w:val="149F41D0"/>
    <w:rsid w:val="14C55CE2"/>
    <w:rsid w:val="14CA0061"/>
    <w:rsid w:val="14DA49C1"/>
    <w:rsid w:val="14ED2408"/>
    <w:rsid w:val="14F03EE3"/>
    <w:rsid w:val="14F21366"/>
    <w:rsid w:val="151439D2"/>
    <w:rsid w:val="151E65FF"/>
    <w:rsid w:val="15211C4B"/>
    <w:rsid w:val="15324B8E"/>
    <w:rsid w:val="153320AA"/>
    <w:rsid w:val="153B5B4F"/>
    <w:rsid w:val="15443765"/>
    <w:rsid w:val="157D650A"/>
    <w:rsid w:val="157F578C"/>
    <w:rsid w:val="15866F2A"/>
    <w:rsid w:val="15A9411A"/>
    <w:rsid w:val="15C6392F"/>
    <w:rsid w:val="160A4F1B"/>
    <w:rsid w:val="16341CFD"/>
    <w:rsid w:val="16393D39"/>
    <w:rsid w:val="16467BBB"/>
    <w:rsid w:val="165027E8"/>
    <w:rsid w:val="167744DB"/>
    <w:rsid w:val="1683496B"/>
    <w:rsid w:val="16886814"/>
    <w:rsid w:val="16893F4C"/>
    <w:rsid w:val="16946B78"/>
    <w:rsid w:val="16C84A74"/>
    <w:rsid w:val="16D27BE2"/>
    <w:rsid w:val="16D771C7"/>
    <w:rsid w:val="16E01DBD"/>
    <w:rsid w:val="171B0984"/>
    <w:rsid w:val="17261D73"/>
    <w:rsid w:val="172772B0"/>
    <w:rsid w:val="17465999"/>
    <w:rsid w:val="17485BB5"/>
    <w:rsid w:val="174F7450"/>
    <w:rsid w:val="175F3493"/>
    <w:rsid w:val="179B1662"/>
    <w:rsid w:val="17AF1790"/>
    <w:rsid w:val="17B80644"/>
    <w:rsid w:val="17D01916"/>
    <w:rsid w:val="17DE3E23"/>
    <w:rsid w:val="17F35B20"/>
    <w:rsid w:val="17F77241"/>
    <w:rsid w:val="18021CD6"/>
    <w:rsid w:val="18090EA0"/>
    <w:rsid w:val="181B72DB"/>
    <w:rsid w:val="182E6B2B"/>
    <w:rsid w:val="184019AC"/>
    <w:rsid w:val="18407B66"/>
    <w:rsid w:val="18437C28"/>
    <w:rsid w:val="186662F2"/>
    <w:rsid w:val="188104BD"/>
    <w:rsid w:val="18965ABA"/>
    <w:rsid w:val="18B03A11"/>
    <w:rsid w:val="18C106AC"/>
    <w:rsid w:val="18CC6CC2"/>
    <w:rsid w:val="18CE20EA"/>
    <w:rsid w:val="18CE7660"/>
    <w:rsid w:val="18F712F7"/>
    <w:rsid w:val="190E0811"/>
    <w:rsid w:val="1926420A"/>
    <w:rsid w:val="19287A4C"/>
    <w:rsid w:val="19422C35"/>
    <w:rsid w:val="19486114"/>
    <w:rsid w:val="196A2073"/>
    <w:rsid w:val="197A603E"/>
    <w:rsid w:val="197E141A"/>
    <w:rsid w:val="199B1FCC"/>
    <w:rsid w:val="19AA66B3"/>
    <w:rsid w:val="19AC652F"/>
    <w:rsid w:val="19AC7DD1"/>
    <w:rsid w:val="19B25567"/>
    <w:rsid w:val="19F93196"/>
    <w:rsid w:val="19FB0CBC"/>
    <w:rsid w:val="19FD67E3"/>
    <w:rsid w:val="1A001289"/>
    <w:rsid w:val="1A02204B"/>
    <w:rsid w:val="1A07140F"/>
    <w:rsid w:val="1A154DA1"/>
    <w:rsid w:val="1A2056A9"/>
    <w:rsid w:val="1A330456"/>
    <w:rsid w:val="1A347B93"/>
    <w:rsid w:val="1A4C59BC"/>
    <w:rsid w:val="1A562397"/>
    <w:rsid w:val="1A864B29"/>
    <w:rsid w:val="1A9223BA"/>
    <w:rsid w:val="1A9A04D5"/>
    <w:rsid w:val="1AA50C28"/>
    <w:rsid w:val="1AAB623F"/>
    <w:rsid w:val="1ABD41C4"/>
    <w:rsid w:val="1ACD62A6"/>
    <w:rsid w:val="1B157B5C"/>
    <w:rsid w:val="1B1B17E0"/>
    <w:rsid w:val="1B2349D2"/>
    <w:rsid w:val="1B326960"/>
    <w:rsid w:val="1B373F76"/>
    <w:rsid w:val="1B59213E"/>
    <w:rsid w:val="1B6A4FBB"/>
    <w:rsid w:val="1B7C2C5F"/>
    <w:rsid w:val="1BA55384"/>
    <w:rsid w:val="1BA86C22"/>
    <w:rsid w:val="1BAF1D5E"/>
    <w:rsid w:val="1BCC4A05"/>
    <w:rsid w:val="1BD75223"/>
    <w:rsid w:val="1BDB0DA5"/>
    <w:rsid w:val="1BDB2B53"/>
    <w:rsid w:val="1BE063BC"/>
    <w:rsid w:val="1C0E117B"/>
    <w:rsid w:val="1C321E98"/>
    <w:rsid w:val="1C784846"/>
    <w:rsid w:val="1C7C14FF"/>
    <w:rsid w:val="1C821221"/>
    <w:rsid w:val="1C881132"/>
    <w:rsid w:val="1C99525B"/>
    <w:rsid w:val="1CAB4C1C"/>
    <w:rsid w:val="1CB11952"/>
    <w:rsid w:val="1CCB1FF0"/>
    <w:rsid w:val="1CD46F6C"/>
    <w:rsid w:val="1CDE52E8"/>
    <w:rsid w:val="1CE1575A"/>
    <w:rsid w:val="1CEC6434"/>
    <w:rsid w:val="1CF2284B"/>
    <w:rsid w:val="1D1A3B4F"/>
    <w:rsid w:val="1D233C03"/>
    <w:rsid w:val="1D2F75FB"/>
    <w:rsid w:val="1D506B65"/>
    <w:rsid w:val="1D516351"/>
    <w:rsid w:val="1D550375"/>
    <w:rsid w:val="1D570900"/>
    <w:rsid w:val="1D61352C"/>
    <w:rsid w:val="1D6A233A"/>
    <w:rsid w:val="1D8D4321"/>
    <w:rsid w:val="1D976F4E"/>
    <w:rsid w:val="1DCA1E79"/>
    <w:rsid w:val="1DCB2DDC"/>
    <w:rsid w:val="1DE33CD0"/>
    <w:rsid w:val="1DEC54AF"/>
    <w:rsid w:val="1DF223D6"/>
    <w:rsid w:val="1DFE701D"/>
    <w:rsid w:val="1E14059F"/>
    <w:rsid w:val="1E1B192D"/>
    <w:rsid w:val="1E205195"/>
    <w:rsid w:val="1E226631"/>
    <w:rsid w:val="1E313FB3"/>
    <w:rsid w:val="1E4075E6"/>
    <w:rsid w:val="1E441A50"/>
    <w:rsid w:val="1E5B7F7C"/>
    <w:rsid w:val="1E6F6EC6"/>
    <w:rsid w:val="1E7B061E"/>
    <w:rsid w:val="1E8066E5"/>
    <w:rsid w:val="1E8219AC"/>
    <w:rsid w:val="1E854FF8"/>
    <w:rsid w:val="1E94348E"/>
    <w:rsid w:val="1EB3600A"/>
    <w:rsid w:val="1ECE4BF1"/>
    <w:rsid w:val="1ED470A1"/>
    <w:rsid w:val="1EDE6ADB"/>
    <w:rsid w:val="1EF64B18"/>
    <w:rsid w:val="1F01504A"/>
    <w:rsid w:val="1F1162C7"/>
    <w:rsid w:val="1F157FEC"/>
    <w:rsid w:val="1F1A3993"/>
    <w:rsid w:val="1F244811"/>
    <w:rsid w:val="1F3543D1"/>
    <w:rsid w:val="1F386FFD"/>
    <w:rsid w:val="1F4E3041"/>
    <w:rsid w:val="1F552C1D"/>
    <w:rsid w:val="1F58358F"/>
    <w:rsid w:val="1F6F0CDC"/>
    <w:rsid w:val="1F721A21"/>
    <w:rsid w:val="1F784B5D"/>
    <w:rsid w:val="1F852AAF"/>
    <w:rsid w:val="1FBA579B"/>
    <w:rsid w:val="1FCF29CF"/>
    <w:rsid w:val="1FD96717"/>
    <w:rsid w:val="1FFD287D"/>
    <w:rsid w:val="2000702C"/>
    <w:rsid w:val="20270A5D"/>
    <w:rsid w:val="20317AB3"/>
    <w:rsid w:val="20362A4E"/>
    <w:rsid w:val="20457135"/>
    <w:rsid w:val="205832EF"/>
    <w:rsid w:val="206A094A"/>
    <w:rsid w:val="2091237A"/>
    <w:rsid w:val="20A563AA"/>
    <w:rsid w:val="20BF0710"/>
    <w:rsid w:val="20CC33B3"/>
    <w:rsid w:val="20CE2C87"/>
    <w:rsid w:val="20D66D3A"/>
    <w:rsid w:val="20DD55C0"/>
    <w:rsid w:val="21256543"/>
    <w:rsid w:val="21286B8A"/>
    <w:rsid w:val="212D49A1"/>
    <w:rsid w:val="2149055F"/>
    <w:rsid w:val="214C004F"/>
    <w:rsid w:val="215C0EAE"/>
    <w:rsid w:val="21670C2F"/>
    <w:rsid w:val="2178128D"/>
    <w:rsid w:val="21815F4B"/>
    <w:rsid w:val="21823A71"/>
    <w:rsid w:val="219E6AFD"/>
    <w:rsid w:val="21C108CE"/>
    <w:rsid w:val="21CB18BC"/>
    <w:rsid w:val="21CB5418"/>
    <w:rsid w:val="21F36C22"/>
    <w:rsid w:val="221B552F"/>
    <w:rsid w:val="221B63A0"/>
    <w:rsid w:val="222114DC"/>
    <w:rsid w:val="2221328A"/>
    <w:rsid w:val="224C4B12"/>
    <w:rsid w:val="224D3AFB"/>
    <w:rsid w:val="226626FD"/>
    <w:rsid w:val="227B299A"/>
    <w:rsid w:val="228D0920"/>
    <w:rsid w:val="22921111"/>
    <w:rsid w:val="22934188"/>
    <w:rsid w:val="22A46395"/>
    <w:rsid w:val="22B32A8D"/>
    <w:rsid w:val="22B8599C"/>
    <w:rsid w:val="22C6199A"/>
    <w:rsid w:val="22C92FCC"/>
    <w:rsid w:val="22CC31F6"/>
    <w:rsid w:val="22CD7F3B"/>
    <w:rsid w:val="22D30A28"/>
    <w:rsid w:val="22DB48C8"/>
    <w:rsid w:val="22DF73CD"/>
    <w:rsid w:val="22F340D5"/>
    <w:rsid w:val="22F97D63"/>
    <w:rsid w:val="23201794"/>
    <w:rsid w:val="234C277D"/>
    <w:rsid w:val="23712C4B"/>
    <w:rsid w:val="237B69CA"/>
    <w:rsid w:val="238E2BA1"/>
    <w:rsid w:val="2393640A"/>
    <w:rsid w:val="23A71402"/>
    <w:rsid w:val="23AE66CF"/>
    <w:rsid w:val="23C10881"/>
    <w:rsid w:val="23DC7061"/>
    <w:rsid w:val="23F32A04"/>
    <w:rsid w:val="23F52C20"/>
    <w:rsid w:val="23FA0237"/>
    <w:rsid w:val="24084702"/>
    <w:rsid w:val="240D7F6A"/>
    <w:rsid w:val="2426102C"/>
    <w:rsid w:val="24305BD0"/>
    <w:rsid w:val="24437E8D"/>
    <w:rsid w:val="246456B0"/>
    <w:rsid w:val="2466617A"/>
    <w:rsid w:val="247022A7"/>
    <w:rsid w:val="249B102A"/>
    <w:rsid w:val="249C309C"/>
    <w:rsid w:val="24A95308"/>
    <w:rsid w:val="24AF2DCF"/>
    <w:rsid w:val="24B672B1"/>
    <w:rsid w:val="24D22F21"/>
    <w:rsid w:val="24E862E1"/>
    <w:rsid w:val="24F15196"/>
    <w:rsid w:val="24F86524"/>
    <w:rsid w:val="250E4D5D"/>
    <w:rsid w:val="252139E6"/>
    <w:rsid w:val="25292B82"/>
    <w:rsid w:val="252A7D7C"/>
    <w:rsid w:val="253C1F85"/>
    <w:rsid w:val="254479BB"/>
    <w:rsid w:val="2556149D"/>
    <w:rsid w:val="25764776"/>
    <w:rsid w:val="257A620F"/>
    <w:rsid w:val="25A8619C"/>
    <w:rsid w:val="25D564AB"/>
    <w:rsid w:val="25E20F82"/>
    <w:rsid w:val="25E47AF0"/>
    <w:rsid w:val="25E71733"/>
    <w:rsid w:val="25F34F3E"/>
    <w:rsid w:val="26040EF9"/>
    <w:rsid w:val="2604714B"/>
    <w:rsid w:val="262449BF"/>
    <w:rsid w:val="262D176D"/>
    <w:rsid w:val="262F5BC1"/>
    <w:rsid w:val="2634595C"/>
    <w:rsid w:val="26346C43"/>
    <w:rsid w:val="263F16B0"/>
    <w:rsid w:val="26606A77"/>
    <w:rsid w:val="2669103C"/>
    <w:rsid w:val="26763BCF"/>
    <w:rsid w:val="268409FF"/>
    <w:rsid w:val="269009DE"/>
    <w:rsid w:val="269D673C"/>
    <w:rsid w:val="269E30FB"/>
    <w:rsid w:val="269F0C21"/>
    <w:rsid w:val="26B836F3"/>
    <w:rsid w:val="26BE5AD4"/>
    <w:rsid w:val="26CB02AF"/>
    <w:rsid w:val="26CC7C68"/>
    <w:rsid w:val="26DD5EB5"/>
    <w:rsid w:val="26E36D60"/>
    <w:rsid w:val="26E44C79"/>
    <w:rsid w:val="26F31699"/>
    <w:rsid w:val="27007912"/>
    <w:rsid w:val="270A69E3"/>
    <w:rsid w:val="27117B86"/>
    <w:rsid w:val="27165388"/>
    <w:rsid w:val="271F3D3B"/>
    <w:rsid w:val="272445CF"/>
    <w:rsid w:val="272730F1"/>
    <w:rsid w:val="27291DCA"/>
    <w:rsid w:val="27430C56"/>
    <w:rsid w:val="27617631"/>
    <w:rsid w:val="276F1A45"/>
    <w:rsid w:val="279562D2"/>
    <w:rsid w:val="27B8643F"/>
    <w:rsid w:val="27C44B96"/>
    <w:rsid w:val="27D56FF1"/>
    <w:rsid w:val="27DD5EA5"/>
    <w:rsid w:val="27EF5E2F"/>
    <w:rsid w:val="28076C4C"/>
    <w:rsid w:val="2828082C"/>
    <w:rsid w:val="284C442A"/>
    <w:rsid w:val="28727A72"/>
    <w:rsid w:val="28901037"/>
    <w:rsid w:val="289651BD"/>
    <w:rsid w:val="28AA5A71"/>
    <w:rsid w:val="28B409B4"/>
    <w:rsid w:val="28B577B6"/>
    <w:rsid w:val="28D81409"/>
    <w:rsid w:val="28E051EA"/>
    <w:rsid w:val="28F107FE"/>
    <w:rsid w:val="28F72F97"/>
    <w:rsid w:val="2907142C"/>
    <w:rsid w:val="29296022"/>
    <w:rsid w:val="294C5FAE"/>
    <w:rsid w:val="295959FF"/>
    <w:rsid w:val="297F5EFD"/>
    <w:rsid w:val="29802F8C"/>
    <w:rsid w:val="29A50C45"/>
    <w:rsid w:val="29AC1FD3"/>
    <w:rsid w:val="29BD1AEA"/>
    <w:rsid w:val="29CA4B8D"/>
    <w:rsid w:val="29EC0622"/>
    <w:rsid w:val="2A043BBD"/>
    <w:rsid w:val="2A047719"/>
    <w:rsid w:val="2A0E0598"/>
    <w:rsid w:val="2A151926"/>
    <w:rsid w:val="2A44045E"/>
    <w:rsid w:val="2A486993"/>
    <w:rsid w:val="2A513ACE"/>
    <w:rsid w:val="2A5341FD"/>
    <w:rsid w:val="2A5F4D16"/>
    <w:rsid w:val="2A9071FF"/>
    <w:rsid w:val="2A9133E6"/>
    <w:rsid w:val="2AAA2063"/>
    <w:rsid w:val="2AAB5086"/>
    <w:rsid w:val="2ABC4498"/>
    <w:rsid w:val="2AC80521"/>
    <w:rsid w:val="2AC8468D"/>
    <w:rsid w:val="2AD215C5"/>
    <w:rsid w:val="2AD35EA9"/>
    <w:rsid w:val="2AD43590"/>
    <w:rsid w:val="2AEE7399"/>
    <w:rsid w:val="2AF21C68"/>
    <w:rsid w:val="2B00796F"/>
    <w:rsid w:val="2B031B1F"/>
    <w:rsid w:val="2B03342D"/>
    <w:rsid w:val="2B4324C3"/>
    <w:rsid w:val="2B585F6F"/>
    <w:rsid w:val="2B591CE7"/>
    <w:rsid w:val="2B771B53"/>
    <w:rsid w:val="2B772B27"/>
    <w:rsid w:val="2B8723B0"/>
    <w:rsid w:val="2B8C5BD2"/>
    <w:rsid w:val="2B9F5CDF"/>
    <w:rsid w:val="2BB331A5"/>
    <w:rsid w:val="2BB72C49"/>
    <w:rsid w:val="2BC2163A"/>
    <w:rsid w:val="2BCB6C93"/>
    <w:rsid w:val="2BCF3D57"/>
    <w:rsid w:val="2BE041B6"/>
    <w:rsid w:val="2BEE68D3"/>
    <w:rsid w:val="2BFA5278"/>
    <w:rsid w:val="2C043A01"/>
    <w:rsid w:val="2C22032B"/>
    <w:rsid w:val="2C2B5431"/>
    <w:rsid w:val="2C2E4F21"/>
    <w:rsid w:val="2C5B55EB"/>
    <w:rsid w:val="2C672FBC"/>
    <w:rsid w:val="2C773DF0"/>
    <w:rsid w:val="2C7C3EDF"/>
    <w:rsid w:val="2C86549C"/>
    <w:rsid w:val="2CA647B0"/>
    <w:rsid w:val="2CAD6FBD"/>
    <w:rsid w:val="2CB20151"/>
    <w:rsid w:val="2CB90C8F"/>
    <w:rsid w:val="2CC338BC"/>
    <w:rsid w:val="2CEA52EC"/>
    <w:rsid w:val="2CFB12A7"/>
    <w:rsid w:val="2D0D0FDB"/>
    <w:rsid w:val="2D12214D"/>
    <w:rsid w:val="2D2D342B"/>
    <w:rsid w:val="2D3C71CA"/>
    <w:rsid w:val="2D4453D3"/>
    <w:rsid w:val="2D4C1B03"/>
    <w:rsid w:val="2D68635B"/>
    <w:rsid w:val="2D6C5D01"/>
    <w:rsid w:val="2D765006"/>
    <w:rsid w:val="2D7E3C87"/>
    <w:rsid w:val="2D855015"/>
    <w:rsid w:val="2D9E60D7"/>
    <w:rsid w:val="2DA3549B"/>
    <w:rsid w:val="2DFD4010"/>
    <w:rsid w:val="2E0F48DF"/>
    <w:rsid w:val="2E1B5A55"/>
    <w:rsid w:val="2E2465DC"/>
    <w:rsid w:val="2E2C3D21"/>
    <w:rsid w:val="2E2D4A25"/>
    <w:rsid w:val="2E355A57"/>
    <w:rsid w:val="2E3F3416"/>
    <w:rsid w:val="2E5F1A8F"/>
    <w:rsid w:val="2E5F2F97"/>
    <w:rsid w:val="2E6C3ADF"/>
    <w:rsid w:val="2E7A61FC"/>
    <w:rsid w:val="2E7C01C6"/>
    <w:rsid w:val="2E7F7CB6"/>
    <w:rsid w:val="2E8535A2"/>
    <w:rsid w:val="2E890E4A"/>
    <w:rsid w:val="2E9C43C4"/>
    <w:rsid w:val="2EAA7A1E"/>
    <w:rsid w:val="2ED246EE"/>
    <w:rsid w:val="2ED51684"/>
    <w:rsid w:val="2EDA313F"/>
    <w:rsid w:val="2EF51D26"/>
    <w:rsid w:val="2EFA558F"/>
    <w:rsid w:val="2EFC4E63"/>
    <w:rsid w:val="2F300FB0"/>
    <w:rsid w:val="2F336EC0"/>
    <w:rsid w:val="2F3C7955"/>
    <w:rsid w:val="2F500F22"/>
    <w:rsid w:val="2F536B75"/>
    <w:rsid w:val="2F634EE2"/>
    <w:rsid w:val="2F6A6270"/>
    <w:rsid w:val="2F8B61E7"/>
    <w:rsid w:val="2FA15A0A"/>
    <w:rsid w:val="2FA93C74"/>
    <w:rsid w:val="2FAA7FCD"/>
    <w:rsid w:val="2FD268A1"/>
    <w:rsid w:val="2FDE4077"/>
    <w:rsid w:val="2FE04785"/>
    <w:rsid w:val="2FE75B13"/>
    <w:rsid w:val="2FED0C50"/>
    <w:rsid w:val="2FF76305"/>
    <w:rsid w:val="2FF81ACE"/>
    <w:rsid w:val="30032221"/>
    <w:rsid w:val="300466C5"/>
    <w:rsid w:val="300E150D"/>
    <w:rsid w:val="300E30A0"/>
    <w:rsid w:val="30110DE2"/>
    <w:rsid w:val="30123FFF"/>
    <w:rsid w:val="30180806"/>
    <w:rsid w:val="3034062C"/>
    <w:rsid w:val="305D7845"/>
    <w:rsid w:val="306F163B"/>
    <w:rsid w:val="30777DC4"/>
    <w:rsid w:val="30847806"/>
    <w:rsid w:val="30901D07"/>
    <w:rsid w:val="30E107B4"/>
    <w:rsid w:val="31175F84"/>
    <w:rsid w:val="3126266B"/>
    <w:rsid w:val="312B2284"/>
    <w:rsid w:val="31556AAC"/>
    <w:rsid w:val="315A2315"/>
    <w:rsid w:val="31774904"/>
    <w:rsid w:val="31790FDA"/>
    <w:rsid w:val="31807FCD"/>
    <w:rsid w:val="31815AF3"/>
    <w:rsid w:val="318248D0"/>
    <w:rsid w:val="31983647"/>
    <w:rsid w:val="319B7B5D"/>
    <w:rsid w:val="319D3AE7"/>
    <w:rsid w:val="31AF440F"/>
    <w:rsid w:val="31B400AF"/>
    <w:rsid w:val="31B8508B"/>
    <w:rsid w:val="31BA4166"/>
    <w:rsid w:val="31CD0D39"/>
    <w:rsid w:val="31D67BED"/>
    <w:rsid w:val="31D810C6"/>
    <w:rsid w:val="31E130B4"/>
    <w:rsid w:val="31E83DC4"/>
    <w:rsid w:val="31F55998"/>
    <w:rsid w:val="31FE0EF2"/>
    <w:rsid w:val="321B36E9"/>
    <w:rsid w:val="3229511D"/>
    <w:rsid w:val="322975DE"/>
    <w:rsid w:val="323D2338"/>
    <w:rsid w:val="32425283"/>
    <w:rsid w:val="326351F9"/>
    <w:rsid w:val="32666042"/>
    <w:rsid w:val="326E42CA"/>
    <w:rsid w:val="32725B2C"/>
    <w:rsid w:val="32773D06"/>
    <w:rsid w:val="327922EF"/>
    <w:rsid w:val="327D275F"/>
    <w:rsid w:val="32821B23"/>
    <w:rsid w:val="329B4D38"/>
    <w:rsid w:val="329F4D04"/>
    <w:rsid w:val="32A7158A"/>
    <w:rsid w:val="32B10AC5"/>
    <w:rsid w:val="32B5388A"/>
    <w:rsid w:val="32CB01D6"/>
    <w:rsid w:val="32D14858"/>
    <w:rsid w:val="32E14A9C"/>
    <w:rsid w:val="32E225C2"/>
    <w:rsid w:val="330C5891"/>
    <w:rsid w:val="33311883"/>
    <w:rsid w:val="333472C1"/>
    <w:rsid w:val="334119DE"/>
    <w:rsid w:val="33574D5E"/>
    <w:rsid w:val="33712D71"/>
    <w:rsid w:val="33801D40"/>
    <w:rsid w:val="338F3C47"/>
    <w:rsid w:val="33A063C1"/>
    <w:rsid w:val="33A71511"/>
    <w:rsid w:val="33F829BD"/>
    <w:rsid w:val="340D7B12"/>
    <w:rsid w:val="341F6F52"/>
    <w:rsid w:val="3421711A"/>
    <w:rsid w:val="342A0F68"/>
    <w:rsid w:val="343161F0"/>
    <w:rsid w:val="34325348"/>
    <w:rsid w:val="34444815"/>
    <w:rsid w:val="34473024"/>
    <w:rsid w:val="34480949"/>
    <w:rsid w:val="344A041F"/>
    <w:rsid w:val="345C0152"/>
    <w:rsid w:val="34884182"/>
    <w:rsid w:val="34930017"/>
    <w:rsid w:val="349B3370"/>
    <w:rsid w:val="34D348B8"/>
    <w:rsid w:val="34D91EBE"/>
    <w:rsid w:val="34E24A8D"/>
    <w:rsid w:val="3502033E"/>
    <w:rsid w:val="35026026"/>
    <w:rsid w:val="3502780C"/>
    <w:rsid w:val="350667E1"/>
    <w:rsid w:val="35241A74"/>
    <w:rsid w:val="352B0250"/>
    <w:rsid w:val="35335357"/>
    <w:rsid w:val="353C06AF"/>
    <w:rsid w:val="355F7EFA"/>
    <w:rsid w:val="35603F38"/>
    <w:rsid w:val="35753BC1"/>
    <w:rsid w:val="35777939"/>
    <w:rsid w:val="35935DF5"/>
    <w:rsid w:val="35971C6B"/>
    <w:rsid w:val="35A85D44"/>
    <w:rsid w:val="35B04BF9"/>
    <w:rsid w:val="35B20971"/>
    <w:rsid w:val="35E1035F"/>
    <w:rsid w:val="35F7332A"/>
    <w:rsid w:val="35F965A0"/>
    <w:rsid w:val="360B0081"/>
    <w:rsid w:val="361E7DB5"/>
    <w:rsid w:val="362A1B67"/>
    <w:rsid w:val="364C4922"/>
    <w:rsid w:val="36590DED"/>
    <w:rsid w:val="367C4ADB"/>
    <w:rsid w:val="36AD7806"/>
    <w:rsid w:val="36B6623F"/>
    <w:rsid w:val="36C175C6"/>
    <w:rsid w:val="36EA0D42"/>
    <w:rsid w:val="370E7E29"/>
    <w:rsid w:val="3710594F"/>
    <w:rsid w:val="371600E9"/>
    <w:rsid w:val="372B50A7"/>
    <w:rsid w:val="373158C6"/>
    <w:rsid w:val="37357164"/>
    <w:rsid w:val="3736112E"/>
    <w:rsid w:val="37513B77"/>
    <w:rsid w:val="37533A8E"/>
    <w:rsid w:val="375A2988"/>
    <w:rsid w:val="375D1D0F"/>
    <w:rsid w:val="379C0A32"/>
    <w:rsid w:val="37A10C9D"/>
    <w:rsid w:val="37AD7642"/>
    <w:rsid w:val="37CD674B"/>
    <w:rsid w:val="37DE5A4E"/>
    <w:rsid w:val="37F039D3"/>
    <w:rsid w:val="380B55F3"/>
    <w:rsid w:val="38251764"/>
    <w:rsid w:val="382A45EF"/>
    <w:rsid w:val="3864178A"/>
    <w:rsid w:val="38685317"/>
    <w:rsid w:val="388F4F9A"/>
    <w:rsid w:val="38991974"/>
    <w:rsid w:val="38A65E3F"/>
    <w:rsid w:val="38BE22E2"/>
    <w:rsid w:val="38D15CEB"/>
    <w:rsid w:val="38DD5D05"/>
    <w:rsid w:val="39130EE6"/>
    <w:rsid w:val="3914724D"/>
    <w:rsid w:val="391B682D"/>
    <w:rsid w:val="39251DC5"/>
    <w:rsid w:val="393755D6"/>
    <w:rsid w:val="39424D13"/>
    <w:rsid w:val="395B4E7C"/>
    <w:rsid w:val="397D1296"/>
    <w:rsid w:val="397F6DBC"/>
    <w:rsid w:val="399402E8"/>
    <w:rsid w:val="399565E0"/>
    <w:rsid w:val="39D4668B"/>
    <w:rsid w:val="39D52E79"/>
    <w:rsid w:val="39D5721F"/>
    <w:rsid w:val="3A266C45"/>
    <w:rsid w:val="3A3E6C77"/>
    <w:rsid w:val="3A485400"/>
    <w:rsid w:val="3A4A16C4"/>
    <w:rsid w:val="3A4A561C"/>
    <w:rsid w:val="3A563FC1"/>
    <w:rsid w:val="3A5913BB"/>
    <w:rsid w:val="3A5A5133"/>
    <w:rsid w:val="3A601248"/>
    <w:rsid w:val="3A762824"/>
    <w:rsid w:val="3A95616C"/>
    <w:rsid w:val="3AA54031"/>
    <w:rsid w:val="3ABB3E24"/>
    <w:rsid w:val="3AD90A06"/>
    <w:rsid w:val="3AF31810"/>
    <w:rsid w:val="3AF923D7"/>
    <w:rsid w:val="3AFD55BB"/>
    <w:rsid w:val="3B007A89"/>
    <w:rsid w:val="3B023801"/>
    <w:rsid w:val="3B084C2D"/>
    <w:rsid w:val="3B20012B"/>
    <w:rsid w:val="3B2D2566"/>
    <w:rsid w:val="3B443F7E"/>
    <w:rsid w:val="3B4F1D9F"/>
    <w:rsid w:val="3B6224F2"/>
    <w:rsid w:val="3B6348DA"/>
    <w:rsid w:val="3B8406BA"/>
    <w:rsid w:val="3B8C1490"/>
    <w:rsid w:val="3BB32D4D"/>
    <w:rsid w:val="3BBA7C64"/>
    <w:rsid w:val="3BC13445"/>
    <w:rsid w:val="3BD54349"/>
    <w:rsid w:val="3BD72EE0"/>
    <w:rsid w:val="3BDC6748"/>
    <w:rsid w:val="3C023A99"/>
    <w:rsid w:val="3C0E2679"/>
    <w:rsid w:val="3C3F2833"/>
    <w:rsid w:val="3C4D13F4"/>
    <w:rsid w:val="3C5F1072"/>
    <w:rsid w:val="3C7076A7"/>
    <w:rsid w:val="3C942B7F"/>
    <w:rsid w:val="3CD26389"/>
    <w:rsid w:val="3CD76F0F"/>
    <w:rsid w:val="3CE533DA"/>
    <w:rsid w:val="3D000214"/>
    <w:rsid w:val="3D112421"/>
    <w:rsid w:val="3D485717"/>
    <w:rsid w:val="3D582E2A"/>
    <w:rsid w:val="3D624A2B"/>
    <w:rsid w:val="3D7117EB"/>
    <w:rsid w:val="3D9F17DB"/>
    <w:rsid w:val="3DA37BAD"/>
    <w:rsid w:val="3DBE2765"/>
    <w:rsid w:val="3DED69EA"/>
    <w:rsid w:val="3DEE2870"/>
    <w:rsid w:val="3DF00DF6"/>
    <w:rsid w:val="3DF33087"/>
    <w:rsid w:val="3E032ABD"/>
    <w:rsid w:val="3E0E070F"/>
    <w:rsid w:val="3E1A6821"/>
    <w:rsid w:val="3E2B7513"/>
    <w:rsid w:val="3E2D5039"/>
    <w:rsid w:val="3E393C7A"/>
    <w:rsid w:val="3E3D2DA2"/>
    <w:rsid w:val="3E3E6CD1"/>
    <w:rsid w:val="3E5F0F6A"/>
    <w:rsid w:val="3E642A25"/>
    <w:rsid w:val="3E6A0E6E"/>
    <w:rsid w:val="3E6F38A3"/>
    <w:rsid w:val="3E7341AD"/>
    <w:rsid w:val="3E854E75"/>
    <w:rsid w:val="3EA10BF2"/>
    <w:rsid w:val="3ECD4126"/>
    <w:rsid w:val="3ED701A7"/>
    <w:rsid w:val="3EEB275F"/>
    <w:rsid w:val="3EFC2A5E"/>
    <w:rsid w:val="3F0062A9"/>
    <w:rsid w:val="3F110BCB"/>
    <w:rsid w:val="3F125FDD"/>
    <w:rsid w:val="3F1D32FF"/>
    <w:rsid w:val="3F312A4E"/>
    <w:rsid w:val="3F3C78B5"/>
    <w:rsid w:val="3F484CFB"/>
    <w:rsid w:val="3F4E170B"/>
    <w:rsid w:val="3F52465F"/>
    <w:rsid w:val="3F542E8D"/>
    <w:rsid w:val="3F582DB4"/>
    <w:rsid w:val="3F5C79A7"/>
    <w:rsid w:val="3F67457A"/>
    <w:rsid w:val="3F676329"/>
    <w:rsid w:val="3F7D5B4C"/>
    <w:rsid w:val="3F7D78FA"/>
    <w:rsid w:val="3F7E275E"/>
    <w:rsid w:val="3FC574F3"/>
    <w:rsid w:val="3FCA4B09"/>
    <w:rsid w:val="3FCB10BF"/>
    <w:rsid w:val="3FD37851"/>
    <w:rsid w:val="3FFE510E"/>
    <w:rsid w:val="4010515C"/>
    <w:rsid w:val="401907F3"/>
    <w:rsid w:val="401E25EE"/>
    <w:rsid w:val="40272501"/>
    <w:rsid w:val="40416B7A"/>
    <w:rsid w:val="40490124"/>
    <w:rsid w:val="404C70FC"/>
    <w:rsid w:val="40503261"/>
    <w:rsid w:val="40752AFC"/>
    <w:rsid w:val="40755B94"/>
    <w:rsid w:val="40756BD0"/>
    <w:rsid w:val="408D1DBF"/>
    <w:rsid w:val="4093153B"/>
    <w:rsid w:val="40970E8F"/>
    <w:rsid w:val="40BE4471"/>
    <w:rsid w:val="410B7187"/>
    <w:rsid w:val="41156AC3"/>
    <w:rsid w:val="41432F6C"/>
    <w:rsid w:val="414A5F02"/>
    <w:rsid w:val="41931657"/>
    <w:rsid w:val="4197500C"/>
    <w:rsid w:val="41CF4659"/>
    <w:rsid w:val="41D061CE"/>
    <w:rsid w:val="41DD3D70"/>
    <w:rsid w:val="41EF4A6B"/>
    <w:rsid w:val="41FD11C6"/>
    <w:rsid w:val="420460B1"/>
    <w:rsid w:val="42100EF9"/>
    <w:rsid w:val="421B4715"/>
    <w:rsid w:val="42201E72"/>
    <w:rsid w:val="42332E3A"/>
    <w:rsid w:val="424566C9"/>
    <w:rsid w:val="425C4AE5"/>
    <w:rsid w:val="42925DB2"/>
    <w:rsid w:val="42985594"/>
    <w:rsid w:val="42A15FF5"/>
    <w:rsid w:val="42C46549"/>
    <w:rsid w:val="42C817D4"/>
    <w:rsid w:val="42DF08CC"/>
    <w:rsid w:val="42F02AD9"/>
    <w:rsid w:val="42F02E93"/>
    <w:rsid w:val="42FA5706"/>
    <w:rsid w:val="43322CF2"/>
    <w:rsid w:val="436C6603"/>
    <w:rsid w:val="437F22A3"/>
    <w:rsid w:val="438020AF"/>
    <w:rsid w:val="438C22CB"/>
    <w:rsid w:val="43B4601F"/>
    <w:rsid w:val="43C755E8"/>
    <w:rsid w:val="43CA332A"/>
    <w:rsid w:val="43D23F8D"/>
    <w:rsid w:val="43E42222"/>
    <w:rsid w:val="43E97E7C"/>
    <w:rsid w:val="44242A3A"/>
    <w:rsid w:val="443133A9"/>
    <w:rsid w:val="44404655"/>
    <w:rsid w:val="44406DAA"/>
    <w:rsid w:val="445D368E"/>
    <w:rsid w:val="446C4D53"/>
    <w:rsid w:val="4473751E"/>
    <w:rsid w:val="4481284D"/>
    <w:rsid w:val="44B95B3A"/>
    <w:rsid w:val="44DB21F3"/>
    <w:rsid w:val="44F1580E"/>
    <w:rsid w:val="44F468B0"/>
    <w:rsid w:val="450E26B8"/>
    <w:rsid w:val="450F36EA"/>
    <w:rsid w:val="45123BD8"/>
    <w:rsid w:val="45207905"/>
    <w:rsid w:val="452D47A4"/>
    <w:rsid w:val="453E5BDD"/>
    <w:rsid w:val="453F2418"/>
    <w:rsid w:val="456B28EB"/>
    <w:rsid w:val="457F49CD"/>
    <w:rsid w:val="4581664C"/>
    <w:rsid w:val="45837C34"/>
    <w:rsid w:val="458B5D94"/>
    <w:rsid w:val="458C7E36"/>
    <w:rsid w:val="459D4C65"/>
    <w:rsid w:val="45C344D5"/>
    <w:rsid w:val="45D651A0"/>
    <w:rsid w:val="45E32481"/>
    <w:rsid w:val="45F4107A"/>
    <w:rsid w:val="46004DE1"/>
    <w:rsid w:val="460C0745"/>
    <w:rsid w:val="460D0F18"/>
    <w:rsid w:val="462D0E5D"/>
    <w:rsid w:val="462F0DEF"/>
    <w:rsid w:val="466808A0"/>
    <w:rsid w:val="467852BF"/>
    <w:rsid w:val="46893028"/>
    <w:rsid w:val="468E6891"/>
    <w:rsid w:val="469F0A9E"/>
    <w:rsid w:val="46A56BA1"/>
    <w:rsid w:val="46E666CD"/>
    <w:rsid w:val="46FD57C4"/>
    <w:rsid w:val="47002980"/>
    <w:rsid w:val="470B69A7"/>
    <w:rsid w:val="471072A6"/>
    <w:rsid w:val="47262F6D"/>
    <w:rsid w:val="4743767B"/>
    <w:rsid w:val="476D1B91"/>
    <w:rsid w:val="478F28C0"/>
    <w:rsid w:val="47941C85"/>
    <w:rsid w:val="47961EA1"/>
    <w:rsid w:val="47A83982"/>
    <w:rsid w:val="47B40579"/>
    <w:rsid w:val="47CB380C"/>
    <w:rsid w:val="47DB3D58"/>
    <w:rsid w:val="47FD6C65"/>
    <w:rsid w:val="48020765"/>
    <w:rsid w:val="481903DC"/>
    <w:rsid w:val="48233009"/>
    <w:rsid w:val="482613AE"/>
    <w:rsid w:val="482D3655"/>
    <w:rsid w:val="487C33A3"/>
    <w:rsid w:val="487D096B"/>
    <w:rsid w:val="48914416"/>
    <w:rsid w:val="48D03190"/>
    <w:rsid w:val="48D52AE9"/>
    <w:rsid w:val="48E36096"/>
    <w:rsid w:val="490177EE"/>
    <w:rsid w:val="490337A2"/>
    <w:rsid w:val="490B41C9"/>
    <w:rsid w:val="49170DBF"/>
    <w:rsid w:val="491A440C"/>
    <w:rsid w:val="493642ED"/>
    <w:rsid w:val="49463453"/>
    <w:rsid w:val="494E2307"/>
    <w:rsid w:val="49564E45"/>
    <w:rsid w:val="4970308C"/>
    <w:rsid w:val="49746212"/>
    <w:rsid w:val="49940662"/>
    <w:rsid w:val="49BE123B"/>
    <w:rsid w:val="49C5556E"/>
    <w:rsid w:val="49F654D9"/>
    <w:rsid w:val="4A080708"/>
    <w:rsid w:val="4A1B1292"/>
    <w:rsid w:val="4A2B43F6"/>
    <w:rsid w:val="4A413C1A"/>
    <w:rsid w:val="4A4200BE"/>
    <w:rsid w:val="4A4E5B36"/>
    <w:rsid w:val="4A5A33C8"/>
    <w:rsid w:val="4A7144FF"/>
    <w:rsid w:val="4A873469"/>
    <w:rsid w:val="4A881849"/>
    <w:rsid w:val="4A8913ED"/>
    <w:rsid w:val="4AAA5C63"/>
    <w:rsid w:val="4AB417BD"/>
    <w:rsid w:val="4ACF06BE"/>
    <w:rsid w:val="4ADD4937"/>
    <w:rsid w:val="4AEB582E"/>
    <w:rsid w:val="4AEC627C"/>
    <w:rsid w:val="4AFC64BF"/>
    <w:rsid w:val="4B045373"/>
    <w:rsid w:val="4B1D43D5"/>
    <w:rsid w:val="4B1E616B"/>
    <w:rsid w:val="4B241572"/>
    <w:rsid w:val="4B2E5AD2"/>
    <w:rsid w:val="4B3774F7"/>
    <w:rsid w:val="4B38501D"/>
    <w:rsid w:val="4B3C2D5F"/>
    <w:rsid w:val="4B3E2818"/>
    <w:rsid w:val="4B5D7EA8"/>
    <w:rsid w:val="4B6E7F15"/>
    <w:rsid w:val="4B7A193D"/>
    <w:rsid w:val="4B7C23F1"/>
    <w:rsid w:val="4B7F0E9E"/>
    <w:rsid w:val="4B976928"/>
    <w:rsid w:val="4BA10E14"/>
    <w:rsid w:val="4BAF2DEC"/>
    <w:rsid w:val="4BB050FB"/>
    <w:rsid w:val="4BB70638"/>
    <w:rsid w:val="4BBE0F3C"/>
    <w:rsid w:val="4BF278C5"/>
    <w:rsid w:val="4C1D4C9C"/>
    <w:rsid w:val="4C213D03"/>
    <w:rsid w:val="4C2E4820"/>
    <w:rsid w:val="4C2E5100"/>
    <w:rsid w:val="4C371778"/>
    <w:rsid w:val="4C37194B"/>
    <w:rsid w:val="4C60482B"/>
    <w:rsid w:val="4C6B4F7E"/>
    <w:rsid w:val="4C72455F"/>
    <w:rsid w:val="4C7D362F"/>
    <w:rsid w:val="4C7F267A"/>
    <w:rsid w:val="4C894D6F"/>
    <w:rsid w:val="4C8C608C"/>
    <w:rsid w:val="4C8F3363"/>
    <w:rsid w:val="4C96179F"/>
    <w:rsid w:val="4C9B3AB5"/>
    <w:rsid w:val="4C9E7102"/>
    <w:rsid w:val="4CBE5242"/>
    <w:rsid w:val="4CC74B51"/>
    <w:rsid w:val="4CD34FFD"/>
    <w:rsid w:val="4CE924D7"/>
    <w:rsid w:val="4CF803E4"/>
    <w:rsid w:val="4D0D5601"/>
    <w:rsid w:val="4D0F5E59"/>
    <w:rsid w:val="4D153B69"/>
    <w:rsid w:val="4D227A97"/>
    <w:rsid w:val="4D2515D1"/>
    <w:rsid w:val="4D3C6078"/>
    <w:rsid w:val="4D423F31"/>
    <w:rsid w:val="4D554CDE"/>
    <w:rsid w:val="4D60180E"/>
    <w:rsid w:val="4D6F79FF"/>
    <w:rsid w:val="4D812CAB"/>
    <w:rsid w:val="4D9D0319"/>
    <w:rsid w:val="4DA129EE"/>
    <w:rsid w:val="4DD0587C"/>
    <w:rsid w:val="4DE65204"/>
    <w:rsid w:val="4DF80E20"/>
    <w:rsid w:val="4DFB5952"/>
    <w:rsid w:val="4E0256F8"/>
    <w:rsid w:val="4E035DB6"/>
    <w:rsid w:val="4E044182"/>
    <w:rsid w:val="4E164E84"/>
    <w:rsid w:val="4E6332C9"/>
    <w:rsid w:val="4E6846F8"/>
    <w:rsid w:val="4EA215B1"/>
    <w:rsid w:val="4EAA6232"/>
    <w:rsid w:val="4ED7303C"/>
    <w:rsid w:val="4EE11CA2"/>
    <w:rsid w:val="4EEC2B7B"/>
    <w:rsid w:val="4F126A45"/>
    <w:rsid w:val="4F165675"/>
    <w:rsid w:val="4F171D3F"/>
    <w:rsid w:val="4F22402A"/>
    <w:rsid w:val="4F420CFE"/>
    <w:rsid w:val="4F5902F9"/>
    <w:rsid w:val="4F5A36AE"/>
    <w:rsid w:val="4F754A92"/>
    <w:rsid w:val="4F9111A0"/>
    <w:rsid w:val="4F9C2DEA"/>
    <w:rsid w:val="4FB31116"/>
    <w:rsid w:val="4FC450D1"/>
    <w:rsid w:val="4FDD43E5"/>
    <w:rsid w:val="4FE961BD"/>
    <w:rsid w:val="4FF20B5F"/>
    <w:rsid w:val="50081462"/>
    <w:rsid w:val="50396D0A"/>
    <w:rsid w:val="503E30D6"/>
    <w:rsid w:val="50575F45"/>
    <w:rsid w:val="50724B2D"/>
    <w:rsid w:val="507765E7"/>
    <w:rsid w:val="507A08A8"/>
    <w:rsid w:val="50872924"/>
    <w:rsid w:val="508D557C"/>
    <w:rsid w:val="508D5E0B"/>
    <w:rsid w:val="50A15412"/>
    <w:rsid w:val="50AC6291"/>
    <w:rsid w:val="50B213CE"/>
    <w:rsid w:val="50C07DA5"/>
    <w:rsid w:val="50C730CB"/>
    <w:rsid w:val="50E40C47"/>
    <w:rsid w:val="51022355"/>
    <w:rsid w:val="512C5E58"/>
    <w:rsid w:val="51361FFF"/>
    <w:rsid w:val="514F30C0"/>
    <w:rsid w:val="5153495F"/>
    <w:rsid w:val="5159179E"/>
    <w:rsid w:val="51630116"/>
    <w:rsid w:val="5167040A"/>
    <w:rsid w:val="517B5C63"/>
    <w:rsid w:val="5184221D"/>
    <w:rsid w:val="51B178D7"/>
    <w:rsid w:val="51B23E9C"/>
    <w:rsid w:val="51BB0BE8"/>
    <w:rsid w:val="51BD44CE"/>
    <w:rsid w:val="51C4585C"/>
    <w:rsid w:val="51CA27E1"/>
    <w:rsid w:val="51D13AD5"/>
    <w:rsid w:val="51DC2BA6"/>
    <w:rsid w:val="51E77C7B"/>
    <w:rsid w:val="520378E4"/>
    <w:rsid w:val="52151C14"/>
    <w:rsid w:val="521C0134"/>
    <w:rsid w:val="52257A67"/>
    <w:rsid w:val="52285DEB"/>
    <w:rsid w:val="523C1897"/>
    <w:rsid w:val="52446A42"/>
    <w:rsid w:val="524F6CA8"/>
    <w:rsid w:val="5253273C"/>
    <w:rsid w:val="52635035"/>
    <w:rsid w:val="526B217C"/>
    <w:rsid w:val="526F57C8"/>
    <w:rsid w:val="52707792"/>
    <w:rsid w:val="527C7EE5"/>
    <w:rsid w:val="52844092"/>
    <w:rsid w:val="52880638"/>
    <w:rsid w:val="52A0149C"/>
    <w:rsid w:val="52C10884"/>
    <w:rsid w:val="52C2246A"/>
    <w:rsid w:val="52C8137C"/>
    <w:rsid w:val="52D049DF"/>
    <w:rsid w:val="52D15A59"/>
    <w:rsid w:val="52E31D12"/>
    <w:rsid w:val="530A3608"/>
    <w:rsid w:val="531047F5"/>
    <w:rsid w:val="531A3230"/>
    <w:rsid w:val="531A58A3"/>
    <w:rsid w:val="5334431C"/>
    <w:rsid w:val="53373E0C"/>
    <w:rsid w:val="536200A8"/>
    <w:rsid w:val="536C1D08"/>
    <w:rsid w:val="537F5EDF"/>
    <w:rsid w:val="538A2BC1"/>
    <w:rsid w:val="5399227B"/>
    <w:rsid w:val="539F032F"/>
    <w:rsid w:val="53BD36C9"/>
    <w:rsid w:val="53CB7B14"/>
    <w:rsid w:val="53CE29C2"/>
    <w:rsid w:val="53D8114B"/>
    <w:rsid w:val="53D9073D"/>
    <w:rsid w:val="53E421E6"/>
    <w:rsid w:val="53F9144F"/>
    <w:rsid w:val="53FF492A"/>
    <w:rsid w:val="540957A8"/>
    <w:rsid w:val="54113C3E"/>
    <w:rsid w:val="541505F1"/>
    <w:rsid w:val="54183C3E"/>
    <w:rsid w:val="541B530F"/>
    <w:rsid w:val="541B5F0D"/>
    <w:rsid w:val="541E0262"/>
    <w:rsid w:val="54232D0E"/>
    <w:rsid w:val="542B3971"/>
    <w:rsid w:val="54352A41"/>
    <w:rsid w:val="543C166A"/>
    <w:rsid w:val="543D5452"/>
    <w:rsid w:val="543F741C"/>
    <w:rsid w:val="54452097"/>
    <w:rsid w:val="54703817"/>
    <w:rsid w:val="54762769"/>
    <w:rsid w:val="5486504B"/>
    <w:rsid w:val="548A6FDA"/>
    <w:rsid w:val="54A56C35"/>
    <w:rsid w:val="54BB2F47"/>
    <w:rsid w:val="54C8174B"/>
    <w:rsid w:val="54E61B86"/>
    <w:rsid w:val="54F14BBA"/>
    <w:rsid w:val="55050666"/>
    <w:rsid w:val="550D3076"/>
    <w:rsid w:val="552D346E"/>
    <w:rsid w:val="552F11B7"/>
    <w:rsid w:val="553B7BE4"/>
    <w:rsid w:val="554051FA"/>
    <w:rsid w:val="5553717F"/>
    <w:rsid w:val="5567079D"/>
    <w:rsid w:val="556B6251"/>
    <w:rsid w:val="55741FDF"/>
    <w:rsid w:val="5583536A"/>
    <w:rsid w:val="55915A56"/>
    <w:rsid w:val="559F5298"/>
    <w:rsid w:val="55A01340"/>
    <w:rsid w:val="55D3606E"/>
    <w:rsid w:val="56083D5B"/>
    <w:rsid w:val="56275A01"/>
    <w:rsid w:val="562E599A"/>
    <w:rsid w:val="56336B0D"/>
    <w:rsid w:val="56356D29"/>
    <w:rsid w:val="56582A17"/>
    <w:rsid w:val="565F7902"/>
    <w:rsid w:val="56927CD7"/>
    <w:rsid w:val="569864A3"/>
    <w:rsid w:val="56B27079"/>
    <w:rsid w:val="56CB571F"/>
    <w:rsid w:val="56E60023"/>
    <w:rsid w:val="56F52014"/>
    <w:rsid w:val="57452268"/>
    <w:rsid w:val="57560D05"/>
    <w:rsid w:val="5762434B"/>
    <w:rsid w:val="576355D3"/>
    <w:rsid w:val="57640FA0"/>
    <w:rsid w:val="57664CC0"/>
    <w:rsid w:val="57904E7E"/>
    <w:rsid w:val="57921934"/>
    <w:rsid w:val="57A66520"/>
    <w:rsid w:val="57BD0D84"/>
    <w:rsid w:val="57BE68AA"/>
    <w:rsid w:val="57DB1773"/>
    <w:rsid w:val="57E75E01"/>
    <w:rsid w:val="582D7720"/>
    <w:rsid w:val="58327B23"/>
    <w:rsid w:val="58675193"/>
    <w:rsid w:val="587F6039"/>
    <w:rsid w:val="58A65CBC"/>
    <w:rsid w:val="58C24114"/>
    <w:rsid w:val="58C24893"/>
    <w:rsid w:val="58D11042"/>
    <w:rsid w:val="58FC69CC"/>
    <w:rsid w:val="591470C9"/>
    <w:rsid w:val="59170968"/>
    <w:rsid w:val="59376914"/>
    <w:rsid w:val="593C100D"/>
    <w:rsid w:val="593F3A1A"/>
    <w:rsid w:val="594B0611"/>
    <w:rsid w:val="5952374E"/>
    <w:rsid w:val="595E20F3"/>
    <w:rsid w:val="596A5BF1"/>
    <w:rsid w:val="597F3864"/>
    <w:rsid w:val="59A10231"/>
    <w:rsid w:val="59B30690"/>
    <w:rsid w:val="59B61F2F"/>
    <w:rsid w:val="59B9557B"/>
    <w:rsid w:val="59DA5CBA"/>
    <w:rsid w:val="59EC484D"/>
    <w:rsid w:val="5A074538"/>
    <w:rsid w:val="5A1B5605"/>
    <w:rsid w:val="5A395FB1"/>
    <w:rsid w:val="5A3C33AE"/>
    <w:rsid w:val="5A511C57"/>
    <w:rsid w:val="5A53777D"/>
    <w:rsid w:val="5A5F25C6"/>
    <w:rsid w:val="5A7476F4"/>
    <w:rsid w:val="5A9F6E67"/>
    <w:rsid w:val="5AA719E3"/>
    <w:rsid w:val="5AA955EF"/>
    <w:rsid w:val="5AB10EDB"/>
    <w:rsid w:val="5ADA7E9F"/>
    <w:rsid w:val="5B060C94"/>
    <w:rsid w:val="5B0B44FC"/>
    <w:rsid w:val="5B2347E5"/>
    <w:rsid w:val="5B3E042E"/>
    <w:rsid w:val="5B5F72E5"/>
    <w:rsid w:val="5B871DD5"/>
    <w:rsid w:val="5B922527"/>
    <w:rsid w:val="5BA457BF"/>
    <w:rsid w:val="5BBC0880"/>
    <w:rsid w:val="5BD70E12"/>
    <w:rsid w:val="5BD82630"/>
    <w:rsid w:val="5BEF34D6"/>
    <w:rsid w:val="5BEF4C00"/>
    <w:rsid w:val="5C1A3007"/>
    <w:rsid w:val="5C204225"/>
    <w:rsid w:val="5C2855D3"/>
    <w:rsid w:val="5C34538D"/>
    <w:rsid w:val="5C3655A9"/>
    <w:rsid w:val="5C3929A3"/>
    <w:rsid w:val="5C6304E0"/>
    <w:rsid w:val="5C8B5B86"/>
    <w:rsid w:val="5C910A31"/>
    <w:rsid w:val="5CA73351"/>
    <w:rsid w:val="5CBF48D8"/>
    <w:rsid w:val="5CBF614D"/>
    <w:rsid w:val="5CC26737"/>
    <w:rsid w:val="5CDF179C"/>
    <w:rsid w:val="5CED3EB9"/>
    <w:rsid w:val="5D1A7C60"/>
    <w:rsid w:val="5D221689"/>
    <w:rsid w:val="5D295176"/>
    <w:rsid w:val="5D3606BB"/>
    <w:rsid w:val="5D4F6451"/>
    <w:rsid w:val="5D600B2F"/>
    <w:rsid w:val="5D6F0D72"/>
    <w:rsid w:val="5D787D8E"/>
    <w:rsid w:val="5D7F0DE6"/>
    <w:rsid w:val="5D8D11F8"/>
    <w:rsid w:val="5D8D5264"/>
    <w:rsid w:val="5D9205BD"/>
    <w:rsid w:val="5D961C2D"/>
    <w:rsid w:val="5DCC0787"/>
    <w:rsid w:val="5DEF5A0F"/>
    <w:rsid w:val="5DF26102"/>
    <w:rsid w:val="5E03770C"/>
    <w:rsid w:val="5E61439A"/>
    <w:rsid w:val="5E6847CD"/>
    <w:rsid w:val="5E7303EE"/>
    <w:rsid w:val="5E7A5C21"/>
    <w:rsid w:val="5E9228D4"/>
    <w:rsid w:val="5EAA7B88"/>
    <w:rsid w:val="5EB31E59"/>
    <w:rsid w:val="5EB839EA"/>
    <w:rsid w:val="5ED115B9"/>
    <w:rsid w:val="5F0279C4"/>
    <w:rsid w:val="5F1A4D0E"/>
    <w:rsid w:val="5F28567D"/>
    <w:rsid w:val="5F313E05"/>
    <w:rsid w:val="5F322057"/>
    <w:rsid w:val="5F367B26"/>
    <w:rsid w:val="5F4D6E91"/>
    <w:rsid w:val="5F5F6BC4"/>
    <w:rsid w:val="5F6661A5"/>
    <w:rsid w:val="5F7F1015"/>
    <w:rsid w:val="5FA64E91"/>
    <w:rsid w:val="5FB62BC7"/>
    <w:rsid w:val="5FBF1411"/>
    <w:rsid w:val="5FC66C44"/>
    <w:rsid w:val="5FC92290"/>
    <w:rsid w:val="5FCB7B2A"/>
    <w:rsid w:val="5FD17AC2"/>
    <w:rsid w:val="5FDA04EC"/>
    <w:rsid w:val="5FF217E7"/>
    <w:rsid w:val="600808F0"/>
    <w:rsid w:val="602C46E8"/>
    <w:rsid w:val="60367925"/>
    <w:rsid w:val="603E2C7E"/>
    <w:rsid w:val="60402552"/>
    <w:rsid w:val="604324C2"/>
    <w:rsid w:val="60681B1C"/>
    <w:rsid w:val="60730B79"/>
    <w:rsid w:val="607406B8"/>
    <w:rsid w:val="60874625"/>
    <w:rsid w:val="60934D78"/>
    <w:rsid w:val="60AC10A4"/>
    <w:rsid w:val="60AE3960"/>
    <w:rsid w:val="60B62814"/>
    <w:rsid w:val="60C457EE"/>
    <w:rsid w:val="60D45F50"/>
    <w:rsid w:val="60FB3360"/>
    <w:rsid w:val="610F160F"/>
    <w:rsid w:val="612861BC"/>
    <w:rsid w:val="612B2820"/>
    <w:rsid w:val="612D7B77"/>
    <w:rsid w:val="61326FFC"/>
    <w:rsid w:val="614A3380"/>
    <w:rsid w:val="61646FA9"/>
    <w:rsid w:val="61671FBA"/>
    <w:rsid w:val="616C52DB"/>
    <w:rsid w:val="616C7377"/>
    <w:rsid w:val="61753621"/>
    <w:rsid w:val="617565F6"/>
    <w:rsid w:val="618943CD"/>
    <w:rsid w:val="619E1C26"/>
    <w:rsid w:val="61AE5BE1"/>
    <w:rsid w:val="61B82265"/>
    <w:rsid w:val="61BD3385"/>
    <w:rsid w:val="61C158B1"/>
    <w:rsid w:val="61C6404A"/>
    <w:rsid w:val="61CB6793"/>
    <w:rsid w:val="61E23389"/>
    <w:rsid w:val="61EF2482"/>
    <w:rsid w:val="61EF54AA"/>
    <w:rsid w:val="61FE4473"/>
    <w:rsid w:val="620677CB"/>
    <w:rsid w:val="62195750"/>
    <w:rsid w:val="621D6D4D"/>
    <w:rsid w:val="622639C9"/>
    <w:rsid w:val="62353789"/>
    <w:rsid w:val="62516C98"/>
    <w:rsid w:val="62562501"/>
    <w:rsid w:val="62602AAB"/>
    <w:rsid w:val="62642590"/>
    <w:rsid w:val="628E2720"/>
    <w:rsid w:val="62CE02E9"/>
    <w:rsid w:val="62D058DC"/>
    <w:rsid w:val="62DB2A06"/>
    <w:rsid w:val="62E211F5"/>
    <w:rsid w:val="62E32B18"/>
    <w:rsid w:val="62EC317A"/>
    <w:rsid w:val="62ED4B6E"/>
    <w:rsid w:val="63133F4E"/>
    <w:rsid w:val="631D301E"/>
    <w:rsid w:val="631F28F3"/>
    <w:rsid w:val="63324681"/>
    <w:rsid w:val="63352116"/>
    <w:rsid w:val="633B5253"/>
    <w:rsid w:val="634603C6"/>
    <w:rsid w:val="63650337"/>
    <w:rsid w:val="6367429A"/>
    <w:rsid w:val="636C71C1"/>
    <w:rsid w:val="636D46E3"/>
    <w:rsid w:val="638C4074"/>
    <w:rsid w:val="63A728E8"/>
    <w:rsid w:val="63D27965"/>
    <w:rsid w:val="64002A47"/>
    <w:rsid w:val="640502D6"/>
    <w:rsid w:val="64066FDC"/>
    <w:rsid w:val="640779B7"/>
    <w:rsid w:val="640B731B"/>
    <w:rsid w:val="642F3009"/>
    <w:rsid w:val="6430238F"/>
    <w:rsid w:val="64446389"/>
    <w:rsid w:val="644840CB"/>
    <w:rsid w:val="64813139"/>
    <w:rsid w:val="649015CE"/>
    <w:rsid w:val="64A5151D"/>
    <w:rsid w:val="64C5571C"/>
    <w:rsid w:val="650325A3"/>
    <w:rsid w:val="65066F2E"/>
    <w:rsid w:val="653C401F"/>
    <w:rsid w:val="656B2FE5"/>
    <w:rsid w:val="65796B36"/>
    <w:rsid w:val="65817895"/>
    <w:rsid w:val="659A6BA8"/>
    <w:rsid w:val="659C2113"/>
    <w:rsid w:val="65A215B9"/>
    <w:rsid w:val="65A90EBC"/>
    <w:rsid w:val="65C81A4F"/>
    <w:rsid w:val="65D8322D"/>
    <w:rsid w:val="65DF45BB"/>
    <w:rsid w:val="65EA3499"/>
    <w:rsid w:val="661A3845"/>
    <w:rsid w:val="661E1587"/>
    <w:rsid w:val="662621EA"/>
    <w:rsid w:val="66575D7D"/>
    <w:rsid w:val="665A00E6"/>
    <w:rsid w:val="669F0930"/>
    <w:rsid w:val="66AB50FE"/>
    <w:rsid w:val="66AE2ECB"/>
    <w:rsid w:val="66AF0810"/>
    <w:rsid w:val="66D4631E"/>
    <w:rsid w:val="66D47E98"/>
    <w:rsid w:val="66E80652"/>
    <w:rsid w:val="66EA2B70"/>
    <w:rsid w:val="66F13DA0"/>
    <w:rsid w:val="66F916AD"/>
    <w:rsid w:val="67193AFD"/>
    <w:rsid w:val="6732696D"/>
    <w:rsid w:val="674F751F"/>
    <w:rsid w:val="675759A0"/>
    <w:rsid w:val="67633AB0"/>
    <w:rsid w:val="67760F4F"/>
    <w:rsid w:val="678C2521"/>
    <w:rsid w:val="679933E7"/>
    <w:rsid w:val="67AB0BF9"/>
    <w:rsid w:val="67B61761"/>
    <w:rsid w:val="67BD6639"/>
    <w:rsid w:val="67F7371C"/>
    <w:rsid w:val="680D3662"/>
    <w:rsid w:val="6841155D"/>
    <w:rsid w:val="684E58A2"/>
    <w:rsid w:val="685E5CDD"/>
    <w:rsid w:val="6870599E"/>
    <w:rsid w:val="68706417"/>
    <w:rsid w:val="68784853"/>
    <w:rsid w:val="689005C2"/>
    <w:rsid w:val="68A11FFC"/>
    <w:rsid w:val="68AC6398"/>
    <w:rsid w:val="68B01E03"/>
    <w:rsid w:val="68B61D88"/>
    <w:rsid w:val="68B65AF9"/>
    <w:rsid w:val="68D25BD8"/>
    <w:rsid w:val="68D4417F"/>
    <w:rsid w:val="68EF55BF"/>
    <w:rsid w:val="68F23CD8"/>
    <w:rsid w:val="68FC0779"/>
    <w:rsid w:val="68FD6917"/>
    <w:rsid w:val="690D143F"/>
    <w:rsid w:val="69246AA9"/>
    <w:rsid w:val="69261E17"/>
    <w:rsid w:val="693764BC"/>
    <w:rsid w:val="694D5CE0"/>
    <w:rsid w:val="6954706E"/>
    <w:rsid w:val="69643755"/>
    <w:rsid w:val="696E0130"/>
    <w:rsid w:val="6974326C"/>
    <w:rsid w:val="69825989"/>
    <w:rsid w:val="698E560F"/>
    <w:rsid w:val="69922853"/>
    <w:rsid w:val="69A71894"/>
    <w:rsid w:val="69B30239"/>
    <w:rsid w:val="69D0066A"/>
    <w:rsid w:val="69DC05B3"/>
    <w:rsid w:val="69E55F18"/>
    <w:rsid w:val="6A0E546F"/>
    <w:rsid w:val="6A244992"/>
    <w:rsid w:val="6A261FD4"/>
    <w:rsid w:val="6A3D1BFD"/>
    <w:rsid w:val="6A4E0041"/>
    <w:rsid w:val="6A5070DE"/>
    <w:rsid w:val="6A6B0B13"/>
    <w:rsid w:val="6AA656A7"/>
    <w:rsid w:val="6AAB3FEE"/>
    <w:rsid w:val="6AB97AD1"/>
    <w:rsid w:val="6ADC77CB"/>
    <w:rsid w:val="6AE83F12"/>
    <w:rsid w:val="6AF162E4"/>
    <w:rsid w:val="6AFC176B"/>
    <w:rsid w:val="6B2313EE"/>
    <w:rsid w:val="6B2B1A37"/>
    <w:rsid w:val="6B695F28"/>
    <w:rsid w:val="6B6F2EBA"/>
    <w:rsid w:val="6B700A62"/>
    <w:rsid w:val="6B715CB5"/>
    <w:rsid w:val="6B87197D"/>
    <w:rsid w:val="6B9300C4"/>
    <w:rsid w:val="6BA30330"/>
    <w:rsid w:val="6BA92EEC"/>
    <w:rsid w:val="6BAB4210"/>
    <w:rsid w:val="6BB40298"/>
    <w:rsid w:val="6BBF1117"/>
    <w:rsid w:val="6BCB1861"/>
    <w:rsid w:val="6BD46244"/>
    <w:rsid w:val="6BE76250"/>
    <w:rsid w:val="6C0C3C30"/>
    <w:rsid w:val="6C1A00FB"/>
    <w:rsid w:val="6C1B4142"/>
    <w:rsid w:val="6C1E0459"/>
    <w:rsid w:val="6C224BFB"/>
    <w:rsid w:val="6C335661"/>
    <w:rsid w:val="6C3C1A66"/>
    <w:rsid w:val="6C4A6222"/>
    <w:rsid w:val="6C4C227F"/>
    <w:rsid w:val="6C5B1825"/>
    <w:rsid w:val="6C7517D5"/>
    <w:rsid w:val="6C7C7008"/>
    <w:rsid w:val="6C862D61"/>
    <w:rsid w:val="6C8D4FD3"/>
    <w:rsid w:val="6C987344"/>
    <w:rsid w:val="6C9C4FB4"/>
    <w:rsid w:val="6CA67BE1"/>
    <w:rsid w:val="6CB30550"/>
    <w:rsid w:val="6CC25503"/>
    <w:rsid w:val="6CCD33BF"/>
    <w:rsid w:val="6CF22E26"/>
    <w:rsid w:val="6CFA617E"/>
    <w:rsid w:val="6D166331"/>
    <w:rsid w:val="6D1A60D0"/>
    <w:rsid w:val="6D221B3E"/>
    <w:rsid w:val="6D3A657B"/>
    <w:rsid w:val="6D3A78E6"/>
    <w:rsid w:val="6D3E250F"/>
    <w:rsid w:val="6D505D9E"/>
    <w:rsid w:val="6D6D4BA2"/>
    <w:rsid w:val="6D7777CF"/>
    <w:rsid w:val="6D841609"/>
    <w:rsid w:val="6D9D5488"/>
    <w:rsid w:val="6DA02882"/>
    <w:rsid w:val="6DB30807"/>
    <w:rsid w:val="6DC36570"/>
    <w:rsid w:val="6DC70686"/>
    <w:rsid w:val="6DD30EA9"/>
    <w:rsid w:val="6DE54739"/>
    <w:rsid w:val="6DE85BCB"/>
    <w:rsid w:val="6DFA6436"/>
    <w:rsid w:val="6DFB21AE"/>
    <w:rsid w:val="6DFD1A82"/>
    <w:rsid w:val="6E027C29"/>
    <w:rsid w:val="6E0E3C8F"/>
    <w:rsid w:val="6E1A123E"/>
    <w:rsid w:val="6E2E74DD"/>
    <w:rsid w:val="6E497A61"/>
    <w:rsid w:val="6E4A0A40"/>
    <w:rsid w:val="6E4E22DE"/>
    <w:rsid w:val="6E567D69"/>
    <w:rsid w:val="6E6876E0"/>
    <w:rsid w:val="6E6B2E90"/>
    <w:rsid w:val="6E71421E"/>
    <w:rsid w:val="6E731D44"/>
    <w:rsid w:val="6E843F52"/>
    <w:rsid w:val="6E937F29"/>
    <w:rsid w:val="6EC16F54"/>
    <w:rsid w:val="6EC407F2"/>
    <w:rsid w:val="6EF03395"/>
    <w:rsid w:val="6F003164"/>
    <w:rsid w:val="6F046E40"/>
    <w:rsid w:val="6F0A2187"/>
    <w:rsid w:val="6F0D4FF3"/>
    <w:rsid w:val="6F165703"/>
    <w:rsid w:val="6F173018"/>
    <w:rsid w:val="6F255735"/>
    <w:rsid w:val="6F2815E6"/>
    <w:rsid w:val="6F4E709D"/>
    <w:rsid w:val="6F525B32"/>
    <w:rsid w:val="6F632D80"/>
    <w:rsid w:val="6F63625D"/>
    <w:rsid w:val="6F683873"/>
    <w:rsid w:val="6F694252"/>
    <w:rsid w:val="6F7F4719"/>
    <w:rsid w:val="6F8929B2"/>
    <w:rsid w:val="6FA04DBB"/>
    <w:rsid w:val="6FA74779"/>
    <w:rsid w:val="6FC41797"/>
    <w:rsid w:val="6FCA12D5"/>
    <w:rsid w:val="6FF45107"/>
    <w:rsid w:val="6FF957E3"/>
    <w:rsid w:val="6FFA10C7"/>
    <w:rsid w:val="6FFB6495"/>
    <w:rsid w:val="70117A67"/>
    <w:rsid w:val="702308F0"/>
    <w:rsid w:val="704C075F"/>
    <w:rsid w:val="706933FF"/>
    <w:rsid w:val="706C685F"/>
    <w:rsid w:val="706D73FE"/>
    <w:rsid w:val="70765B1C"/>
    <w:rsid w:val="708E1B55"/>
    <w:rsid w:val="70C73094"/>
    <w:rsid w:val="70D016D0"/>
    <w:rsid w:val="71031AA6"/>
    <w:rsid w:val="711B176D"/>
    <w:rsid w:val="711F0144"/>
    <w:rsid w:val="713F0604"/>
    <w:rsid w:val="71557E27"/>
    <w:rsid w:val="71566079"/>
    <w:rsid w:val="717D3CD5"/>
    <w:rsid w:val="71890D14"/>
    <w:rsid w:val="71926986"/>
    <w:rsid w:val="71931673"/>
    <w:rsid w:val="71931C0B"/>
    <w:rsid w:val="719E532A"/>
    <w:rsid w:val="71A6519E"/>
    <w:rsid w:val="71C17073"/>
    <w:rsid w:val="71C70D7B"/>
    <w:rsid w:val="71D902E5"/>
    <w:rsid w:val="72013BF9"/>
    <w:rsid w:val="720A0BFF"/>
    <w:rsid w:val="72264D1E"/>
    <w:rsid w:val="72336CE6"/>
    <w:rsid w:val="723B701D"/>
    <w:rsid w:val="724F0D1A"/>
    <w:rsid w:val="72585F86"/>
    <w:rsid w:val="726A345E"/>
    <w:rsid w:val="727A7B45"/>
    <w:rsid w:val="728C01CB"/>
    <w:rsid w:val="72A526E9"/>
    <w:rsid w:val="72A52CC7"/>
    <w:rsid w:val="72AB7BB5"/>
    <w:rsid w:val="72BA082F"/>
    <w:rsid w:val="72BF415D"/>
    <w:rsid w:val="72E06587"/>
    <w:rsid w:val="72F77CB0"/>
    <w:rsid w:val="72FB430F"/>
    <w:rsid w:val="73281C56"/>
    <w:rsid w:val="7350457E"/>
    <w:rsid w:val="735859AD"/>
    <w:rsid w:val="73612AB3"/>
    <w:rsid w:val="73624258"/>
    <w:rsid w:val="73695125"/>
    <w:rsid w:val="736D1458"/>
    <w:rsid w:val="73791D2E"/>
    <w:rsid w:val="7384715C"/>
    <w:rsid w:val="73867F6D"/>
    <w:rsid w:val="73B01345"/>
    <w:rsid w:val="73BE3C54"/>
    <w:rsid w:val="73C60A25"/>
    <w:rsid w:val="73E212B8"/>
    <w:rsid w:val="73E41BF3"/>
    <w:rsid w:val="73FB6A64"/>
    <w:rsid w:val="740F62AB"/>
    <w:rsid w:val="74171171"/>
    <w:rsid w:val="74192A57"/>
    <w:rsid w:val="74406B6D"/>
    <w:rsid w:val="744120B0"/>
    <w:rsid w:val="74515D0F"/>
    <w:rsid w:val="745919DD"/>
    <w:rsid w:val="74732A9E"/>
    <w:rsid w:val="748E5B2A"/>
    <w:rsid w:val="74983962"/>
    <w:rsid w:val="74A50BEC"/>
    <w:rsid w:val="74AA1CA9"/>
    <w:rsid w:val="74B65081"/>
    <w:rsid w:val="74D575BA"/>
    <w:rsid w:val="74D774D1"/>
    <w:rsid w:val="74E8308A"/>
    <w:rsid w:val="74ED4817"/>
    <w:rsid w:val="74EE676D"/>
    <w:rsid w:val="750F7709"/>
    <w:rsid w:val="75377F70"/>
    <w:rsid w:val="7544443B"/>
    <w:rsid w:val="75472470"/>
    <w:rsid w:val="754D1541"/>
    <w:rsid w:val="755723C0"/>
    <w:rsid w:val="7578482D"/>
    <w:rsid w:val="758F1B5A"/>
    <w:rsid w:val="759622C6"/>
    <w:rsid w:val="75A44ED9"/>
    <w:rsid w:val="75BC2223"/>
    <w:rsid w:val="75D524F2"/>
    <w:rsid w:val="75E66D42"/>
    <w:rsid w:val="75E672A0"/>
    <w:rsid w:val="75F25C45"/>
    <w:rsid w:val="760B4D28"/>
    <w:rsid w:val="760F67F7"/>
    <w:rsid w:val="76642C4E"/>
    <w:rsid w:val="766C59F7"/>
    <w:rsid w:val="7675235D"/>
    <w:rsid w:val="76760624"/>
    <w:rsid w:val="767A40FC"/>
    <w:rsid w:val="769B54C8"/>
    <w:rsid w:val="76B15B00"/>
    <w:rsid w:val="76D313AC"/>
    <w:rsid w:val="76D773C6"/>
    <w:rsid w:val="76DA66C0"/>
    <w:rsid w:val="76DF26F2"/>
    <w:rsid w:val="76F105F2"/>
    <w:rsid w:val="76FD6F97"/>
    <w:rsid w:val="772937FE"/>
    <w:rsid w:val="776F54FE"/>
    <w:rsid w:val="777F5BFE"/>
    <w:rsid w:val="77A61C99"/>
    <w:rsid w:val="77B070F5"/>
    <w:rsid w:val="77B37656"/>
    <w:rsid w:val="77B51620"/>
    <w:rsid w:val="77C23F98"/>
    <w:rsid w:val="77D404BF"/>
    <w:rsid w:val="77FF289B"/>
    <w:rsid w:val="784976AB"/>
    <w:rsid w:val="78585CB2"/>
    <w:rsid w:val="786170B2"/>
    <w:rsid w:val="78670B6C"/>
    <w:rsid w:val="7883380E"/>
    <w:rsid w:val="78886D34"/>
    <w:rsid w:val="789711D5"/>
    <w:rsid w:val="78B22DD4"/>
    <w:rsid w:val="78C92798"/>
    <w:rsid w:val="78CC3620"/>
    <w:rsid w:val="78D45AD6"/>
    <w:rsid w:val="78EF5252"/>
    <w:rsid w:val="78F9378E"/>
    <w:rsid w:val="79053EE1"/>
    <w:rsid w:val="790A7749"/>
    <w:rsid w:val="79152036"/>
    <w:rsid w:val="791B3704"/>
    <w:rsid w:val="793A6280"/>
    <w:rsid w:val="79542F67"/>
    <w:rsid w:val="795F1843"/>
    <w:rsid w:val="796F0971"/>
    <w:rsid w:val="799040F2"/>
    <w:rsid w:val="79975481"/>
    <w:rsid w:val="799A528E"/>
    <w:rsid w:val="79AC7312"/>
    <w:rsid w:val="79BD2A0E"/>
    <w:rsid w:val="79CA35C3"/>
    <w:rsid w:val="79CC239E"/>
    <w:rsid w:val="79F67C69"/>
    <w:rsid w:val="7A0B5527"/>
    <w:rsid w:val="7A305A3A"/>
    <w:rsid w:val="7A3507F6"/>
    <w:rsid w:val="7A3B22B0"/>
    <w:rsid w:val="7A3C1B84"/>
    <w:rsid w:val="7A405098"/>
    <w:rsid w:val="7A5F5873"/>
    <w:rsid w:val="7A813A3B"/>
    <w:rsid w:val="7A9279F6"/>
    <w:rsid w:val="7A990D85"/>
    <w:rsid w:val="7AA5597C"/>
    <w:rsid w:val="7AAC7F07"/>
    <w:rsid w:val="7AC83418"/>
    <w:rsid w:val="7ACB4CB6"/>
    <w:rsid w:val="7AD61877"/>
    <w:rsid w:val="7AE30252"/>
    <w:rsid w:val="7B187EFC"/>
    <w:rsid w:val="7B191EC6"/>
    <w:rsid w:val="7B2C2BB5"/>
    <w:rsid w:val="7B4A207F"/>
    <w:rsid w:val="7B5B0730"/>
    <w:rsid w:val="7B7B66DC"/>
    <w:rsid w:val="7B876E2F"/>
    <w:rsid w:val="7B8A691F"/>
    <w:rsid w:val="7B95779E"/>
    <w:rsid w:val="7BB816DF"/>
    <w:rsid w:val="7BD06A28"/>
    <w:rsid w:val="7BDC34AC"/>
    <w:rsid w:val="7BFA03E0"/>
    <w:rsid w:val="7C014E34"/>
    <w:rsid w:val="7C280612"/>
    <w:rsid w:val="7C350F81"/>
    <w:rsid w:val="7C4F37CE"/>
    <w:rsid w:val="7C58336E"/>
    <w:rsid w:val="7C7A6994"/>
    <w:rsid w:val="7C8415C1"/>
    <w:rsid w:val="7C914C70"/>
    <w:rsid w:val="7CAB1B33"/>
    <w:rsid w:val="7CAD0B17"/>
    <w:rsid w:val="7CCF0A8E"/>
    <w:rsid w:val="7CE959A6"/>
    <w:rsid w:val="7CF1204D"/>
    <w:rsid w:val="7CF67CAA"/>
    <w:rsid w:val="7D01709E"/>
    <w:rsid w:val="7D0446E9"/>
    <w:rsid w:val="7D11248E"/>
    <w:rsid w:val="7D1B1F25"/>
    <w:rsid w:val="7D4944D0"/>
    <w:rsid w:val="7D6027A4"/>
    <w:rsid w:val="7D6D017E"/>
    <w:rsid w:val="7D781125"/>
    <w:rsid w:val="7D7F0706"/>
    <w:rsid w:val="7D8400C5"/>
    <w:rsid w:val="7D8C5DEA"/>
    <w:rsid w:val="7D8E7AB2"/>
    <w:rsid w:val="7DB163E5"/>
    <w:rsid w:val="7DDA3B8E"/>
    <w:rsid w:val="7DF86D46"/>
    <w:rsid w:val="7DFB1059"/>
    <w:rsid w:val="7DFC3B04"/>
    <w:rsid w:val="7DFC4599"/>
    <w:rsid w:val="7E933D3D"/>
    <w:rsid w:val="7EA83C8C"/>
    <w:rsid w:val="7EC565EC"/>
    <w:rsid w:val="7ED350D7"/>
    <w:rsid w:val="7EDF5174"/>
    <w:rsid w:val="7EE36A72"/>
    <w:rsid w:val="7EEA1BAF"/>
    <w:rsid w:val="7F1E59D2"/>
    <w:rsid w:val="7F29299F"/>
    <w:rsid w:val="7F345B7D"/>
    <w:rsid w:val="7F4D213E"/>
    <w:rsid w:val="7F594F87"/>
    <w:rsid w:val="7F62204B"/>
    <w:rsid w:val="7F647934"/>
    <w:rsid w:val="7F6C1FFF"/>
    <w:rsid w:val="7F767AB1"/>
    <w:rsid w:val="7F7A329A"/>
    <w:rsid w:val="7FA75CF2"/>
    <w:rsid w:val="7FAE0A49"/>
    <w:rsid w:val="7FB1091F"/>
    <w:rsid w:val="7FB27487"/>
    <w:rsid w:val="7FC566AD"/>
    <w:rsid w:val="7FCD0635"/>
    <w:rsid w:val="7FD12D6F"/>
    <w:rsid w:val="7FD60E21"/>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90" w:line="578" w:lineRule="auto"/>
      <w:outlineLvl w:val="0"/>
    </w:pPr>
    <w:rPr>
      <w:rFonts w:eastAsia="华文细黑"/>
      <w:b/>
      <w:bCs/>
      <w:kern w:val="44"/>
      <w:sz w:val="30"/>
      <w:szCs w:val="44"/>
    </w:rPr>
  </w:style>
  <w:style w:type="paragraph" w:styleId="4">
    <w:name w:val="heading 2"/>
    <w:basedOn w:val="1"/>
    <w:next w:val="5"/>
    <w:qFormat/>
    <w:uiPriority w:val="9"/>
    <w:pPr>
      <w:keepNext/>
      <w:keepLines/>
      <w:spacing w:before="260" w:after="260" w:line="416" w:lineRule="auto"/>
      <w:jc w:val="center"/>
      <w:outlineLvl w:val="1"/>
    </w:pPr>
    <w:rPr>
      <w:rFonts w:ascii="Arial" w:hAnsi="Arial" w:eastAsia="幼圆"/>
      <w:b/>
      <w:kern w:val="0"/>
      <w:sz w:val="44"/>
      <w:szCs w:val="20"/>
    </w:rPr>
  </w:style>
  <w:style w:type="paragraph" w:styleId="6">
    <w:name w:val="heading 3"/>
    <w:basedOn w:val="1"/>
    <w:next w:val="1"/>
    <w:link w:val="48"/>
    <w:qFormat/>
    <w:uiPriority w:val="0"/>
    <w:pPr>
      <w:keepNext/>
      <w:keepLines/>
      <w:spacing w:line="416" w:lineRule="auto"/>
      <w:outlineLvl w:val="2"/>
    </w:pPr>
    <w:rPr>
      <w:b/>
      <w:kern w:val="0"/>
      <w:sz w:val="32"/>
      <w:szCs w:val="20"/>
    </w:rPr>
  </w:style>
  <w:style w:type="paragraph" w:styleId="7">
    <w:name w:val="heading 7"/>
    <w:basedOn w:val="1"/>
    <w:next w:val="1"/>
    <w:qFormat/>
    <w:uiPriority w:val="9"/>
    <w:pPr>
      <w:keepNext/>
      <w:keepLines/>
      <w:spacing w:before="240" w:after="64" w:line="320" w:lineRule="auto"/>
      <w:outlineLvl w:val="6"/>
    </w:pPr>
    <w:rPr>
      <w:b/>
      <w:bCs/>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5">
    <w:name w:val="Normal Indent"/>
    <w:basedOn w:val="1"/>
    <w:qFormat/>
    <w:uiPriority w:val="99"/>
    <w:pPr>
      <w:ind w:firstLine="420"/>
    </w:pPr>
    <w:rPr>
      <w:kern w:val="0"/>
      <w:sz w:val="20"/>
      <w:szCs w:val="20"/>
    </w:rPr>
  </w:style>
  <w:style w:type="paragraph" w:styleId="8">
    <w:name w:val="annotation text"/>
    <w:basedOn w:val="1"/>
    <w:link w:val="51"/>
    <w:qFormat/>
    <w:uiPriority w:val="99"/>
    <w:pPr>
      <w:jc w:val="left"/>
    </w:pPr>
    <w:rPr>
      <w:kern w:val="0"/>
      <w:sz w:val="20"/>
    </w:rPr>
  </w:style>
  <w:style w:type="paragraph" w:styleId="9">
    <w:name w:val="Body Text"/>
    <w:basedOn w:val="1"/>
    <w:next w:val="10"/>
    <w:qFormat/>
    <w:uiPriority w:val="99"/>
    <w:rPr>
      <w:rFonts w:ascii="楷体_GB2312" w:hAnsi="Arial" w:eastAsia="楷体_GB2312"/>
      <w:kern w:val="0"/>
      <w:sz w:val="28"/>
      <w:szCs w:val="20"/>
    </w:rPr>
  </w:style>
  <w:style w:type="paragraph" w:customStyle="1" w:styleId="10">
    <w:name w:val="一级条标题"/>
    <w:basedOn w:val="11"/>
    <w:next w:val="12"/>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11">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2">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styleId="13">
    <w:name w:val="Body Text Indent"/>
    <w:basedOn w:val="1"/>
    <w:next w:val="14"/>
    <w:qFormat/>
    <w:uiPriority w:val="0"/>
    <w:pPr>
      <w:ind w:firstLine="645"/>
    </w:pPr>
    <w:rPr>
      <w:rFonts w:ascii="楷体_GB2312" w:eastAsia="楷体_GB2312"/>
      <w:kern w:val="0"/>
      <w:sz w:val="32"/>
      <w:szCs w:val="20"/>
    </w:rPr>
  </w:style>
  <w:style w:type="paragraph" w:styleId="14">
    <w:name w:val="envelope return"/>
    <w:basedOn w:val="1"/>
    <w:unhideWhenUsed/>
    <w:qFormat/>
    <w:uiPriority w:val="0"/>
    <w:pPr>
      <w:snapToGrid w:val="0"/>
    </w:pPr>
    <w:rPr>
      <w:rFonts w:ascii="Arial" w:hAnsi="Arial"/>
    </w:rPr>
  </w:style>
  <w:style w:type="paragraph" w:styleId="15">
    <w:name w:val="index 4"/>
    <w:basedOn w:val="1"/>
    <w:next w:val="1"/>
    <w:unhideWhenUsed/>
    <w:qFormat/>
    <w:uiPriority w:val="99"/>
    <w:pPr>
      <w:ind w:firstLine="420" w:firstLineChars="200"/>
      <w:jc w:val="left"/>
    </w:pPr>
    <w:rPr>
      <w:rFonts w:ascii="宋体" w:hAnsi="宋体"/>
      <w:color w:val="FF0000"/>
      <w:szCs w:val="21"/>
    </w:rPr>
  </w:style>
  <w:style w:type="paragraph" w:styleId="16">
    <w:name w:val="toc 3"/>
    <w:basedOn w:val="1"/>
    <w:next w:val="1"/>
    <w:unhideWhenUsed/>
    <w:qFormat/>
    <w:uiPriority w:val="39"/>
    <w:pPr>
      <w:ind w:left="840" w:leftChars="400"/>
    </w:pPr>
  </w:style>
  <w:style w:type="paragraph" w:styleId="17">
    <w:name w:val="Plain Text"/>
    <w:basedOn w:val="1"/>
    <w:link w:val="49"/>
    <w:qFormat/>
    <w:uiPriority w:val="0"/>
    <w:rPr>
      <w:rFonts w:ascii="宋体" w:hAnsi="Courier New"/>
      <w:kern w:val="0"/>
      <w:sz w:val="20"/>
      <w:szCs w:val="20"/>
    </w:rPr>
  </w:style>
  <w:style w:type="paragraph" w:styleId="18">
    <w:name w:val="Body Text Indent 2"/>
    <w:basedOn w:val="1"/>
    <w:qFormat/>
    <w:uiPriority w:val="0"/>
    <w:pPr>
      <w:widowControl/>
      <w:spacing w:before="100" w:beforeAutospacing="1" w:after="100" w:afterAutospacing="1"/>
      <w:jc w:val="left"/>
    </w:pPr>
    <w:rPr>
      <w:rFonts w:ascii="宋体" w:hAnsi="宋体"/>
      <w:kern w:val="0"/>
      <w:sz w:val="24"/>
    </w:rPr>
  </w:style>
  <w:style w:type="paragraph" w:styleId="19">
    <w:name w:val="Balloon Text"/>
    <w:basedOn w:val="1"/>
    <w:link w:val="39"/>
    <w:qFormat/>
    <w:uiPriority w:val="0"/>
    <w:rPr>
      <w:sz w:val="18"/>
      <w:szCs w:val="18"/>
    </w:rPr>
  </w:style>
  <w:style w:type="paragraph" w:styleId="20">
    <w:name w:val="footer"/>
    <w:basedOn w:val="1"/>
    <w:link w:val="40"/>
    <w:qFormat/>
    <w:uiPriority w:val="0"/>
    <w:pPr>
      <w:tabs>
        <w:tab w:val="center" w:pos="4153"/>
        <w:tab w:val="right" w:pos="8306"/>
      </w:tabs>
      <w:snapToGrid w:val="0"/>
      <w:jc w:val="left"/>
    </w:pPr>
    <w:rPr>
      <w:sz w:val="18"/>
      <w:szCs w:val="18"/>
    </w:rPr>
  </w:style>
  <w:style w:type="paragraph" w:styleId="21">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line="360" w:lineRule="auto"/>
    </w:pPr>
    <w:rPr>
      <w:rFonts w:asciiTheme="minorHAnsi" w:hAnsiTheme="minorHAnsi" w:cstheme="minorBidi"/>
      <w:sz w:val="24"/>
    </w:rPr>
  </w:style>
  <w:style w:type="paragraph" w:styleId="23">
    <w:name w:val="toc 2"/>
    <w:basedOn w:val="1"/>
    <w:next w:val="1"/>
    <w:qFormat/>
    <w:uiPriority w:val="39"/>
    <w:pPr>
      <w:spacing w:line="360" w:lineRule="auto"/>
      <w:ind w:left="420" w:leftChars="200"/>
    </w:pPr>
    <w:rPr>
      <w:rFonts w:asciiTheme="minorHAnsi" w:hAnsiTheme="minorHAnsi" w:cstheme="minorBidi"/>
      <w:sz w:val="24"/>
    </w:rPr>
  </w:style>
  <w:style w:type="paragraph" w:styleId="2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25">
    <w:name w:val="Normal (Web)"/>
    <w:basedOn w:val="1"/>
    <w:qFormat/>
    <w:uiPriority w:val="99"/>
    <w:pPr>
      <w:widowControl/>
      <w:spacing w:before="100" w:beforeAutospacing="1" w:after="100" w:afterAutospacing="1"/>
    </w:pPr>
    <w:rPr>
      <w:rFonts w:ascii="宋体" w:hAnsi="宋体"/>
      <w:kern w:val="0"/>
      <w:sz w:val="24"/>
      <w:szCs w:val="20"/>
    </w:rPr>
  </w:style>
  <w:style w:type="paragraph" w:styleId="26">
    <w:name w:val="Title"/>
    <w:basedOn w:val="1"/>
    <w:next w:val="1"/>
    <w:link w:val="50"/>
    <w:qFormat/>
    <w:uiPriority w:val="0"/>
    <w:pPr>
      <w:spacing w:before="240" w:after="60"/>
      <w:jc w:val="center"/>
      <w:outlineLvl w:val="0"/>
    </w:pPr>
    <w:rPr>
      <w:rFonts w:asciiTheme="majorHAnsi" w:hAnsiTheme="majorHAnsi" w:eastAsiaTheme="majorEastAsia" w:cstheme="majorBidi"/>
      <w:b/>
      <w:bCs/>
      <w:sz w:val="32"/>
      <w:szCs w:val="32"/>
    </w:rPr>
  </w:style>
  <w:style w:type="paragraph" w:styleId="27">
    <w:name w:val="annotation subject"/>
    <w:basedOn w:val="8"/>
    <w:next w:val="8"/>
    <w:link w:val="52"/>
    <w:semiHidden/>
    <w:unhideWhenUsed/>
    <w:qFormat/>
    <w:uiPriority w:val="0"/>
    <w:rPr>
      <w:b/>
      <w:bCs/>
      <w:kern w:val="2"/>
      <w:sz w:val="21"/>
    </w:rPr>
  </w:style>
  <w:style w:type="paragraph" w:styleId="28">
    <w:name w:val="Body Text First Indent"/>
    <w:basedOn w:val="9"/>
    <w:next w:val="1"/>
    <w:unhideWhenUsed/>
    <w:qFormat/>
    <w:uiPriority w:val="99"/>
    <w:pPr>
      <w:spacing w:after="120"/>
      <w:ind w:firstLine="420" w:firstLineChars="100"/>
    </w:pPr>
    <w:rPr>
      <w:rFonts w:ascii="Times New Roman"/>
      <w:sz w:val="21"/>
    </w:rPr>
  </w:style>
  <w:style w:type="paragraph" w:styleId="29">
    <w:name w:val="Body Text First Indent 2"/>
    <w:basedOn w:val="13"/>
    <w:next w:val="1"/>
    <w:qFormat/>
    <w:uiPriority w:val="0"/>
    <w:pPr>
      <w:spacing w:line="360" w:lineRule="auto"/>
      <w:ind w:firstLine="420" w:firstLineChars="200"/>
    </w:pPr>
    <w:rPr>
      <w:rFonts w:ascii="宋体" w:hAnsi="宋体"/>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Hyperlink"/>
    <w:qFormat/>
    <w:uiPriority w:val="99"/>
    <w:rPr>
      <w:color w:val="0000FF"/>
      <w:u w:val="single"/>
    </w:rPr>
  </w:style>
  <w:style w:type="character" w:styleId="35">
    <w:name w:val="annotation reference"/>
    <w:qFormat/>
    <w:uiPriority w:val="99"/>
    <w:rPr>
      <w:sz w:val="21"/>
      <w:szCs w:val="21"/>
    </w:rPr>
  </w:style>
  <w:style w:type="paragraph" w:customStyle="1" w:styleId="36">
    <w:name w:val="Heading1"/>
    <w:basedOn w:val="1"/>
    <w:next w:val="1"/>
    <w:qFormat/>
    <w:uiPriority w:val="0"/>
    <w:pPr>
      <w:keepNext/>
      <w:textAlignment w:val="baseline"/>
    </w:pPr>
    <w:rPr>
      <w:rFonts w:ascii="等线 Light" w:eastAsia="等线 Light"/>
      <w:sz w:val="28"/>
      <w:szCs w:val="20"/>
    </w:rPr>
  </w:style>
  <w:style w:type="paragraph" w:customStyle="1" w:styleId="37">
    <w:name w:val="首行缩进"/>
    <w:basedOn w:val="1"/>
    <w:qFormat/>
    <w:uiPriority w:val="0"/>
    <w:pPr>
      <w:ind w:firstLine="480" w:firstLineChars="200"/>
    </w:pPr>
    <w:rPr>
      <w:szCs w:val="20"/>
      <w:lang w:val="zh-CN"/>
    </w:rPr>
  </w:style>
  <w:style w:type="character" w:customStyle="1" w:styleId="38">
    <w:name w:val="页眉 Char"/>
    <w:link w:val="21"/>
    <w:qFormat/>
    <w:uiPriority w:val="0"/>
    <w:rPr>
      <w:rFonts w:ascii="Times New Roman" w:hAnsi="Times New Roman" w:eastAsia="宋体" w:cs="Times New Roman"/>
      <w:kern w:val="2"/>
      <w:sz w:val="18"/>
      <w:szCs w:val="18"/>
    </w:rPr>
  </w:style>
  <w:style w:type="character" w:customStyle="1" w:styleId="39">
    <w:name w:val="批注框文本 Char"/>
    <w:link w:val="19"/>
    <w:qFormat/>
    <w:uiPriority w:val="0"/>
    <w:rPr>
      <w:rFonts w:ascii="Times New Roman" w:hAnsi="Times New Roman" w:eastAsia="宋体" w:cs="Times New Roman"/>
      <w:kern w:val="2"/>
      <w:sz w:val="18"/>
      <w:szCs w:val="18"/>
    </w:rPr>
  </w:style>
  <w:style w:type="character" w:customStyle="1" w:styleId="40">
    <w:name w:val="页脚 Char"/>
    <w:link w:val="20"/>
    <w:qFormat/>
    <w:uiPriority w:val="0"/>
    <w:rPr>
      <w:rFonts w:ascii="Times New Roman" w:hAnsi="Times New Roman" w:eastAsia="宋体" w:cs="Times New Roman"/>
      <w:kern w:val="2"/>
      <w:sz w:val="18"/>
      <w:szCs w:val="18"/>
    </w:rPr>
  </w:style>
  <w:style w:type="paragraph" w:styleId="41">
    <w:name w:val="List Paragraph"/>
    <w:basedOn w:val="1"/>
    <w:qFormat/>
    <w:uiPriority w:val="34"/>
    <w:pPr>
      <w:ind w:firstLine="420" w:firstLineChars="200"/>
    </w:pPr>
    <w:rPr>
      <w:rFonts w:ascii="Calibri" w:hAnsi="Calibri"/>
      <w:kern w:val="0"/>
      <w:sz w:val="20"/>
      <w:szCs w:val="20"/>
    </w:rPr>
  </w:style>
  <w:style w:type="paragraph" w:customStyle="1" w:styleId="42">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3">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4">
    <w:name w:val="纯文本1"/>
    <w:basedOn w:val="1"/>
    <w:qFormat/>
    <w:uiPriority w:val="0"/>
    <w:pPr>
      <w:adjustRightInd w:val="0"/>
    </w:pPr>
    <w:rPr>
      <w:rFonts w:ascii="宋体" w:hAnsi="Courier New" w:eastAsia="楷体_GB2312"/>
      <w:sz w:val="28"/>
      <w:szCs w:val="20"/>
    </w:rPr>
  </w:style>
  <w:style w:type="table" w:customStyle="1" w:styleId="45">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正文1"/>
    <w:next w:val="1"/>
    <w:qFormat/>
    <w:uiPriority w:val="0"/>
    <w:pPr>
      <w:widowControl w:val="0"/>
      <w:jc w:val="both"/>
    </w:pPr>
    <w:rPr>
      <w:rFonts w:ascii="Calibri" w:hAnsi="Calibri" w:eastAsia="宋体" w:cs="Times New Roman"/>
      <w:kern w:val="2"/>
      <w:sz w:val="21"/>
      <w:szCs w:val="21"/>
      <w:lang w:val="en-US" w:eastAsia="zh-CN" w:bidi="ar-SA"/>
    </w:rPr>
  </w:style>
  <w:style w:type="character" w:customStyle="1" w:styleId="48">
    <w:name w:val="标题 3 Char"/>
    <w:link w:val="6"/>
    <w:qFormat/>
    <w:uiPriority w:val="0"/>
    <w:rPr>
      <w:b/>
      <w:sz w:val="32"/>
    </w:rPr>
  </w:style>
  <w:style w:type="character" w:customStyle="1" w:styleId="49">
    <w:name w:val="纯文本 Char"/>
    <w:link w:val="17"/>
    <w:qFormat/>
    <w:locked/>
    <w:uiPriority w:val="0"/>
    <w:rPr>
      <w:rFonts w:ascii="宋体" w:hAnsi="Courier New"/>
    </w:rPr>
  </w:style>
  <w:style w:type="character" w:customStyle="1" w:styleId="50">
    <w:name w:val="标题 Char"/>
    <w:basedOn w:val="32"/>
    <w:link w:val="26"/>
    <w:qFormat/>
    <w:uiPriority w:val="0"/>
    <w:rPr>
      <w:rFonts w:asciiTheme="majorHAnsi" w:hAnsiTheme="majorHAnsi" w:eastAsiaTheme="majorEastAsia" w:cstheme="majorBidi"/>
      <w:b/>
      <w:bCs/>
      <w:kern w:val="2"/>
      <w:sz w:val="32"/>
      <w:szCs w:val="32"/>
    </w:rPr>
  </w:style>
  <w:style w:type="character" w:customStyle="1" w:styleId="51">
    <w:name w:val="批注文字 Char"/>
    <w:basedOn w:val="32"/>
    <w:link w:val="8"/>
    <w:qFormat/>
    <w:uiPriority w:val="99"/>
    <w:rPr>
      <w:szCs w:val="24"/>
    </w:rPr>
  </w:style>
  <w:style w:type="character" w:customStyle="1" w:styleId="52">
    <w:name w:val="批注主题 Char"/>
    <w:basedOn w:val="51"/>
    <w:link w:val="27"/>
    <w:semiHidden/>
    <w:qFormat/>
    <w:uiPriority w:val="0"/>
    <w:rPr>
      <w:b/>
      <w:bCs/>
      <w:kern w:val="2"/>
      <w:sz w:val="21"/>
      <w:szCs w:val="24"/>
    </w:rPr>
  </w:style>
  <w:style w:type="paragraph" w:customStyle="1" w:styleId="5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4">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5">
    <w:name w:val="（一）正文标题"/>
    <w:basedOn w:val="6"/>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6">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57">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paragraph" w:customStyle="1" w:styleId="58">
    <w:name w:val="Table Text"/>
    <w:basedOn w:val="1"/>
    <w:semiHidden/>
    <w:qFormat/>
    <w:uiPriority w:val="0"/>
    <w:rPr>
      <w:rFonts w:ascii="宋体" w:hAnsi="宋体" w:cs="宋体"/>
      <w:sz w:val="20"/>
      <w:szCs w:val="20"/>
      <w:lang w:eastAsia="en-US"/>
    </w:rPr>
  </w:style>
  <w:style w:type="paragraph" w:customStyle="1" w:styleId="59">
    <w:name w:val="Table Paragraph"/>
    <w:basedOn w:val="1"/>
    <w:qFormat/>
    <w:uiPriority w:val="1"/>
    <w:rPr>
      <w:rFonts w:ascii="仿宋" w:hAnsi="仿宋" w:eastAsia="仿宋" w:cs="仿宋"/>
    </w:rPr>
  </w:style>
  <w:style w:type="paragraph" w:customStyle="1" w:styleId="60">
    <w:name w:val="列出段落1"/>
    <w:basedOn w:val="1"/>
    <w:qFormat/>
    <w:uiPriority w:val="0"/>
    <w:pPr>
      <w:widowControl/>
      <w:ind w:left="720"/>
      <w:contextualSpacing/>
      <w:jc w:val="left"/>
    </w:pPr>
    <w:rPr>
      <w:rFonts w:ascii="Calibri" w:hAnsi="Calibri"/>
      <w:kern w:val="0"/>
      <w:sz w:val="24"/>
      <w:lang w:eastAsia="en-US" w:bidi="en-US"/>
    </w:rPr>
  </w:style>
  <w:style w:type="paragraph" w:customStyle="1" w:styleId="61">
    <w:name w:val="WPSOffice手动目录 1"/>
    <w:qFormat/>
    <w:uiPriority w:val="0"/>
    <w:rPr>
      <w:rFonts w:ascii="Times New Roman" w:hAnsi="Times New Roman" w:eastAsia="宋体" w:cs="Times New Roman"/>
      <w:lang w:val="en-US" w:eastAsia="zh-CN" w:bidi="ar-SA"/>
    </w:rPr>
  </w:style>
  <w:style w:type="paragraph" w:customStyle="1" w:styleId="6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4">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5">
    <w:name w:val="NormalCharacter"/>
    <w:semiHidden/>
    <w:qFormat/>
    <w:uiPriority w:val="0"/>
  </w:style>
  <w:style w:type="paragraph" w:customStyle="1" w:styleId="66">
    <w:name w:val="表格"/>
    <w:basedOn w:val="1"/>
    <w:qFormat/>
    <w:uiPriority w:val="0"/>
    <w:pPr>
      <w:snapToGrid w:val="0"/>
      <w:ind w:firstLine="42" w:firstLineChars="21"/>
    </w:pPr>
    <w:rPr>
      <w:rFonts w:ascii="宋体" w:hAnsi="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F0273-2432-4393-B4BD-F5E458AC42F4}">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56</Pages>
  <Words>38194</Words>
  <Characters>39650</Characters>
  <Lines>326</Lines>
  <Paragraphs>91</Paragraphs>
  <TotalTime>36</TotalTime>
  <ScaleCrop>false</ScaleCrop>
  <LinksUpToDate>false</LinksUpToDate>
  <CharactersWithSpaces>41359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2023-06-05T07:25:00Z</dcterms:created>
  <dc:creator>ASUS</dc:creator>
  <cp:lastModifiedBy>盐城经济技术开发区财政局(填报)</cp:lastModifiedBy>
  <cp:lastPrinted>2023-08-14T08:13:00Z</cp:lastPrinted>
  <dcterms:modified xsi:type="dcterms:W3CDTF">2023-08-15T07:49:19Z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3E759B373C80461EB533172F79052ED0_13</vt:lpwstr>
  </property>
</Properties>
</file>