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w:t>
      </w:r>
      <w:r>
        <w:rPr>
          <w:rFonts w:asciiTheme="majorEastAsia" w:hAnsiTheme="majorEastAsia" w:eastAsiaTheme="majorEastAsia"/>
          <w:b/>
          <w:bCs/>
          <w:color w:val="000000" w:themeColor="text1"/>
          <w:sz w:val="32"/>
          <w:szCs w:val="32"/>
          <w:highlight w:val="none"/>
          <w14:textFill>
            <w14:solidFill>
              <w14:schemeClr w14:val="tx1"/>
            </w14:solidFill>
          </w14:textFill>
        </w:rPr>
        <w:t>2023</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年教师笔记本电脑框架协议采购项目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SY2023-077-HW-XJ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9"/>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年11</w:t>
      </w:r>
      <w:r>
        <w:rPr>
          <w:rFonts w:hint="eastAsia" w:ascii="宋体" w:hAnsi="宋体"/>
          <w:color w:val="000000" w:themeColor="text1"/>
          <w:sz w:val="36"/>
          <w:szCs w:val="36"/>
          <w:highlight w:val="none"/>
          <w14:textFill>
            <w14:solidFill>
              <w14:schemeClr w14:val="tx1"/>
            </w14:solidFill>
          </w14:textFill>
        </w:rPr>
        <w:t>月</w:t>
      </w:r>
      <w:r>
        <w:rPr>
          <w:rFonts w:ascii="宋体" w:hAnsi="宋体"/>
          <w:color w:val="000000" w:themeColor="text1"/>
          <w:sz w:val="36"/>
          <w:szCs w:val="36"/>
          <w:highlight w:val="none"/>
          <w14:textFill>
            <w14:solidFill>
              <w14:schemeClr w14:val="tx1"/>
            </w14:solidFill>
          </w14:textFill>
        </w:rPr>
        <w:t>19日</w:t>
      </w: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1"/>
        <w:spacing w:line="520" w:lineRule="exact"/>
        <w:ind w:left="0" w:leftChars="0"/>
        <w:jc w:val="center"/>
        <w:rPr>
          <w:rStyle w:val="27"/>
          <w:bCs/>
          <w:color w:val="000000" w:themeColor="text1"/>
          <w:sz w:val="48"/>
          <w:highlight w:val="none"/>
          <w:u w:val="none"/>
          <w14:textFill>
            <w14:solidFill>
              <w14:schemeClr w14:val="tx1"/>
            </w14:solidFill>
          </w14:textFill>
        </w:rPr>
      </w:pPr>
      <w:r>
        <w:rPr>
          <w:rStyle w:val="27"/>
          <w:rFonts w:hint="eastAsia"/>
          <w:bCs/>
          <w:color w:val="000000" w:themeColor="text1"/>
          <w:sz w:val="48"/>
          <w:highlight w:val="none"/>
          <w:u w:val="none"/>
          <w14:textFill>
            <w14:solidFill>
              <w14:schemeClr w14:val="tx1"/>
            </w14:solidFill>
          </w14:textFill>
        </w:rPr>
        <w:t>目</w:t>
      </w:r>
      <w:r>
        <w:rPr>
          <w:rStyle w:val="27"/>
          <w:bCs/>
          <w:color w:val="000000" w:themeColor="text1"/>
          <w:sz w:val="48"/>
          <w:highlight w:val="none"/>
          <w:u w:val="none"/>
          <w14:textFill>
            <w14:solidFill>
              <w14:schemeClr w14:val="tx1"/>
            </w14:solidFill>
          </w14:textFill>
        </w:rPr>
        <w:t xml:space="preserve">  </w:t>
      </w:r>
      <w:r>
        <w:rPr>
          <w:rStyle w:val="27"/>
          <w:rFonts w:hint="eastAsia"/>
          <w:bCs/>
          <w:color w:val="000000" w:themeColor="text1"/>
          <w:sz w:val="48"/>
          <w:highlight w:val="none"/>
          <w:u w:val="none"/>
          <w14:textFill>
            <w14:solidFill>
              <w14:schemeClr w14:val="tx1"/>
            </w14:solidFill>
          </w14:textFill>
        </w:rPr>
        <w:t>录</w:t>
      </w: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5"/>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第一部分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5"/>
        <w:tabs>
          <w:tab w:val="right" w:leader="dot" w:pos="9628"/>
        </w:tabs>
        <w:spacing w:line="480" w:lineRule="auto"/>
        <w:ind w:firstLine="424" w:firstLineChars="20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8"/>
          <w:rFonts w:hint="eastAsia"/>
          <w:color w:val="000000" w:themeColor="text1"/>
          <w:spacing w:val="4"/>
          <w:sz w:val="28"/>
          <w:highlight w:val="none"/>
          <w14:textFill>
            <w14:solidFill>
              <w14:schemeClr w14:val="tx1"/>
            </w14:solidFill>
          </w14:textFill>
        </w:rPr>
        <w:t>第二部分</w:t>
      </w:r>
      <w:r>
        <w:rPr>
          <w:rStyle w:val="28"/>
          <w:color w:val="000000" w:themeColor="text1"/>
          <w:spacing w:val="4"/>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第三部分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第四部分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5"/>
        <w:tabs>
          <w:tab w:val="right" w:leader="dot" w:pos="9628"/>
        </w:tabs>
        <w:spacing w:line="480" w:lineRule="auto"/>
        <w:ind w:firstLine="424" w:firstLineChars="20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第五部分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附</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1</w:t>
      </w:r>
      <w:r>
        <w:rPr>
          <w:rStyle w:val="28"/>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2</w:t>
      </w:r>
      <w:r>
        <w:rPr>
          <w:rStyle w:val="28"/>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3</w:t>
      </w:r>
      <w:r>
        <w:rPr>
          <w:rStyle w:val="28"/>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2"/>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0"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江苏医药职业学院2023年教师笔记本电脑框架协议采购项目</w:t>
      </w:r>
      <w:r>
        <w:rPr>
          <w:rFonts w:hint="eastAsia" w:ascii="宋体" w:hAnsi="宋体" w:cs="宋体"/>
          <w:color w:val="000000" w:themeColor="text1"/>
          <w:sz w:val="24"/>
          <w:highlight w:val="none"/>
          <w14:textFill>
            <w14:solidFill>
              <w14:schemeClr w14:val="tx1"/>
            </w14:solidFill>
          </w14:textFill>
        </w:rPr>
        <w:t>的潜在投标人应在</w:t>
      </w:r>
      <w:r>
        <w:rPr>
          <w:rFonts w:hint="eastAsia" w:ascii="宋体" w:hAnsi="宋体" w:cs="宋体"/>
          <w:color w:val="000000" w:themeColor="text1"/>
          <w:sz w:val="24"/>
          <w:highlight w:val="none"/>
          <w:u w:val="single"/>
          <w14:textFill>
            <w14:solidFill>
              <w14:schemeClr w14:val="tx1"/>
            </w14:solidFill>
          </w14:textFill>
        </w:rPr>
        <w:t>江苏医药职业学院网站</w:t>
      </w:r>
      <w:r>
        <w:rPr>
          <w:rFonts w:hint="eastAsia" w:ascii="宋体" w:hAnsi="宋体" w:cs="宋体"/>
          <w:color w:val="000000" w:themeColor="text1"/>
          <w:sz w:val="24"/>
          <w:highlight w:val="none"/>
          <w14:textFill>
            <w14:solidFill>
              <w14:schemeClr w14:val="tx1"/>
            </w14:solidFill>
          </w14:textFill>
        </w:rPr>
        <w:t>获取招标文件，并于</w:t>
      </w:r>
      <w:r>
        <w:rPr>
          <w:rFonts w:hint="eastAsia" w:ascii="宋体" w:hAnsi="宋体" w:cs="宋体"/>
          <w:color w:val="000000" w:themeColor="text1"/>
          <w:sz w:val="24"/>
          <w:highlight w:val="none"/>
          <w:u w:val="single"/>
          <w14:textFill>
            <w14:solidFill>
              <w14:schemeClr w14:val="tx1"/>
            </w14:solidFill>
          </w14:textFill>
        </w:rPr>
        <w:t>2023</w:t>
      </w:r>
      <w:r>
        <w:rPr>
          <w:rFonts w:hint="eastAsia" w:ascii="宋体" w:hAnsi="宋体" w:cs="宋体"/>
          <w:bCs/>
          <w:color w:val="000000" w:themeColor="text1"/>
          <w:sz w:val="24"/>
          <w:highlight w:val="none"/>
          <w:u w:val="single"/>
          <w14:textFill>
            <w14:solidFill>
              <w14:schemeClr w14:val="tx1"/>
            </w14:solidFill>
          </w14:textFill>
        </w:rPr>
        <w:t>年11月</w:t>
      </w:r>
      <w:r>
        <w:rPr>
          <w:rFonts w:ascii="宋体" w:hAnsi="宋体" w:cs="宋体"/>
          <w:bCs/>
          <w:color w:val="000000" w:themeColor="text1"/>
          <w:sz w:val="24"/>
          <w:highlight w:val="none"/>
          <w:u w:val="single"/>
          <w14:textFill>
            <w14:solidFill>
              <w14:schemeClr w14:val="tx1"/>
            </w14:solidFill>
          </w14:textFill>
        </w:rPr>
        <w:t>23</w:t>
      </w:r>
      <w:r>
        <w:rPr>
          <w:rFonts w:hint="eastAsia" w:ascii="宋体" w:hAnsi="宋体" w:cs="宋体"/>
          <w:bCs/>
          <w:color w:val="000000" w:themeColor="text1"/>
          <w:sz w:val="24"/>
          <w:highlight w:val="none"/>
          <w:u w:val="single"/>
          <w14:textFill>
            <w14:solidFill>
              <w14:schemeClr w14:val="tx1"/>
            </w14:solidFill>
          </w14:textFill>
        </w:rPr>
        <w:t>日9点</w:t>
      </w:r>
      <w:r>
        <w:rPr>
          <w:rFonts w:ascii="宋体" w:hAnsi="宋体" w:cs="宋体"/>
          <w:bCs/>
          <w:color w:val="000000" w:themeColor="text1"/>
          <w:sz w:val="24"/>
          <w:highlight w:val="none"/>
          <w:u w:val="single"/>
          <w14:textFill>
            <w14:solidFill>
              <w14:schemeClr w14:val="tx1"/>
            </w14:solidFill>
          </w14:textFill>
        </w:rPr>
        <w:t>0</w:t>
      </w:r>
      <w:r>
        <w:rPr>
          <w:rFonts w:hint="eastAsia" w:ascii="宋体" w:hAnsi="宋体" w:cs="宋体"/>
          <w:bCs/>
          <w:color w:val="000000" w:themeColor="text1"/>
          <w:sz w:val="24"/>
          <w:highlight w:val="none"/>
          <w:u w:val="single"/>
          <w14:textFill>
            <w14:solidFill>
              <w14:schemeClr w14:val="tx1"/>
            </w14:solidFill>
          </w14:textFill>
        </w:rPr>
        <w:t>0分（</w:t>
      </w:r>
      <w:r>
        <w:rPr>
          <w:rFonts w:hint="eastAsia" w:ascii="宋体" w:hAnsi="宋体" w:cs="宋体"/>
          <w:bCs/>
          <w:color w:val="000000" w:themeColor="text1"/>
          <w:sz w:val="24"/>
          <w:highlight w:val="none"/>
          <w14:textFill>
            <w14:solidFill>
              <w14:schemeClr w14:val="tx1"/>
            </w14:solidFill>
          </w14:textFill>
        </w:rPr>
        <w:t>北京时间）前递交投标文件</w:t>
      </w:r>
      <w:r>
        <w:rPr>
          <w:rFonts w:hint="eastAsia" w:ascii="宋体" w:hAnsi="宋体" w:cs="宋体"/>
          <w:color w:val="000000" w:themeColor="text1"/>
          <w:sz w:val="24"/>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2023年教师笔记本电脑框架协议采购项目</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SY2023-077-HW-XJ</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三、采购需求：</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详见询价文件第四部分“项目需求”。采购人保留对上述采购数量进行调整的权利。</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19</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w:t>
      </w:r>
      <w:r>
        <w:rPr>
          <w:rFonts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2</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4万元</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8"/>
          <w:szCs w:val="28"/>
          <w:highlight w:val="none"/>
          <w14:textFill>
            <w14:solidFill>
              <w14:schemeClr w14:val="tx1"/>
            </w14:solidFill>
          </w14:textFill>
        </w:rPr>
        <w:t>五、合同履行期限：</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合同签订后15个日历日内完成供货、安装调试，除不可抗因素与招标人协商达成一致外，否则不予以验收。</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8"/>
          <w:szCs w:val="28"/>
          <w:highlight w:val="none"/>
          <w14:textFill>
            <w14:solidFill>
              <w14:schemeClr w14:val="tx1"/>
            </w14:solidFill>
          </w14:textFill>
        </w:rPr>
        <w:t>六、质量要求：</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货物质量等级为“合格”，并符合询价文件中技术要求、国家现行的相关规范标准及有关部门最新颁布的相应的最新标准；项目确保按规范和标准验收，且达到国家“合格”标准。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七、质保期:</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支持原厂3年质保及3年免费上门服务。</w:t>
      </w:r>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八、投标申请人资格要求：</w:t>
      </w:r>
    </w:p>
    <w:p>
      <w:pPr>
        <w:spacing w:line="520" w:lineRule="exact"/>
        <w:ind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1.满足《中华人民共和国政府采购法》第二十二条规定，并提供下列材料；</w:t>
      </w:r>
    </w:p>
    <w:p>
      <w:pPr>
        <w:spacing w:line="520" w:lineRule="exact"/>
        <w:ind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(1)法人或者其他组织的营业执照等证明文件，自然人的身份证明；</w:t>
      </w:r>
    </w:p>
    <w:p>
      <w:pPr>
        <w:spacing w:line="520" w:lineRule="exact"/>
        <w:ind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(2)上一年度的财务状况报告（成立不满一年不需提供）；</w:t>
      </w:r>
    </w:p>
    <w:p>
      <w:pPr>
        <w:spacing w:line="520" w:lineRule="exact"/>
        <w:ind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(3)依法缴纳税收和社会保障资金的相关材料；</w:t>
      </w:r>
    </w:p>
    <w:p>
      <w:pPr>
        <w:spacing w:line="520" w:lineRule="exact"/>
        <w:ind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(4)具备履行合同所必需的设备和专业技术能力的书面声明；</w:t>
      </w:r>
    </w:p>
    <w:p>
      <w:pPr>
        <w:spacing w:line="520" w:lineRule="exact"/>
        <w:ind w:left="529" w:leftChars="252"/>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(5)参加政府采购活动前3年内在经营活动中没有重大违法记录的书面声明；2.</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本项目的特定资格要求：：</w:t>
      </w:r>
    </w:p>
    <w:p>
      <w:pPr>
        <w:spacing w:line="520" w:lineRule="exact"/>
        <w:ind w:firstLine="560"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asciiTheme="minorEastAsia" w:hAnsiTheme="minorEastAsia" w:eastAsiaTheme="minorEastAsia" w:cstheme="minorEastAsia"/>
          <w:bCs/>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投标申请人须为现行“2023年度江苏省党政机关、事业单位及团体组织台式计算机框架协议”采购的华为计算机入围供应商，需提供入围政府框架协议单位的证明材料并加盖报价单位公章。</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(2)投标申请人应是中国境内注册的供应商；</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(3)未被“信用中国”网站（www.creditchina.gov.cn）列入失信被执行人、重大税收违法案件当事人名单、政府采购严重失信行为记录名单；</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(4)单位负责人为同一人或者存在直接控股、管理关系的不同供应商，不得参加同一合同项下的政府采购活动。</w:t>
      </w:r>
    </w:p>
    <w:p>
      <w:pPr>
        <w:spacing w:line="520" w:lineRule="exact"/>
        <w:ind w:firstLine="578" w:firstLineChars="200"/>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九、询价文件获取：</w:t>
      </w:r>
    </w:p>
    <w:p>
      <w:pPr>
        <w:spacing w:line="520" w:lineRule="exact"/>
        <w:ind w:firstLine="560" w:firstLineChars="200"/>
        <w:jc w:val="left"/>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时间：2023年11月20日至2023年11月22日（发售时间每个工作日的9时至12时，15时至18时）</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地点：盐城市府西路华邦国际西厦A区（东）302室</w:t>
      </w:r>
    </w:p>
    <w:p>
      <w:pPr>
        <w:spacing w:line="520" w:lineRule="exact"/>
        <w:ind w:firstLine="576" w:firstLineChars="20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方式：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凡符合资格要求且自愿参加本项目的投标申请人应于规定时间内凭加盖公章的《采购文件领购登记表》（见公告附件）、法人委托书和营业执照扫描件通过电子邮件方式发送至邮箱：</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xsyg005@163.com</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。（注：报名邮件、附件资料请以“</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SY2023-077-HW-XJ</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+单位名称+联系人+手机号码”命名）。逾期报名的不予接收，未领购的任何单位或个人没有参与权以及相关知情权。</w:t>
      </w:r>
    </w:p>
    <w:p>
      <w:pPr>
        <w:pStyle w:val="20"/>
        <w:spacing w:before="0" w:beforeAutospacing="0" w:after="0" w:afterAutospacing="0" w:line="520" w:lineRule="exact"/>
        <w:ind w:firstLine="436"/>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售价：300元，售后不退；交纳方式：现金、支付宝（18662096009）等</w:t>
      </w:r>
    </w:p>
    <w:p>
      <w:pPr>
        <w:pStyle w:val="20"/>
        <w:spacing w:before="0" w:beforeAutospacing="0" w:after="0" w:afterAutospacing="0" w:line="520" w:lineRule="exact"/>
        <w:ind w:firstLine="436"/>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有关本次询价的事项若存在变动或修改，敬请及时关注“江苏医药职业学院网”发布的信息或更正公告。</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十、投标文件递交方式</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w:t>
      </w:r>
      <w:r>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23</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日9时</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00分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w:t>
      </w:r>
      <w:r>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月2</w:t>
      </w:r>
      <w:r>
        <w:rPr>
          <w:rFonts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3</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日9时3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且必须在递交投标文件截止时间前，将投标文件密封好送达，逾期送达或未密封，将被拒收。快递邮寄地址：盐城市解放南路283号国资处，收件人：刘老师，电话：0515-88550311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widowControl/>
        <w:shd w:val="clear" w:color="auto" w:fill="FFFFFF"/>
        <w:spacing w:line="525" w:lineRule="atLeast"/>
        <w:ind w:firstLine="542" w:firstLineChars="200"/>
        <w:rPr>
          <w:rFonts w:ascii="微软雅黑" w:hAnsi="微软雅黑" w:eastAsia="微软雅黑" w:cs="宋体"/>
          <w:color w:val="000000" w:themeColor="text1"/>
          <w:kern w:val="0"/>
          <w:sz w:val="24"/>
          <w:highlight w:val="none"/>
          <w14:textFill>
            <w14:solidFill>
              <w14:schemeClr w14:val="tx1"/>
            </w14:solidFill>
          </w14:textFill>
        </w:rPr>
      </w:pPr>
      <w:bookmarkStart w:id="1" w:name="_Toc141279352"/>
      <w:r>
        <w:rPr>
          <w:rFonts w:hint="eastAsia" w:ascii="宋体" w:hAnsi="宋体" w:cs="宋体"/>
          <w:b/>
          <w:bCs/>
          <w:color w:val="000000" w:themeColor="text1"/>
          <w:kern w:val="0"/>
          <w:sz w:val="27"/>
          <w:szCs w:val="27"/>
          <w:highlight w:val="none"/>
          <w14:textFill>
            <w14:solidFill>
              <w14:schemeClr w14:val="tx1"/>
            </w14:solidFill>
          </w14:textFill>
        </w:rPr>
        <w:t>十一、对本次招标提出询问，请按以下方式联系</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1.项目联系方式：</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项目联系人：张老师；电话：1</w:t>
      </w:r>
      <w:r>
        <w:rPr>
          <w:rFonts w:ascii="宋体" w:hAnsi="宋体" w:cs="宋体"/>
          <w:color w:val="000000" w:themeColor="text1"/>
          <w:kern w:val="0"/>
          <w:sz w:val="27"/>
          <w:szCs w:val="27"/>
          <w:highlight w:val="none"/>
          <w14:textFill>
            <w14:solidFill>
              <w14:schemeClr w14:val="tx1"/>
            </w14:solidFill>
          </w14:textFill>
        </w:rPr>
        <w:t>5950234863</w:t>
      </w:r>
      <w:r>
        <w:rPr>
          <w:rFonts w:hint="eastAsia" w:ascii="宋体" w:hAnsi="宋体" w:cs="宋体"/>
          <w:color w:val="000000" w:themeColor="text1"/>
          <w:kern w:val="0"/>
          <w:sz w:val="27"/>
          <w:szCs w:val="27"/>
          <w:highlight w:val="none"/>
          <w14:textFill>
            <w14:solidFill>
              <w14:schemeClr w14:val="tx1"/>
            </w14:solidFill>
          </w14:textFill>
        </w:rPr>
        <w:t>；</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2.采购人信息：</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名称：江苏医药职业学院；</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地址：盐城市解放南路283号行政楼208室</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联系方式：刘老师；电话：0515-88550311；</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3.采购代理机构信息：名称：盐城市携手阳光集中采购代理有限公司；</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联系方式：施工；电话：13270072015；</w:t>
      </w: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地址：盐城市府西路2号华邦国际西厦A（东）区302室（邮编224000）邮箱：xsyg005@163.com  </w:t>
      </w:r>
    </w:p>
    <w:p>
      <w:pPr>
        <w:widowControl/>
        <w:shd w:val="clear" w:color="auto" w:fill="FFFFFF"/>
        <w:spacing w:line="525" w:lineRule="atLeast"/>
        <w:ind w:firstLine="555"/>
        <w:rPr>
          <w:rFonts w:ascii="宋体" w:hAnsi="宋体" w:cs="宋体"/>
          <w:color w:val="000000" w:themeColor="text1"/>
          <w:kern w:val="0"/>
          <w:sz w:val="27"/>
          <w:szCs w:val="27"/>
          <w:highlight w:val="none"/>
          <w14:textFill>
            <w14:solidFill>
              <w14:schemeClr w14:val="tx1"/>
            </w14:solidFill>
          </w14:textFill>
        </w:rPr>
      </w:pPr>
    </w:p>
    <w:p>
      <w:pPr>
        <w:widowControl/>
        <w:shd w:val="clear" w:color="auto" w:fill="FFFFFF"/>
        <w:spacing w:line="525" w:lineRule="atLeast"/>
        <w:ind w:firstLine="555"/>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7"/>
          <w:szCs w:val="27"/>
          <w:highlight w:val="none"/>
          <w14:textFill>
            <w14:solidFill>
              <w14:schemeClr w14:val="tx1"/>
            </w14:solidFill>
          </w14:textFill>
        </w:rPr>
        <w:t>对项目需求部分的询问、质疑请向项目联系人提出，由项目联系人负责答复；对项目招标文件其它部分的询问、质疑向采购代理机构提出。</w:t>
      </w: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rPr>
          <w:color w:val="000000" w:themeColor="text1"/>
          <w:spacing w:val="4"/>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1"/>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2"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2"/>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（2）投标人指响应询价并具备相应资质的参与投标的制造（厂）商、销售商。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3"/>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（1）投标文件及来往函件均应使用中文。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（2）授权文件、产品说明书、样本等非中文材料，其中的要点应附有中文译文。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4"/>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投标货物</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投标货物必须是全新、未使用过的原装合格正品，完全符合询价文件规定的规格、性能和质量的要求，达到国家或行业规定的标准，属于国家强制认证的产品的必须通过认证。</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3.5.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3.6.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5"/>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合理低价法进行评审，即符合采购需求、质量和服务相等且报价最低的原则确定成交投标人，本项目不保证最低价中标。如果有效最低报价出现两家或两家以上相同者，且均通过询价小组评审，则以质优与服务优的优先，如质优与服务优相同则由采购单位确定成交单位。</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6"/>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7"/>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中标人确定后，采购人将通过学校招标网公示3天，公示期满无异议，中标人应在15日内与采购人签订采购合同，过期视为放弃中标。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3"/>
        <w:spacing w:before="120" w:after="120"/>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七、质疑</w:t>
      </w:r>
    </w:p>
    <w:p>
      <w:pPr>
        <w:pStyle w:val="17"/>
        <w:spacing w:line="360" w:lineRule="auto"/>
        <w:ind w:left="0" w:leftChars="0"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各投标人对成交结果有异议的，可以在成交公告发布之日起3日内以书面形式（由法定代表人或委托代理人签字，并加盖投标人单位公章有效）向招标人一次性提出同一采购程序环节的质疑。接收质疑函的方式：由质疑投标人书面送达；送达部门：江苏医药职业学院国有资产管理处；联系电话：0515-88550311；送达地址：盐城市解放南路283号国资处。</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八、其他</w:t>
      </w:r>
      <w:bookmarkEnd w:id="8"/>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17"/>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17"/>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pStyle w:val="16"/>
        <w:outlineLvl w:val="0"/>
        <w:rPr>
          <w:color w:val="000000" w:themeColor="text1"/>
          <w:highlight w:val="none"/>
          <w14:textFill>
            <w14:solidFill>
              <w14:schemeClr w14:val="tx1"/>
            </w14:solidFill>
          </w14:textFill>
        </w:rPr>
      </w:pPr>
      <w:bookmarkStart w:id="9"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9"/>
    </w:p>
    <w:p>
      <w:pPr>
        <w:spacing w:line="400" w:lineRule="exact"/>
        <w:jc w:val="center"/>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货物采购合同</w:t>
      </w:r>
    </w:p>
    <w:p>
      <w:pPr>
        <w:spacing w:line="520" w:lineRule="exact"/>
        <w:jc w:val="center"/>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甲方(需方):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江苏医药职业学院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乙方(供方):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before="240" w:beforeLines="100"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为了维护甲、乙双方合法权益，根据《中华人民共和国民法典》和江苏医药职业学院项目名称的采购文件、响应文件及其在采购过程中的承诺，经双方协商，同意签定本合同，共同遵守。</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一、合同文件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本合同所附下列文件资料为本合同不可分割的部分：</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1、政府采购招标文件（包括澄清、修改）；</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2、乙方投标文件；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3、中标（成交）通知书；</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4、中标人在评标过程中做出的有关澄清、说明、承诺或者补正文件；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5、政府采购委托协议书。</w:t>
      </w:r>
    </w:p>
    <w:p>
      <w:pPr>
        <w:autoSpaceDE w:val="0"/>
        <w:autoSpaceDN w:val="0"/>
        <w:adjustRightInd w:val="0"/>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二、合同范围和条件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本合同的范围和条件应与上述合同文件的规定相一致。</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三、采购内容、价格及采购清单： </w:t>
      </w:r>
    </w:p>
    <w:tbl>
      <w:tblPr>
        <w:tblStyle w:val="22"/>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52"/>
        <w:gridCol w:w="2253"/>
        <w:gridCol w:w="931"/>
        <w:gridCol w:w="773"/>
        <w:gridCol w:w="709"/>
        <w:gridCol w:w="709"/>
        <w:gridCol w:w="962"/>
        <w:gridCol w:w="850"/>
        <w:gridCol w:w="8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08" w:type="dxa"/>
          </w:tcPr>
          <w:p>
            <w:pPr>
              <w:spacing w:line="520" w:lineRule="exact"/>
              <w:jc w:val="left"/>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序号</w:t>
            </w:r>
          </w:p>
        </w:tc>
        <w:tc>
          <w:tcPr>
            <w:tcW w:w="3105" w:type="dxa"/>
            <w:gridSpan w:val="2"/>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采购货物名称</w:t>
            </w:r>
          </w:p>
        </w:tc>
        <w:tc>
          <w:tcPr>
            <w:tcW w:w="931"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品牌/型号</w:t>
            </w:r>
          </w:p>
        </w:tc>
        <w:tc>
          <w:tcPr>
            <w:tcW w:w="773"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厂商</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产地</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数量</w:t>
            </w:r>
          </w:p>
        </w:tc>
        <w:tc>
          <w:tcPr>
            <w:tcW w:w="962"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单价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0"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总价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1"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质保期</w:t>
            </w:r>
          </w:p>
        </w:tc>
        <w:tc>
          <w:tcPr>
            <w:tcW w:w="768"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交货</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1</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2</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3</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3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73"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6" w:type="dxa"/>
            <w:gridSpan w:val="11"/>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甲方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乙方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bl>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0" w:name="_Toc14127936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四、合同金额</w:t>
      </w:r>
      <w:bookmarkEnd w:id="10"/>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根据中标通知书中规定，合同总金额为人民币大写:                  ；小写：              。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1" w:name="_Toc14127936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五、交货期和交货地点</w:t>
      </w:r>
      <w:bookmarkEnd w:id="11"/>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1、交货期：合同生效后</w:t>
      </w:r>
      <w:r>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t>15</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日内。乙方于交货的同时应向甲方提供货物清单、合格证书等资料。双方在确认交货时间时，已充分考虑了节假日以及新冠疫情影响等各种因素，除出现人力不可抗拒因素或重大变更且经甲方书面同意的，否则交货时间不予调整。</w:t>
      </w:r>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2、交货地点：江苏医药职业学院指定地点</w:t>
      </w:r>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4、货物所有权自乙方负责将货物运送至交货地点、交付甲方时起转移，交付给甲方之前的相关的运输、保险、保管等费用及货物灭失、损毁的一切风险由乙方承担，并负责补足、更换、修理及承担相应费用。</w:t>
      </w:r>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5、乙方应承担由于包装或其防护措施不妥而引起的货物损坏或丢失等的全部责任。</w:t>
      </w:r>
    </w:p>
    <w:p>
      <w:pPr>
        <w:pStyle w:val="10"/>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6、安全责任：货物在运输、装卸、正常使用过程中，因质量问题等造成甲方或第三方人身伤害及财产损失的，由乙方承担全部责任。</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2" w:name="_Toc14127936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六、售后服务承诺</w:t>
      </w:r>
      <w:bookmarkEnd w:id="1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供应商对所提供货物的售后服务作如下承诺：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1、保证所提供货物必须符合国家有关标准；保证货物是全新、未使用过的原装合格正品，且是近期生产的。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3、质保期、保修期及保修服务的内容严格遵守国家法律及合同文件规定。</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质保期限为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年，质保期限从验收合格之日起计算，质保期内“三包”责任所产生的费用由供应商承担。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结束后保修期内供应商提供的维修服务、技术支持、软件升级及零配件更换仅收取成本费用。按原价维修（按投标货物价格数量表所列价格，更换零部件的按合同签订时的零部件价格），乙方应提供长期优质维护、维修服务。</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4、对制造商提供的货物的硬件或软件的升级改进服务，有及时告知用户的义务，在用户同意接受这些服务的情况下提供便利条件。</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6、</w:t>
      </w:r>
      <w:r>
        <w:rPr>
          <w:rFonts w:hint="eastAsia" w:asciiTheme="minorEastAsia" w:hAnsiTheme="minorEastAsia" w:eastAsiaTheme="minorEastAsia" w:cstheme="minorEastAsia"/>
          <w:color w:val="000000" w:themeColor="text1"/>
          <w:szCs w:val="28"/>
          <w:highlight w:val="none"/>
          <w:u w:val="single"/>
          <w14:textFill>
            <w14:solidFill>
              <w14:schemeClr w14:val="tx1"/>
            </w14:solidFill>
          </w14:textFill>
        </w:rPr>
        <w:t>乙方质保负责人：          ，联系电话（手机）：            。</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3" w:name="_Toc14127936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七、验收办法</w:t>
      </w:r>
      <w:bookmarkEnd w:id="13"/>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4" w:name="_Toc141279365"/>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bookmarkEnd w:id="14"/>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5" w:name="_Toc141279366"/>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1、实物验收：通过对比合同、到货清单和到货实物，完成外观、数量、型号、材质、配置、资料（如货物说明书、操作规程、检修手册、出厂检验合格证、保修卡、软件、图表）等实物内容的核对及检查工作。</w:t>
      </w: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对包装破损、型号规格、外观或质量不符合约定的货物，甲方将予以拒收，该部分视为乙方未按时供货。如甲方对全部货物验收合格，双方签字确认。</w:t>
      </w:r>
      <w:bookmarkEnd w:id="15"/>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6" w:name="_Toc141279367"/>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2、技术验收：检查货物是否按规范进行安装；通过运行调试（包括功能调试、技术指标调试、整机统调等）对性能指标、技术质量等进行检测；供应商是否按照合同要求提供人员培训、完成履约任务。</w:t>
      </w:r>
      <w:bookmarkEnd w:id="1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7" w:name="_Toc14127936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3、甲方对货物的清点、检验、确认、初步验收等不能解除或减轻乙方提供合格货物的责任，在使用期内发现货物缺陷、质量问题的，乙方仍应承担责任。</w:t>
      </w:r>
      <w:bookmarkEnd w:id="1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8" w:name="_Toc14127936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4、如果甲方发现货物存在缺陷（如货物的数量、外观、规格型号、尺码、质量、做工等与合同约定不符等）时，则甲方有权采取下列一种或几种方式解决，并通知乙方：</w:t>
      </w:r>
      <w:bookmarkEnd w:id="1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9" w:name="_Toc14127937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4.1如甲方决定退货，则乙方应将其向甲方收取的全部价款退还甲方，并承担甲方由此发生的一切损失和费用，包括利息、银行手续费、运费、保险费、仓储费、装卸费以及为看管和保护退回货物所需的其它必要费用。</w:t>
      </w:r>
      <w:bookmarkEnd w:id="1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0" w:name="_Toc14127937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4.2如甲方决定换货，则乙方应在 7 日内负责更换，乙方应承担全部费用和风险，并按照逾期交货承担违约责任。</w:t>
      </w:r>
      <w:bookmarkEnd w:id="2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1" w:name="_Toc14127937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5、如果在甲方发出通知后2日内，乙方未作答复，上述通知内容视为已被乙方接受。</w:t>
      </w:r>
      <w:bookmarkEnd w:id="2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2" w:name="_Toc14127937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八、双方的权利和义务</w:t>
      </w:r>
      <w:bookmarkEnd w:id="22"/>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3" w:name="_Toc14127937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1、甲方的权利和义务</w:t>
      </w:r>
      <w:bookmarkEnd w:id="2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4" w:name="_Toc14127937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1.1甲方有权向乙方询问工作进展情况；</w:t>
      </w:r>
      <w:bookmarkEnd w:id="2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5" w:name="_Toc14127937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1.2甲方有权对具体本项目全部工作内容提出科学性、合理性建议和意见；</w:t>
      </w:r>
      <w:bookmarkEnd w:id="2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6" w:name="_Toc14127937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1.3甲方有权向乙方索取与委托采购内容有关的成果文件；</w:t>
      </w:r>
      <w:bookmarkEnd w:id="2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7" w:name="_Toc14127937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1.4甲方有权对乙方提供货物及服务过程进行监督、检查、考核；</w:t>
      </w:r>
      <w:bookmarkEnd w:id="2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8" w:name="_Toc14127937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1.5协调乙方在提供货物及服务过程相关的政府部门和单位；</w:t>
      </w:r>
      <w:bookmarkEnd w:id="2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9" w:name="_Toc14127938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bookmarkEnd w:id="29"/>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0" w:name="_Toc14127938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2、乙方的权利和义务</w:t>
      </w:r>
      <w:bookmarkEnd w:id="30"/>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2.1.乙方可要求甲方按本合同的约定按时足额支付</w:t>
      </w:r>
      <w:bookmarkStart w:id="31" w:name="_Hlk40975009"/>
      <w:r>
        <w:rPr>
          <w:rFonts w:hint="eastAsia" w:asciiTheme="minorEastAsia" w:hAnsiTheme="minorEastAsia" w:eastAsiaTheme="minorEastAsia" w:cstheme="minorEastAsia"/>
          <w:color w:val="000000" w:themeColor="text1"/>
          <w:highlight w:val="none"/>
          <w14:textFill>
            <w14:solidFill>
              <w14:schemeClr w14:val="tx1"/>
            </w14:solidFill>
          </w14:textFill>
        </w:rPr>
        <w:t>相应费用</w:t>
      </w:r>
      <w:bookmarkEnd w:id="31"/>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2.2.乙方在履行合同过程中，不得将本项目委托给第三人，如有违反，甲方有权解除合同，乙方应退还甲方已付全部合同价款，并按照本合同向甲方支付违约金。</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九、付款方式与结算</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1、履约保证金支付</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pStyle w:val="21"/>
        <w:spacing w:line="520" w:lineRule="exact"/>
        <w:ind w:firstLine="562"/>
        <w:rPr>
          <w:rFonts w:asciiTheme="minorEastAsia" w:hAnsiTheme="minorEastAsia" w:eastAsiaTheme="minorEastAsia" w:cstheme="minorEastAsia"/>
          <w:b/>
          <w:bCs/>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乙方如提供AA级以上信用报告的（需经信用管理部门备案），只需缴纳合同金额的2.5%的履约保证金。如果乙方不履行合同约定的义务，未能完全履行合同规定的义务或其履行不符合合同的约定，甲方有权扣除履约保证金取得补偿。</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2、合同金额结算及支付方式：</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合同签订后，中标人完成全部供货及安装、调试、培训，经采购人验收合格后且经审计合格后付至审计价的90%，余款待完成合同规定服务事项及合同履约结束后一次性无息付清。</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当采购数量与实际使用数量不一致时，乙方应根据实际使用量供货，合同的最终结算金额按实际使用量乘以成交单价进行计算。</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 付款前乙方需提供我校财务处认可的增值税发票（仪器设备须开增值税专用发票）。</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2" w:name="_Toc14127938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十、违约责任</w:t>
      </w:r>
      <w:bookmarkEnd w:id="3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2、甲方应配合乙方的工作，若因甲方原因造成乙方未完成规定采购内容，甲方不得扣除乙方相应费用。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3、如因乙方自身原因，不履行合同义务或者履行合同义务不符合约定的，应当承担继续履行、采取补救措施或者由甲方扣除相应合同价款作为对甲方造成损失的赔偿。</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4、如乙方未按照本合同的约定期限交货的，则每迟延1日，应向甲方支付合同总价款1％的违约金；迟延超过10日的，甲方有权单方解除本合同。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6、乙方未经甲方书面同意将本合同的全部或部分义务转让给第三方，或者将合同权利、对甲方享有的债权转让给第三方的，该等转让对甲方无效，且甲方有权单方解除本合同。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7、乙方提供的货物不属于生产厂家的原装正品的，甲方有权单方解除合同。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9、因乙方存在其他违约行为或因乙方原因导致合同目的无法实现或合同无法继续履行的，甲方有权解除合同。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11、本合同所涉及全部违约金，甲方均有权从未付合同价款中扣除，乙方对此无异议。</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3" w:name="_Toc14127938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十一、合同解除</w:t>
      </w:r>
      <w:bookmarkEnd w:id="3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4" w:name="_Toc14127938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3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5" w:name="_Toc14127938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bookmarkEnd w:id="35"/>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6" w:name="_Toc141279386"/>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十二、不可抗力</w:t>
      </w:r>
      <w:bookmarkEnd w:id="3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7" w:name="_Toc14127938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3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8" w:name="_Toc14127938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2、双方确定，因发生不可抗力，致使本合同的履行成为不必要或不可能的，一方应当及时通知另一方解除合同。如果一方未及时通知对方或未采取必要措施，责任方须对扩大的损失承担赔偿责任。</w:t>
      </w:r>
      <w:bookmarkEnd w:id="38"/>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9" w:name="_Toc141279389"/>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十三、通知与送达</w:t>
      </w:r>
      <w:bookmarkEnd w:id="3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0" w:name="_Toc14127939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1、乙方的通知与送达方式为：</w:t>
      </w:r>
      <w:bookmarkEnd w:id="4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1" w:name="_Toc14127939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乙方：</w:t>
      </w:r>
      <w:bookmarkEnd w:id="4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2" w:name="_Toc14127939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通讯地址：                      ；</w:t>
      </w:r>
      <w:bookmarkEnd w:id="42"/>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3" w:name="_Toc14127939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联系人：                        ；联系电话（手机）：</w:t>
      </w:r>
      <w:bookmarkEnd w:id="4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4" w:name="_Toc14127939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4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5" w:name="_Toc14127939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bookmarkEnd w:id="4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6" w:name="_Toc14127939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46"/>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7" w:name="_Toc141279397"/>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十四、争议解决方式</w:t>
      </w:r>
      <w:bookmarkEnd w:id="47"/>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双方因本合同发生争议，由甲、乙方协商解决，协商不成的，应向甲方住所地有管辖权的人民法院诉讼解决。</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8" w:name="_Toc141279398"/>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十五、</w:t>
      </w:r>
      <w:r>
        <w:rPr>
          <w:rFonts w:hint="eastAsia" w:asciiTheme="minorEastAsia" w:hAnsiTheme="minorEastAsia" w:eastAsiaTheme="minorEastAsia" w:cstheme="minorEastAsia"/>
          <w:b/>
          <w:bCs w:val="0"/>
          <w:color w:val="000000" w:themeColor="text1"/>
          <w:szCs w:val="28"/>
          <w:highlight w:val="none"/>
          <w14:textFill>
            <w14:solidFill>
              <w14:schemeClr w14:val="tx1"/>
            </w14:solidFill>
          </w14:textFill>
        </w:rPr>
        <w:t>合同生效及其它</w:t>
      </w:r>
      <w:bookmarkEnd w:id="48"/>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4、本合同未尽事宜，供需双方可签订补充协议，与本合同具有同等法律效力。</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附件：货物清单明细</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甲方(印章): 江苏医药职业学院              乙方(印章):                  </w:t>
      </w: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法定代表人或其委托代理人：                法定代表人或其委托代理人：</w:t>
      </w:r>
    </w:p>
    <w:p>
      <w:pPr>
        <w:snapToGrid w:val="0"/>
        <w:spacing w:line="520" w:lineRule="exact"/>
        <w:ind w:firstLine="1120" w:firstLineChars="400"/>
        <w:jc w:val="left"/>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                                 (签字):</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地址: 盐城市解放南路283号                地址:                      </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电话:051588550311                         电话:</w:t>
      </w:r>
    </w:p>
    <w:p>
      <w:pPr>
        <w:snapToGrid w:val="0"/>
        <w:spacing w:line="520" w:lineRule="exact"/>
        <w:ind w:firstLine="560" w:firstLineChars="200"/>
        <w:jc w:val="righ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日期:    年   月   日</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16"/>
        <w:spacing w:line="300" w:lineRule="exact"/>
        <w:outlineLvl w:val="0"/>
        <w:rPr>
          <w:color w:val="000000" w:themeColor="text1"/>
          <w:highlight w:val="none"/>
          <w14:textFill>
            <w14:solidFill>
              <w14:schemeClr w14:val="tx1"/>
            </w14:solidFill>
          </w14:textFill>
        </w:rPr>
      </w:pPr>
      <w:bookmarkStart w:id="49" w:name="_Toc141279399"/>
      <w:bookmarkStart w:id="50" w:name="_Toc119595837"/>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49"/>
      <w:bookmarkEnd w:id="50"/>
    </w:p>
    <w:p>
      <w:pPr>
        <w:pStyle w:val="17"/>
        <w:ind w:left="3360"/>
        <w:rPr>
          <w:color w:val="000000" w:themeColor="text1"/>
          <w:highlight w:val="none"/>
          <w14:textFill>
            <w14:solidFill>
              <w14:schemeClr w14:val="tx1"/>
            </w14:solidFill>
          </w14:textFill>
        </w:rPr>
      </w:pPr>
    </w:p>
    <w:p>
      <w:pPr>
        <w:spacing w:line="360" w:lineRule="auto"/>
        <w:ind w:firstLine="562" w:firstLineChars="200"/>
        <w:rPr>
          <w:color w:val="000000" w:themeColor="text1"/>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一、技术参数：</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1063"/>
        <w:gridCol w:w="3500"/>
        <w:gridCol w:w="73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1" w:type="dxa"/>
            <w:tcBorders>
              <w:bottom w:val="single" w:color="auto" w:sz="4" w:space="0"/>
            </w:tcBorders>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商品名称</w:t>
            </w:r>
          </w:p>
        </w:tc>
        <w:tc>
          <w:tcPr>
            <w:tcW w:w="1063" w:type="dxa"/>
            <w:tcBorders>
              <w:bottom w:val="single" w:color="auto" w:sz="4" w:space="0"/>
            </w:tcBorders>
          </w:tcPr>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型号</w:t>
            </w:r>
          </w:p>
        </w:tc>
        <w:tc>
          <w:tcPr>
            <w:tcW w:w="3500" w:type="dxa"/>
            <w:tcBorders>
              <w:bottom w:val="single" w:color="auto" w:sz="4" w:space="0"/>
            </w:tcBorders>
          </w:tcPr>
          <w:p>
            <w:pPr>
              <w:ind w:firstLine="482" w:firstLineChars="200"/>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详细配置</w:t>
            </w:r>
          </w:p>
        </w:tc>
        <w:tc>
          <w:tcPr>
            <w:tcW w:w="737" w:type="dxa"/>
          </w:tcPr>
          <w:p>
            <w:pPr>
              <w:jc w:val="both"/>
              <w:rPr>
                <w:rFonts w:hint="eastAsia" w:eastAsia="宋体"/>
                <w:b/>
                <w:color w:val="000000" w:themeColor="text1"/>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单位</w:t>
            </w:r>
          </w:p>
        </w:tc>
        <w:tc>
          <w:tcPr>
            <w:tcW w:w="813" w:type="dxa"/>
          </w:tcPr>
          <w:p>
            <w:pPr>
              <w:jc w:val="both"/>
              <w:rPr>
                <w:rFonts w:hint="eastAsia" w:eastAsia="宋体"/>
                <w:b/>
                <w:color w:val="000000" w:themeColor="text1"/>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8234" w:type="dxa"/>
            <w:gridSpan w:val="3"/>
            <w:tcBorders>
              <w:top w:val="single" w:color="auto" w:sz="4" w:space="0"/>
              <w:left w:val="single" w:color="auto" w:sz="4" w:space="0"/>
              <w:bottom w:val="single" w:color="auto" w:sz="4" w:space="0"/>
              <w:right w:val="single" w:color="auto" w:sz="4" w:space="0"/>
            </w:tcBorders>
          </w:tcPr>
          <w:p>
            <w:pPr>
              <w:ind w:firstLine="420" w:firstLineChars="200"/>
              <w:jc w:val="center"/>
              <w:rPr>
                <w:rFonts w:hint="eastAsia"/>
                <w:b/>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1" locked="0" layoutInCell="1" allowOverlap="1">
                  <wp:simplePos x="0" y="0"/>
                  <wp:positionH relativeFrom="column">
                    <wp:posOffset>-83820</wp:posOffset>
                  </wp:positionH>
                  <wp:positionV relativeFrom="paragraph">
                    <wp:posOffset>12065</wp:posOffset>
                  </wp:positionV>
                  <wp:extent cx="5256530" cy="2028825"/>
                  <wp:effectExtent l="0" t="0" r="0" b="9525"/>
                  <wp:wrapTight wrapText="bothSides">
                    <wp:wrapPolygon>
                      <wp:start x="0" y="0"/>
                      <wp:lineTo x="0" y="21499"/>
                      <wp:lineTo x="21527" y="21499"/>
                      <wp:lineTo x="2152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56530" cy="2028825"/>
                          </a:xfrm>
                          <a:prstGeom prst="rect">
                            <a:avLst/>
                          </a:prstGeom>
                        </pic:spPr>
                      </pic:pic>
                    </a:graphicData>
                  </a:graphic>
                </wp:anchor>
              </w:drawing>
            </w:r>
          </w:p>
        </w:tc>
        <w:tc>
          <w:tcPr>
            <w:tcW w:w="737" w:type="dxa"/>
            <w:tcBorders>
              <w:left w:val="single" w:color="auto" w:sz="4" w:space="0"/>
            </w:tcBorders>
          </w:tcPr>
          <w:p>
            <w:pPr>
              <w:jc w:val="both"/>
              <w:rPr>
                <w:rFonts w:hint="eastAsia"/>
                <w:b/>
                <w:color w:val="000000" w:themeColor="text1"/>
                <w:sz w:val="24"/>
                <w:highlight w:val="none"/>
                <w:lang w:val="en-US" w:eastAsia="zh-CN"/>
                <w14:textFill>
                  <w14:solidFill>
                    <w14:schemeClr w14:val="tx1"/>
                  </w14:solidFill>
                </w14:textFill>
              </w:rPr>
            </w:pPr>
          </w:p>
          <w:p>
            <w:pPr>
              <w:jc w:val="both"/>
              <w:rPr>
                <w:rFonts w:hint="eastAsia"/>
                <w:b/>
                <w:color w:val="000000" w:themeColor="text1"/>
                <w:sz w:val="24"/>
                <w:highlight w:val="none"/>
                <w:lang w:val="en-US" w:eastAsia="zh-CN"/>
                <w14:textFill>
                  <w14:solidFill>
                    <w14:schemeClr w14:val="tx1"/>
                  </w14:solidFill>
                </w14:textFill>
              </w:rPr>
            </w:pPr>
          </w:p>
          <w:p>
            <w:pPr>
              <w:jc w:val="both"/>
              <w:rPr>
                <w:rFonts w:hint="eastAsia"/>
                <w:b/>
                <w:color w:val="000000" w:themeColor="text1"/>
                <w:sz w:val="24"/>
                <w:highlight w:val="none"/>
                <w:lang w:val="en-US" w:eastAsia="zh-CN"/>
                <w14:textFill>
                  <w14:solidFill>
                    <w14:schemeClr w14:val="tx1"/>
                  </w14:solidFill>
                </w14:textFill>
              </w:rPr>
            </w:pPr>
          </w:p>
          <w:p>
            <w:pPr>
              <w:jc w:val="both"/>
              <w:rPr>
                <w:rFonts w:hint="eastAsia"/>
                <w:b/>
                <w:color w:val="000000" w:themeColor="text1"/>
                <w:sz w:val="24"/>
                <w:highlight w:val="none"/>
                <w:lang w:val="en-US" w:eastAsia="zh-CN"/>
                <w14:textFill>
                  <w14:solidFill>
                    <w14:schemeClr w14:val="tx1"/>
                  </w14:solidFill>
                </w14:textFill>
              </w:rPr>
            </w:pPr>
          </w:p>
          <w:p>
            <w:pPr>
              <w:jc w:val="both"/>
              <w:rPr>
                <w:rFonts w:hint="eastAsia"/>
                <w:b/>
                <w:color w:val="000000" w:themeColor="text1"/>
                <w:sz w:val="24"/>
                <w:highlight w:val="none"/>
                <w:lang w:val="en-US" w:eastAsia="zh-CN"/>
                <w14:textFill>
                  <w14:solidFill>
                    <w14:schemeClr w14:val="tx1"/>
                  </w14:solidFill>
                </w14:textFill>
              </w:rPr>
            </w:pPr>
          </w:p>
          <w:p>
            <w:pPr>
              <w:jc w:val="both"/>
              <w:rPr>
                <w:rFonts w:hint="eastAsia"/>
                <w:b/>
                <w:color w:val="000000" w:themeColor="text1"/>
                <w:sz w:val="24"/>
                <w:highlight w:val="none"/>
                <w:lang w:val="en-US" w:eastAsia="zh-CN"/>
                <w14:textFill>
                  <w14:solidFill>
                    <w14:schemeClr w14:val="tx1"/>
                  </w14:solidFill>
                </w14:textFill>
              </w:rPr>
            </w:pPr>
          </w:p>
          <w:p>
            <w:pPr>
              <w:jc w:val="center"/>
              <w:rPr>
                <w:rFonts w:hint="default"/>
                <w:b/>
                <w:color w:val="000000" w:themeColor="text1"/>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台</w:t>
            </w:r>
          </w:p>
        </w:tc>
        <w:tc>
          <w:tcPr>
            <w:tcW w:w="813" w:type="dxa"/>
          </w:tcPr>
          <w:p>
            <w:pPr>
              <w:jc w:val="center"/>
              <w:rPr>
                <w:rFonts w:hint="eastAsia"/>
                <w:b/>
                <w:color w:val="000000" w:themeColor="text1"/>
                <w:sz w:val="24"/>
                <w:highlight w:val="none"/>
                <w:lang w:val="en-US" w:eastAsia="zh-CN"/>
                <w14:textFill>
                  <w14:solidFill>
                    <w14:schemeClr w14:val="tx1"/>
                  </w14:solidFill>
                </w14:textFill>
              </w:rPr>
            </w:pPr>
          </w:p>
          <w:p>
            <w:pPr>
              <w:jc w:val="center"/>
              <w:rPr>
                <w:rFonts w:hint="eastAsia"/>
                <w:b/>
                <w:color w:val="000000" w:themeColor="text1"/>
                <w:sz w:val="24"/>
                <w:highlight w:val="none"/>
                <w:lang w:val="en-US" w:eastAsia="zh-CN"/>
                <w14:textFill>
                  <w14:solidFill>
                    <w14:schemeClr w14:val="tx1"/>
                  </w14:solidFill>
                </w14:textFill>
              </w:rPr>
            </w:pPr>
          </w:p>
          <w:p>
            <w:pPr>
              <w:jc w:val="center"/>
              <w:rPr>
                <w:rFonts w:hint="eastAsia"/>
                <w:b/>
                <w:color w:val="000000" w:themeColor="text1"/>
                <w:sz w:val="24"/>
                <w:highlight w:val="none"/>
                <w:lang w:val="en-US" w:eastAsia="zh-CN"/>
                <w14:textFill>
                  <w14:solidFill>
                    <w14:schemeClr w14:val="tx1"/>
                  </w14:solidFill>
                </w14:textFill>
              </w:rPr>
            </w:pPr>
          </w:p>
          <w:p>
            <w:pPr>
              <w:jc w:val="center"/>
              <w:rPr>
                <w:rFonts w:hint="eastAsia"/>
                <w:b/>
                <w:color w:val="000000" w:themeColor="text1"/>
                <w:sz w:val="24"/>
                <w:highlight w:val="none"/>
                <w:lang w:val="en-US" w:eastAsia="zh-CN"/>
                <w14:textFill>
                  <w14:solidFill>
                    <w14:schemeClr w14:val="tx1"/>
                  </w14:solidFill>
                </w14:textFill>
              </w:rPr>
            </w:pPr>
          </w:p>
          <w:p>
            <w:pPr>
              <w:jc w:val="center"/>
              <w:rPr>
                <w:rFonts w:hint="eastAsia"/>
                <w:b/>
                <w:color w:val="000000" w:themeColor="text1"/>
                <w:sz w:val="24"/>
                <w:highlight w:val="none"/>
                <w:lang w:val="en-US" w:eastAsia="zh-CN"/>
                <w14:textFill>
                  <w14:solidFill>
                    <w14:schemeClr w14:val="tx1"/>
                  </w14:solidFill>
                </w14:textFill>
              </w:rPr>
            </w:pPr>
          </w:p>
          <w:p>
            <w:pPr>
              <w:jc w:val="center"/>
              <w:rPr>
                <w:rFonts w:hint="eastAsia"/>
                <w:b/>
                <w:color w:val="000000" w:themeColor="text1"/>
                <w:sz w:val="24"/>
                <w:highlight w:val="none"/>
                <w:lang w:val="en-US" w:eastAsia="zh-CN"/>
                <w14:textFill>
                  <w14:solidFill>
                    <w14:schemeClr w14:val="tx1"/>
                  </w14:solidFill>
                </w14:textFill>
              </w:rPr>
            </w:pPr>
          </w:p>
          <w:p>
            <w:pPr>
              <w:jc w:val="center"/>
              <w:rPr>
                <w:rFonts w:hint="default"/>
                <w:b/>
                <w:color w:val="000000" w:themeColor="text1"/>
                <w:sz w:val="24"/>
                <w:highlight w:val="none"/>
                <w:lang w:val="en-US" w:eastAsia="zh-CN"/>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26</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二、商务条款</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1、交货期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合同签订后15个日历日内完成供货、安装、调试直至正常使用并具备验收条件。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2、交货地点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江苏医药职业学院指定地点。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3、质量和服务要求：</w:t>
      </w:r>
      <w:bookmarkStart w:id="56" w:name="_GoBack"/>
      <w:bookmarkEnd w:id="56"/>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asciiTheme="minorEastAsia" w:hAnsiTheme="minorEastAsia" w:eastAsiaTheme="minorEastAsia" w:cstheme="minorEastAsia"/>
          <w:color w:val="000000" w:themeColor="text1"/>
          <w:sz w:val="28"/>
          <w:szCs w:val="28"/>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本次采购为货物供货、运输、保险、装卸、安装调试及技术、验收（含第三方验收）、培训、售后服务、税费等的全部费用，即“交钥匙工程”。</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asciiTheme="minorEastAsia" w:hAnsiTheme="minorEastAsia" w:eastAsiaTheme="minorEastAsia" w:cstheme="minorEastAsia"/>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校方提出的货物数量变更，经双方同意，可以签订补充协议。</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4．货物供应</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所有货物均须有合格证、质保书等相关技术资料。如发现不合格的货物，由乙方承担全部的经济损失和责任。</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5.产品包装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5.1为了保证设备在长途运输和装卸过程中的安全，产品包装应符合国家或专业（部）标准规定。由于包装不善导致设备锈蚀、失缺或损坏，由中标方承担一切责任。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5.2每一包装箱内必须附有装箱清单。</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6．产品资料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档案资料，包括：设备的数量、型号、规格，设备生产厂家的产品检测证书，出厂检验报告，合格证书，产品说明书等有关资料。如发现不合格的设备材料，由中标方承担全部的经济损失的责任。设备开箱后的全部随机资料所有权归校方所有，开箱验收后由校方保管。</w:t>
      </w:r>
    </w:p>
    <w:p>
      <w:pPr>
        <w:keepNext w:val="0"/>
        <w:keepLines w:val="0"/>
        <w:pageBreakBefore w:val="0"/>
        <w:widowControl w:val="0"/>
        <w:tabs>
          <w:tab w:val="left" w:pos="8505"/>
        </w:tabs>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7.验收、调试及人员培训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7.1 验收：到货后，中标方应向校方移交所供货物（设备）完整的使用说明书、合格证及相关资料。中标方将工作完成后，由校方组织进行验收，如果中标方提供的货物与合同不符，校方有权拒绝接收，由此产生的一切费用由中标方承担。验收程序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7.1.1 到货验收。到货后，检查仪器设备内外包装是否完好，有无破损、碰伤、浸湿、受潮、变形等情况。确认所验收货物件数与运输单据填写的件数一致。如发现上述问题，应做详细记录，并拍照留据。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7.1.2 开箱（实物及数量参数）验收。到货后开箱检查仪器设备及附件外表有无残损、锈蚀、碰伤等，检查随机资料是否齐全，如仪器说明书、操作规程、检修手册、产品检验合格证书等。以装箱单为依据，逐件核对检查主机、附件的规格、型号、配置及数量。以供货合同为依据与装箱单进行核对，做好货物（设备）验收清单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7.1.3 质量验收。合同履约达到验收条件时，中标方向校方书面发起验收申请，校方收到中标方验收申请后启动项目验收。按照合同条款、货物（设备）使用说明书及操作手册的规定和程序进行安装、调试后进行质量验收，中标方技术人员参加，必要时可委托有资质的第三方(或政府主管部门)进行验收，所需费用由中标方承担。验收时对照货物（设备）使用说明书，进行各种技术参数测试，检查仪器的技术指标和性能是否达到要求，做好质量验收记录，验收结束出具验收报告。若仪器出现质量问题，应将详细情况书面通知供应商。自正式验收合格并交付给校方之日起计算质保期。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7.2 调试：中标方负责对货物（设备）免费进行安装调试，并使其投入正常运行。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7.3 人员培训：中标方免费对校方人员进行必要的业务及服务培训，使其达到正确掌握设备使用要求。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8.质保期与保修期：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采购清单中的提供设备质保期同该设备国家规定使用年限或设计使用寿命。约定质保期限为原厂3年质保及3年免费上门服务，保修期的期限以方的验收合格之日起计算。其中，在该设备保修期内免费更换零配件及工时费。报修响应时间1小时，到达时间24小时（不可抗力下除外）。保修期满后，中标方仍应遵守本合同各条相应的服务约定(保修期满后中标方提供本产品的终身维修，且只收取材料费，其余一切费用均由中标方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中标方未及时履行保修义务的，每发生一次，中标方应向校方支付违约金10000元。校方因中标方违约而委托第三方进行维修所产生的相应维修费用，中标方同意校方从余款中直接扣除，超过余款数额的，校方有权要求中标方另行支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1" w:name="_Toc141279400"/>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2"/>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51"/>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52"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17"/>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17"/>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17"/>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17"/>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3"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52"/>
      <w:bookmarkEnd w:id="53"/>
    </w:p>
    <w:p>
      <w:pPr>
        <w:jc w:val="center"/>
        <w:rPr>
          <w:rFonts w:ascii="宋体" w:hAnsi="宋体"/>
          <w:b/>
          <w:bCs/>
          <w:color w:val="000000" w:themeColor="text1"/>
          <w:sz w:val="44"/>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17"/>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17"/>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4"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54"/>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17"/>
        <w:ind w:left="3360"/>
        <w:rPr>
          <w:color w:val="000000" w:themeColor="text1"/>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（被授权人的姓名）为我方就SY2023-077-HW-XJ号项目采购活动的合法代理人，以本公司名义全权处理一切与该项目采购有关的事务。</w:t>
      </w: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480" w:lineRule="auto"/>
        <w:ind w:firstLine="0" w:firstLineChars="0"/>
        <w:rPr>
          <w:color w:val="000000" w:themeColor="text1"/>
          <w:sz w:val="24"/>
          <w:szCs w:val="24"/>
          <w:highlight w:val="none"/>
          <w14:textFill>
            <w14:solidFill>
              <w14:schemeClr w14:val="tx1"/>
            </w14:solidFill>
          </w14:textFill>
        </w:rPr>
      </w:pPr>
    </w:p>
    <w:p>
      <w:pPr>
        <w:pStyle w:val="47"/>
        <w:spacing w:line="480" w:lineRule="auto"/>
        <w:ind w:firstLine="1200" w:firstLineChars="500"/>
        <w:rPr>
          <w:color w:val="000000" w:themeColor="text1"/>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w:t>
      </w:r>
      <w:r>
        <w:rPr>
          <w:color w:val="000000" w:themeColor="text1"/>
          <w:sz w:val="24"/>
          <w:szCs w:val="24"/>
          <w:highlight w:val="none"/>
          <w:u w:val="single"/>
          <w14:textFill>
            <w14:solidFill>
              <w14:schemeClr w14:val="tx1"/>
            </w14:solidFill>
          </w14:textFill>
        </w:rPr>
        <w:t>___</w:t>
      </w:r>
      <w:r>
        <w:rPr>
          <w:rFonts w:hint="eastAsia"/>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u w:val="single"/>
          <w14:textFill>
            <w14:solidFill>
              <w14:schemeClr w14:val="tx1"/>
            </w14:solidFill>
          </w14:textFill>
        </w:rPr>
        <w:t>_</w:t>
      </w: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480" w:lineRule="auto"/>
        <w:ind w:firstLine="480"/>
        <w:rPr>
          <w:color w:val="000000" w:themeColor="text1"/>
          <w:sz w:val="24"/>
          <w:szCs w:val="24"/>
          <w:highlight w:val="none"/>
          <w14:textFill>
            <w14:solidFill>
              <w14:schemeClr w14:val="tx1"/>
            </w14:solidFill>
          </w14:textFill>
        </w:rPr>
      </w:pP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7"/>
        <w:spacing w:line="48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48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7"/>
        <w:spacing w:line="48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highlight w:val="none"/>
          <w14:textFill>
            <w14:solidFill>
              <w14:schemeClr w14:val="tx1"/>
            </w14:solidFill>
          </w14:textFill>
        </w:rPr>
        <w:sectPr>
          <w:pgSz w:w="11906" w:h="16838"/>
          <w:pgMar w:top="1134" w:right="1134" w:bottom="1134" w:left="1134" w:header="851" w:footer="992" w:gutter="0"/>
          <w:cols w:space="425" w:num="1"/>
          <w:titlePg/>
          <w:docGrid w:linePitch="312" w:charSpace="0"/>
        </w:sectPr>
      </w:pPr>
    </w:p>
    <w:p>
      <w:pPr>
        <w:pStyle w:val="3"/>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bookmarkStart w:id="55" w:name="_Toc141279403"/>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附件3：投标报价表</w:t>
      </w:r>
      <w:bookmarkEnd w:id="55"/>
    </w:p>
    <w:p>
      <w:pPr>
        <w:snapToGrid w:val="0"/>
        <w:spacing w:line="360" w:lineRule="auto"/>
        <w:ind w:right="-351" w:rightChars="-167"/>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                           </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 xml:space="preserve"> 投</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标</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报</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价 表</w:t>
      </w:r>
    </w:p>
    <w:tbl>
      <w:tblPr>
        <w:tblStyle w:val="2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378"/>
        <w:gridCol w:w="480"/>
        <w:gridCol w:w="644"/>
        <w:gridCol w:w="1593"/>
        <w:gridCol w:w="2280"/>
        <w:gridCol w:w="2250"/>
        <w:gridCol w:w="735"/>
        <w:gridCol w:w="1125"/>
        <w:gridCol w:w="1140"/>
        <w:gridCol w:w="990"/>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038"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p>
        </w:tc>
        <w:tc>
          <w:tcPr>
            <w:tcW w:w="4997"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2023年教师笔记本电脑框架协议采购项目</w:t>
            </w:r>
          </w:p>
        </w:tc>
        <w:tc>
          <w:tcPr>
            <w:tcW w:w="298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项目编号：</w:t>
            </w:r>
          </w:p>
        </w:tc>
        <w:tc>
          <w:tcPr>
            <w:tcW w:w="4154"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SY2023-077-HW-XJ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6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502" w:type="dxa"/>
            <w:gridSpan w:val="3"/>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93"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规格型号</w:t>
            </w:r>
          </w:p>
        </w:tc>
        <w:tc>
          <w:tcPr>
            <w:tcW w:w="228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生产厂商</w:t>
            </w:r>
          </w:p>
        </w:tc>
        <w:tc>
          <w:tcPr>
            <w:tcW w:w="225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产地</w:t>
            </w:r>
          </w:p>
        </w:tc>
        <w:tc>
          <w:tcPr>
            <w:tcW w:w="73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112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114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99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质保期</w:t>
            </w:r>
          </w:p>
        </w:tc>
        <w:tc>
          <w:tcPr>
            <w:tcW w:w="899"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4174" w:type="dxa"/>
            <w:gridSpan w:val="12"/>
            <w:vAlign w:val="center"/>
          </w:tcPr>
          <w:p>
            <w:pPr>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       计（大写）：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投标人名称：（公章）</w:t>
            </w:r>
          </w:p>
        </w:tc>
        <w:tc>
          <w:tcPr>
            <w:tcW w:w="2237"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228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被授权人（签名）：</w:t>
            </w:r>
          </w:p>
        </w:tc>
        <w:tc>
          <w:tcPr>
            <w:tcW w:w="4110"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114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日期：</w:t>
            </w:r>
          </w:p>
        </w:tc>
        <w:tc>
          <w:tcPr>
            <w:tcW w:w="1889"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r>
    </w:tbl>
    <w:p>
      <w:pPr>
        <w:spacing w:line="360" w:lineRule="auto"/>
        <w:rPr>
          <w:rFonts w:ascii="宋体"/>
          <w:color w:val="000000" w:themeColor="text1"/>
          <w:sz w:val="24"/>
          <w:highlight w:val="none"/>
          <w14:textFill>
            <w14:solidFill>
              <w14:schemeClr w14:val="tx1"/>
            </w14:solidFill>
          </w14:textFill>
        </w:rPr>
      </w:pPr>
    </w:p>
    <w:sectPr>
      <w:headerReference r:id="rId4" w:type="default"/>
      <w:footerReference r:id="rId6" w:type="default"/>
      <w:headerReference r:id="rId5" w:type="even"/>
      <w:pgSz w:w="16838" w:h="11906" w:orient="landscape"/>
      <w:pgMar w:top="1440" w:right="1644"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decorative"/>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24</w:t>
    </w:r>
    <w:r>
      <w:rPr>
        <w:rStyle w:val="26"/>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25</w:t>
    </w:r>
    <w:r>
      <w:rPr>
        <w:rStyle w:val="26"/>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2E72"/>
    <w:rsid w:val="00003395"/>
    <w:rsid w:val="0000418C"/>
    <w:rsid w:val="00004DBF"/>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60724"/>
    <w:rsid w:val="0006183A"/>
    <w:rsid w:val="000628A3"/>
    <w:rsid w:val="0006460E"/>
    <w:rsid w:val="00066248"/>
    <w:rsid w:val="00066555"/>
    <w:rsid w:val="0006658A"/>
    <w:rsid w:val="0007344D"/>
    <w:rsid w:val="000746B1"/>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2381"/>
    <w:rsid w:val="003E3064"/>
    <w:rsid w:val="003E42FD"/>
    <w:rsid w:val="003E4D8A"/>
    <w:rsid w:val="003E656A"/>
    <w:rsid w:val="003E7BAA"/>
    <w:rsid w:val="003F389A"/>
    <w:rsid w:val="003F4564"/>
    <w:rsid w:val="003F6371"/>
    <w:rsid w:val="003F692F"/>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439A"/>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1722"/>
    <w:rsid w:val="005A2A1F"/>
    <w:rsid w:val="005A48EC"/>
    <w:rsid w:val="005A7E1C"/>
    <w:rsid w:val="005B1014"/>
    <w:rsid w:val="005B10A4"/>
    <w:rsid w:val="005B226C"/>
    <w:rsid w:val="005B267E"/>
    <w:rsid w:val="005B5C39"/>
    <w:rsid w:val="005B5F7E"/>
    <w:rsid w:val="005B65DA"/>
    <w:rsid w:val="005B785B"/>
    <w:rsid w:val="005C15F4"/>
    <w:rsid w:val="005C1B53"/>
    <w:rsid w:val="005C3400"/>
    <w:rsid w:val="005C5228"/>
    <w:rsid w:val="005C5487"/>
    <w:rsid w:val="005C7DA2"/>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8788A"/>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E7"/>
    <w:rsid w:val="006B5518"/>
    <w:rsid w:val="006B5F06"/>
    <w:rsid w:val="006B6D8A"/>
    <w:rsid w:val="006B7049"/>
    <w:rsid w:val="006B7F75"/>
    <w:rsid w:val="006C090D"/>
    <w:rsid w:val="006C0B28"/>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D1E"/>
    <w:rsid w:val="007361D5"/>
    <w:rsid w:val="0073706D"/>
    <w:rsid w:val="00743B9C"/>
    <w:rsid w:val="00745542"/>
    <w:rsid w:val="0074604C"/>
    <w:rsid w:val="00750C73"/>
    <w:rsid w:val="00753700"/>
    <w:rsid w:val="00754DD8"/>
    <w:rsid w:val="007601BD"/>
    <w:rsid w:val="007622E3"/>
    <w:rsid w:val="0076316B"/>
    <w:rsid w:val="00764C4D"/>
    <w:rsid w:val="00765F40"/>
    <w:rsid w:val="00773E47"/>
    <w:rsid w:val="007741D0"/>
    <w:rsid w:val="00775DEB"/>
    <w:rsid w:val="007773FB"/>
    <w:rsid w:val="007810CE"/>
    <w:rsid w:val="00781303"/>
    <w:rsid w:val="007834A5"/>
    <w:rsid w:val="00784936"/>
    <w:rsid w:val="00791F84"/>
    <w:rsid w:val="007950C2"/>
    <w:rsid w:val="007951A6"/>
    <w:rsid w:val="007956AF"/>
    <w:rsid w:val="00795FE2"/>
    <w:rsid w:val="007963EF"/>
    <w:rsid w:val="007A08C6"/>
    <w:rsid w:val="007A117A"/>
    <w:rsid w:val="007A1D0D"/>
    <w:rsid w:val="007A28E4"/>
    <w:rsid w:val="007A36E5"/>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34F3"/>
    <w:rsid w:val="007D4700"/>
    <w:rsid w:val="007D59AB"/>
    <w:rsid w:val="007D5E38"/>
    <w:rsid w:val="007E5F01"/>
    <w:rsid w:val="007E68BC"/>
    <w:rsid w:val="007E76E8"/>
    <w:rsid w:val="007F219B"/>
    <w:rsid w:val="007F3A8C"/>
    <w:rsid w:val="007F5248"/>
    <w:rsid w:val="008025AB"/>
    <w:rsid w:val="00802C00"/>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12D3"/>
    <w:rsid w:val="008929AB"/>
    <w:rsid w:val="00893B2D"/>
    <w:rsid w:val="008940E8"/>
    <w:rsid w:val="00896E5D"/>
    <w:rsid w:val="008A0476"/>
    <w:rsid w:val="008A1E78"/>
    <w:rsid w:val="008A1FBA"/>
    <w:rsid w:val="008A2E72"/>
    <w:rsid w:val="008A4E6A"/>
    <w:rsid w:val="008B16A9"/>
    <w:rsid w:val="008B4557"/>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F1F1D"/>
    <w:rsid w:val="008F24D0"/>
    <w:rsid w:val="008F2D95"/>
    <w:rsid w:val="008F304E"/>
    <w:rsid w:val="008F4A55"/>
    <w:rsid w:val="008F6B54"/>
    <w:rsid w:val="008F7BC2"/>
    <w:rsid w:val="009005E7"/>
    <w:rsid w:val="00900EDE"/>
    <w:rsid w:val="0090172E"/>
    <w:rsid w:val="00902DA8"/>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50B39"/>
    <w:rsid w:val="00953455"/>
    <w:rsid w:val="009572F0"/>
    <w:rsid w:val="00957BCA"/>
    <w:rsid w:val="00962509"/>
    <w:rsid w:val="00963C2E"/>
    <w:rsid w:val="00965D5C"/>
    <w:rsid w:val="00966ED5"/>
    <w:rsid w:val="0096735A"/>
    <w:rsid w:val="00967C7B"/>
    <w:rsid w:val="00971223"/>
    <w:rsid w:val="009723EA"/>
    <w:rsid w:val="00972BC6"/>
    <w:rsid w:val="00974BDF"/>
    <w:rsid w:val="0097578C"/>
    <w:rsid w:val="009757AE"/>
    <w:rsid w:val="00975C3A"/>
    <w:rsid w:val="0097723D"/>
    <w:rsid w:val="0098049C"/>
    <w:rsid w:val="00982498"/>
    <w:rsid w:val="00982B65"/>
    <w:rsid w:val="00983473"/>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36F6"/>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0C8"/>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9702B"/>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0E7A"/>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811"/>
    <w:rsid w:val="00C55CB1"/>
    <w:rsid w:val="00C56731"/>
    <w:rsid w:val="00C570B7"/>
    <w:rsid w:val="00C57F0E"/>
    <w:rsid w:val="00C602FF"/>
    <w:rsid w:val="00C60397"/>
    <w:rsid w:val="00C605A7"/>
    <w:rsid w:val="00C61790"/>
    <w:rsid w:val="00C65FA5"/>
    <w:rsid w:val="00C67D35"/>
    <w:rsid w:val="00C72FD6"/>
    <w:rsid w:val="00C745F8"/>
    <w:rsid w:val="00C746FA"/>
    <w:rsid w:val="00C77BAF"/>
    <w:rsid w:val="00C8053F"/>
    <w:rsid w:val="00C82D5A"/>
    <w:rsid w:val="00C8464D"/>
    <w:rsid w:val="00C84688"/>
    <w:rsid w:val="00C85D16"/>
    <w:rsid w:val="00C90B8E"/>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87B82"/>
    <w:rsid w:val="00D903AA"/>
    <w:rsid w:val="00D904E7"/>
    <w:rsid w:val="00D90C26"/>
    <w:rsid w:val="00D91009"/>
    <w:rsid w:val="00D913CE"/>
    <w:rsid w:val="00D928F9"/>
    <w:rsid w:val="00D92970"/>
    <w:rsid w:val="00D94059"/>
    <w:rsid w:val="00D94D3E"/>
    <w:rsid w:val="00D95491"/>
    <w:rsid w:val="00D971CA"/>
    <w:rsid w:val="00D9734D"/>
    <w:rsid w:val="00DA0755"/>
    <w:rsid w:val="00DA1C94"/>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D234C"/>
    <w:rsid w:val="00DD2610"/>
    <w:rsid w:val="00DD4FB2"/>
    <w:rsid w:val="00DD5866"/>
    <w:rsid w:val="00DD5E3F"/>
    <w:rsid w:val="00DD6A0D"/>
    <w:rsid w:val="00DD7896"/>
    <w:rsid w:val="00DD7E79"/>
    <w:rsid w:val="00DE1283"/>
    <w:rsid w:val="00DE3B24"/>
    <w:rsid w:val="00DE408F"/>
    <w:rsid w:val="00DE5D0C"/>
    <w:rsid w:val="00DE74EF"/>
    <w:rsid w:val="00DE765E"/>
    <w:rsid w:val="00DE7FFA"/>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3B6"/>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2FD"/>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114"/>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8C45664"/>
    <w:rsid w:val="090866F7"/>
    <w:rsid w:val="09B340CA"/>
    <w:rsid w:val="09EE0F32"/>
    <w:rsid w:val="10875725"/>
    <w:rsid w:val="10CC0B76"/>
    <w:rsid w:val="12164EFF"/>
    <w:rsid w:val="13496919"/>
    <w:rsid w:val="1448131A"/>
    <w:rsid w:val="15F07C4A"/>
    <w:rsid w:val="16184154"/>
    <w:rsid w:val="16205ADD"/>
    <w:rsid w:val="16674B9F"/>
    <w:rsid w:val="16AC5798"/>
    <w:rsid w:val="17956C4B"/>
    <w:rsid w:val="17AF075C"/>
    <w:rsid w:val="183C2E02"/>
    <w:rsid w:val="1A5D0477"/>
    <w:rsid w:val="1A89555F"/>
    <w:rsid w:val="1A9A2AF8"/>
    <w:rsid w:val="1CA978FF"/>
    <w:rsid w:val="1D607CAB"/>
    <w:rsid w:val="1F8C5E4C"/>
    <w:rsid w:val="1FA20B74"/>
    <w:rsid w:val="2025037D"/>
    <w:rsid w:val="20436F19"/>
    <w:rsid w:val="211C2281"/>
    <w:rsid w:val="212F509A"/>
    <w:rsid w:val="220926BF"/>
    <w:rsid w:val="226E7DF5"/>
    <w:rsid w:val="22A95594"/>
    <w:rsid w:val="22B479FE"/>
    <w:rsid w:val="22F807F1"/>
    <w:rsid w:val="276B1A67"/>
    <w:rsid w:val="28596F95"/>
    <w:rsid w:val="293D064A"/>
    <w:rsid w:val="29E559AF"/>
    <w:rsid w:val="2C425E38"/>
    <w:rsid w:val="2CB060E6"/>
    <w:rsid w:val="2CDE7872"/>
    <w:rsid w:val="2D665D1E"/>
    <w:rsid w:val="2E4076F6"/>
    <w:rsid w:val="2F14770F"/>
    <w:rsid w:val="2F762DA3"/>
    <w:rsid w:val="2F8D1F5F"/>
    <w:rsid w:val="30F80FFA"/>
    <w:rsid w:val="33557A54"/>
    <w:rsid w:val="346C0227"/>
    <w:rsid w:val="36BD182A"/>
    <w:rsid w:val="370E77BD"/>
    <w:rsid w:val="37450ADB"/>
    <w:rsid w:val="379C49B7"/>
    <w:rsid w:val="39EE48F0"/>
    <w:rsid w:val="3ACD2F39"/>
    <w:rsid w:val="3BA71F91"/>
    <w:rsid w:val="3C4E6FFE"/>
    <w:rsid w:val="3D2B1E37"/>
    <w:rsid w:val="3D727D5E"/>
    <w:rsid w:val="3EE35DE2"/>
    <w:rsid w:val="4136175B"/>
    <w:rsid w:val="413D7519"/>
    <w:rsid w:val="4163240A"/>
    <w:rsid w:val="41A45839"/>
    <w:rsid w:val="421E0B0E"/>
    <w:rsid w:val="42460F98"/>
    <w:rsid w:val="42620BB8"/>
    <w:rsid w:val="42BC53BA"/>
    <w:rsid w:val="45CE0650"/>
    <w:rsid w:val="48750319"/>
    <w:rsid w:val="488D30A3"/>
    <w:rsid w:val="48B14E25"/>
    <w:rsid w:val="48C40477"/>
    <w:rsid w:val="48E82019"/>
    <w:rsid w:val="49A63AD4"/>
    <w:rsid w:val="4BB61967"/>
    <w:rsid w:val="4BF321D3"/>
    <w:rsid w:val="4D33552B"/>
    <w:rsid w:val="4D535476"/>
    <w:rsid w:val="522607F8"/>
    <w:rsid w:val="533943CC"/>
    <w:rsid w:val="54904838"/>
    <w:rsid w:val="5518566C"/>
    <w:rsid w:val="566043F0"/>
    <w:rsid w:val="56E10C5F"/>
    <w:rsid w:val="5820251B"/>
    <w:rsid w:val="586728A4"/>
    <w:rsid w:val="5AFB37BF"/>
    <w:rsid w:val="5B6339F0"/>
    <w:rsid w:val="5BAE3E6C"/>
    <w:rsid w:val="5C384E7D"/>
    <w:rsid w:val="5F603D0B"/>
    <w:rsid w:val="5FFC5DFF"/>
    <w:rsid w:val="604575DA"/>
    <w:rsid w:val="61903706"/>
    <w:rsid w:val="62731DFA"/>
    <w:rsid w:val="64B654D9"/>
    <w:rsid w:val="652D4423"/>
    <w:rsid w:val="67411BEA"/>
    <w:rsid w:val="676673EC"/>
    <w:rsid w:val="67CC0B6F"/>
    <w:rsid w:val="690F4654"/>
    <w:rsid w:val="6BE41BEC"/>
    <w:rsid w:val="6C015A54"/>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keepLines/>
      <w:spacing w:line="360" w:lineRule="auto"/>
      <w:jc w:val="center"/>
      <w:outlineLvl w:val="0"/>
    </w:pPr>
    <w:rPr>
      <w:b/>
      <w:bCs/>
      <w:kern w:val="44"/>
      <w:sz w:val="44"/>
      <w:szCs w:val="44"/>
    </w:rPr>
  </w:style>
  <w:style w:type="paragraph" w:styleId="3">
    <w:name w:val="heading 2"/>
    <w:basedOn w:val="1"/>
    <w:next w:val="1"/>
    <w:link w:val="29"/>
    <w:qFormat/>
    <w:locked/>
    <w:uiPriority w:val="99"/>
    <w:pPr>
      <w:keepNext/>
      <w:keepLines/>
      <w:spacing w:beforeLines="50" w:afterLines="50" w:line="360" w:lineRule="auto"/>
      <w:outlineLvl w:val="1"/>
    </w:pPr>
    <w:rPr>
      <w:rFonts w:ascii="Cambria" w:hAnsi="Cambria"/>
      <w:b/>
      <w:sz w:val="24"/>
      <w:szCs w:val="20"/>
    </w:rPr>
  </w:style>
  <w:style w:type="paragraph" w:styleId="4">
    <w:name w:val="heading 3"/>
    <w:basedOn w:val="1"/>
    <w:next w:val="1"/>
    <w:qFormat/>
    <w:uiPriority w:val="99"/>
    <w:pPr>
      <w:keepNext/>
      <w:keepLines/>
      <w:spacing w:before="260" w:after="260" w:line="416" w:lineRule="auto"/>
      <w:outlineLvl w:val="2"/>
    </w:pPr>
    <w:rPr>
      <w:b/>
      <w:kern w:val="0"/>
      <w:sz w:val="32"/>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6"/>
    <w:qFormat/>
    <w:locked/>
    <w:uiPriority w:val="99"/>
    <w:pPr>
      <w:ind w:firstLine="420"/>
    </w:pPr>
    <w:rPr>
      <w:kern w:val="0"/>
      <w:sz w:val="20"/>
      <w:szCs w:val="20"/>
    </w:rPr>
  </w:style>
  <w:style w:type="paragraph" w:styleId="6">
    <w:name w:val="Document Map"/>
    <w:basedOn w:val="1"/>
    <w:link w:val="30"/>
    <w:semiHidden/>
    <w:qFormat/>
    <w:uiPriority w:val="99"/>
    <w:pPr>
      <w:shd w:val="clear" w:color="auto" w:fill="000080"/>
    </w:pPr>
    <w:rPr>
      <w:rFonts w:ascii="Calibri" w:hAnsi="Calibri"/>
      <w:kern w:val="0"/>
      <w:sz w:val="2"/>
      <w:szCs w:val="20"/>
    </w:rPr>
  </w:style>
  <w:style w:type="paragraph" w:styleId="7">
    <w:name w:val="Body Text"/>
    <w:basedOn w:val="1"/>
    <w:link w:val="31"/>
    <w:qFormat/>
    <w:uiPriority w:val="99"/>
    <w:pPr>
      <w:spacing w:after="120"/>
    </w:pPr>
    <w:rPr>
      <w:rFonts w:ascii="Calibri" w:hAnsi="Calibri"/>
      <w:sz w:val="24"/>
      <w:szCs w:val="20"/>
    </w:rPr>
  </w:style>
  <w:style w:type="paragraph" w:styleId="8">
    <w:name w:val="Body Text Indent"/>
    <w:basedOn w:val="1"/>
    <w:next w:val="9"/>
    <w:qFormat/>
    <w:locked/>
    <w:uiPriority w:val="0"/>
    <w:pPr>
      <w:ind w:firstLine="645"/>
    </w:pPr>
    <w:rPr>
      <w:rFonts w:ascii="楷体_GB2312" w:eastAsia="楷体_GB2312"/>
      <w:sz w:val="32"/>
      <w:szCs w:val="32"/>
    </w:rPr>
  </w:style>
  <w:style w:type="paragraph" w:styleId="9">
    <w:name w:val="envelope return"/>
    <w:basedOn w:val="1"/>
    <w:unhideWhenUsed/>
    <w:qFormat/>
    <w:locked/>
    <w:uiPriority w:val="99"/>
    <w:pPr>
      <w:snapToGrid w:val="0"/>
    </w:pPr>
    <w:rPr>
      <w:rFonts w:ascii="Arial" w:hAnsi="Arial"/>
    </w:rPr>
  </w:style>
  <w:style w:type="paragraph" w:styleId="10">
    <w:name w:val="Plain Text"/>
    <w:basedOn w:val="1"/>
    <w:link w:val="32"/>
    <w:qFormat/>
    <w:uiPriority w:val="0"/>
    <w:pPr>
      <w:jc w:val="left"/>
    </w:pPr>
    <w:rPr>
      <w:rFonts w:ascii="宋体" w:hAnsi="Courier New"/>
      <w:kern w:val="0"/>
      <w:szCs w:val="20"/>
    </w:rPr>
  </w:style>
  <w:style w:type="paragraph" w:styleId="11">
    <w:name w:val="Date"/>
    <w:basedOn w:val="1"/>
    <w:next w:val="1"/>
    <w:link w:val="33"/>
    <w:qFormat/>
    <w:uiPriority w:val="99"/>
    <w:pPr>
      <w:ind w:left="2500" w:leftChars="2500"/>
    </w:pPr>
    <w:rPr>
      <w:rFonts w:ascii="Calibri" w:hAnsi="Calibri" w:eastAsia="黑体"/>
      <w:kern w:val="0"/>
      <w:sz w:val="24"/>
      <w:szCs w:val="20"/>
    </w:rPr>
  </w:style>
  <w:style w:type="paragraph" w:styleId="12">
    <w:name w:val="Balloon Text"/>
    <w:basedOn w:val="1"/>
    <w:link w:val="34"/>
    <w:semiHidden/>
    <w:qFormat/>
    <w:uiPriority w:val="99"/>
    <w:rPr>
      <w:rFonts w:ascii="Calibri" w:hAnsi="Calibri"/>
      <w:sz w:val="18"/>
      <w:szCs w:val="20"/>
    </w:rPr>
  </w:style>
  <w:style w:type="paragraph" w:styleId="13">
    <w:name w:val="footer"/>
    <w:basedOn w:val="1"/>
    <w:link w:val="35"/>
    <w:qFormat/>
    <w:uiPriority w:val="99"/>
    <w:pPr>
      <w:tabs>
        <w:tab w:val="center" w:pos="4153"/>
        <w:tab w:val="right" w:pos="8306"/>
      </w:tabs>
      <w:snapToGrid w:val="0"/>
      <w:jc w:val="left"/>
    </w:pPr>
    <w:rPr>
      <w:rFonts w:ascii="Calibri" w:hAnsi="Calibri"/>
      <w:sz w:val="18"/>
      <w:szCs w:val="20"/>
    </w:rPr>
  </w:style>
  <w:style w:type="paragraph" w:styleId="14">
    <w:name w:val="header"/>
    <w:basedOn w:val="1"/>
    <w:link w:val="3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5">
    <w:name w:val="toc 1"/>
    <w:basedOn w:val="1"/>
    <w:next w:val="1"/>
    <w:qFormat/>
    <w:uiPriority w:val="39"/>
  </w:style>
  <w:style w:type="paragraph" w:styleId="16">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7">
    <w:name w:val="index 9"/>
    <w:basedOn w:val="1"/>
    <w:next w:val="1"/>
    <w:unhideWhenUsed/>
    <w:qFormat/>
    <w:locked/>
    <w:uiPriority w:val="99"/>
    <w:pPr>
      <w:ind w:left="1600" w:leftChars="1600"/>
    </w:pPr>
  </w:style>
  <w:style w:type="paragraph" w:styleId="18">
    <w:name w:val="toc 2"/>
    <w:basedOn w:val="1"/>
    <w:next w:val="1"/>
    <w:qFormat/>
    <w:uiPriority w:val="39"/>
    <w:pPr>
      <w:ind w:left="420" w:leftChars="200"/>
    </w:pPr>
  </w:style>
  <w:style w:type="paragraph" w:styleId="19">
    <w:name w:val="HTML Preformatted"/>
    <w:basedOn w:val="1"/>
    <w:link w:val="3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0">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1">
    <w:name w:val="Body Text First Indent 2"/>
    <w:basedOn w:val="8"/>
    <w:qFormat/>
    <w:locked/>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Hyperlink"/>
    <w:qFormat/>
    <w:uiPriority w:val="99"/>
    <w:rPr>
      <w:rFonts w:cs="Times New Roman"/>
      <w:color w:val="0000FF"/>
      <w:u w:val="single"/>
    </w:rPr>
  </w:style>
  <w:style w:type="character" w:customStyle="1" w:styleId="29">
    <w:name w:val="标题 2 Char"/>
    <w:link w:val="3"/>
    <w:qFormat/>
    <w:locked/>
    <w:uiPriority w:val="99"/>
    <w:rPr>
      <w:rFonts w:ascii="Cambria" w:hAnsi="Cambria"/>
      <w:b/>
      <w:kern w:val="2"/>
      <w:sz w:val="24"/>
    </w:rPr>
  </w:style>
  <w:style w:type="character" w:customStyle="1" w:styleId="30">
    <w:name w:val="文档结构图 Char"/>
    <w:link w:val="6"/>
    <w:semiHidden/>
    <w:qFormat/>
    <w:locked/>
    <w:uiPriority w:val="99"/>
    <w:rPr>
      <w:rFonts w:cs="Times New Roman"/>
      <w:sz w:val="2"/>
    </w:rPr>
  </w:style>
  <w:style w:type="character" w:customStyle="1" w:styleId="31">
    <w:name w:val="正文文本 Char"/>
    <w:link w:val="7"/>
    <w:qFormat/>
    <w:locked/>
    <w:uiPriority w:val="99"/>
    <w:rPr>
      <w:rFonts w:cs="Times New Roman"/>
      <w:kern w:val="2"/>
      <w:sz w:val="24"/>
    </w:rPr>
  </w:style>
  <w:style w:type="character" w:customStyle="1" w:styleId="32">
    <w:name w:val="纯文本 Char"/>
    <w:link w:val="10"/>
    <w:qFormat/>
    <w:locked/>
    <w:uiPriority w:val="0"/>
    <w:rPr>
      <w:rFonts w:ascii="宋体" w:hAnsi="Courier New" w:cs="Times New Roman"/>
      <w:sz w:val="21"/>
    </w:rPr>
  </w:style>
  <w:style w:type="character" w:customStyle="1" w:styleId="33">
    <w:name w:val="日期 Char"/>
    <w:link w:val="11"/>
    <w:qFormat/>
    <w:locked/>
    <w:uiPriority w:val="99"/>
    <w:rPr>
      <w:rFonts w:eastAsia="黑体" w:cs="Times New Roman"/>
      <w:sz w:val="24"/>
    </w:rPr>
  </w:style>
  <w:style w:type="character" w:customStyle="1" w:styleId="34">
    <w:name w:val="批注框文本 Char"/>
    <w:link w:val="12"/>
    <w:semiHidden/>
    <w:qFormat/>
    <w:locked/>
    <w:uiPriority w:val="99"/>
    <w:rPr>
      <w:rFonts w:cs="Times New Roman"/>
      <w:kern w:val="2"/>
      <w:sz w:val="18"/>
    </w:rPr>
  </w:style>
  <w:style w:type="character" w:customStyle="1" w:styleId="35">
    <w:name w:val="页脚 Char"/>
    <w:link w:val="13"/>
    <w:qFormat/>
    <w:locked/>
    <w:uiPriority w:val="99"/>
    <w:rPr>
      <w:rFonts w:cs="Times New Roman"/>
      <w:kern w:val="2"/>
      <w:sz w:val="18"/>
    </w:rPr>
  </w:style>
  <w:style w:type="character" w:customStyle="1" w:styleId="36">
    <w:name w:val="页眉 Char"/>
    <w:link w:val="14"/>
    <w:qFormat/>
    <w:locked/>
    <w:uiPriority w:val="99"/>
    <w:rPr>
      <w:rFonts w:cs="Times New Roman"/>
      <w:kern w:val="2"/>
      <w:sz w:val="18"/>
    </w:rPr>
  </w:style>
  <w:style w:type="character" w:customStyle="1" w:styleId="37">
    <w:name w:val="HTML 预设格式 Char"/>
    <w:link w:val="19"/>
    <w:semiHidden/>
    <w:qFormat/>
    <w:locked/>
    <w:uiPriority w:val="99"/>
    <w:rPr>
      <w:rFonts w:ascii="宋体" w:eastAsia="宋体" w:cs="Times New Roman"/>
      <w:kern w:val="0"/>
      <w:sz w:val="24"/>
    </w:rPr>
  </w:style>
  <w:style w:type="paragraph" w:customStyle="1" w:styleId="38">
    <w:name w:val="此正文"/>
    <w:basedOn w:val="1"/>
    <w:qFormat/>
    <w:uiPriority w:val="99"/>
    <w:pPr>
      <w:spacing w:line="360" w:lineRule="auto"/>
      <w:ind w:firstLine="200" w:firstLineChars="200"/>
    </w:pPr>
    <w:rPr>
      <w:sz w:val="24"/>
      <w:szCs w:val="20"/>
    </w:rPr>
  </w:style>
  <w:style w:type="paragraph" w:customStyle="1" w:styleId="39">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0">
    <w:name w:val="Char Char Char Char Char Char Char"/>
    <w:basedOn w:val="1"/>
    <w:semiHidden/>
    <w:qFormat/>
    <w:uiPriority w:val="99"/>
    <w:rPr>
      <w:rFonts w:ascii="Tahoma" w:hAnsi="Tahoma" w:cs="仿宋_GB2312"/>
      <w:sz w:val="24"/>
      <w:szCs w:val="28"/>
    </w:rPr>
  </w:style>
  <w:style w:type="paragraph" w:customStyle="1" w:styleId="41">
    <w:name w:val="Char Char Char Char"/>
    <w:basedOn w:val="6"/>
    <w:qFormat/>
    <w:uiPriority w:val="99"/>
    <w:pPr>
      <w:adjustRightInd w:val="0"/>
      <w:snapToGrid w:val="0"/>
      <w:spacing w:line="360" w:lineRule="auto"/>
    </w:pPr>
    <w:rPr>
      <w:rFonts w:ascii="Tahoma" w:hAnsi="Tahoma"/>
      <w:sz w:val="24"/>
    </w:rPr>
  </w:style>
  <w:style w:type="character" w:customStyle="1" w:styleId="42">
    <w:name w:val="标题 1 Char"/>
    <w:basedOn w:val="24"/>
    <w:link w:val="2"/>
    <w:qFormat/>
    <w:uiPriority w:val="0"/>
    <w:rPr>
      <w:b/>
      <w:bCs/>
      <w:kern w:val="44"/>
      <w:sz w:val="44"/>
      <w:szCs w:val="44"/>
    </w:rPr>
  </w:style>
  <w:style w:type="paragraph" w:customStyle="1" w:styleId="43">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4">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5">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6">
    <w:name w:val="正文缩进 Char"/>
    <w:link w:val="5"/>
    <w:qFormat/>
    <w:uiPriority w:val="99"/>
  </w:style>
  <w:style w:type="paragraph" w:customStyle="1" w:styleId="47">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29B6-D0CD-4FF7-9596-68D0EAD00C4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7275</Words>
  <Characters>7567</Characters>
  <Lines>302</Lines>
  <Paragraphs>149</Paragraphs>
  <TotalTime>13</TotalTime>
  <ScaleCrop>false</ScaleCrop>
  <LinksUpToDate>false</LinksUpToDate>
  <CharactersWithSpaces>14693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2023-11-20T01:28:13Z</dcterms:modified>
  <dc:title>招  标  文  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08F4CEEBBF354E74B67A96996DF9666A</vt:lpwstr>
  </property>
</Properties>
</file>