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numPr>
          <w:ilvl w:val="0"/>
          <w:numId w:val="1"/>
        </w:numPr>
        <w:jc w:val="center"/>
        <w:outlineLvl w:val="1"/>
        <w:rPr>
          <w:rFonts w:asciiTheme="minorEastAsia" w:hAnsiTheme="minorEastAsia" w:eastAsiaTheme="minorEastAsia" w:cstheme="minorEastAsia"/>
          <w:b/>
          <w:szCs w:val="21"/>
        </w:rPr>
      </w:pPr>
      <w:r>
        <w:rPr>
          <w:rFonts w:hint="eastAsia" w:ascii="宋体" w:hAnsi="宋体" w:eastAsia="宋体" w:cs="宋体"/>
          <w:b/>
        </w:rPr>
        <w:t xml:space="preserve"> </w:t>
      </w:r>
      <w:bookmarkStart w:id="0" w:name="_Toc9887"/>
      <w:r>
        <w:rPr>
          <w:rFonts w:hint="eastAsia" w:ascii="宋体" w:hAnsi="宋体" w:eastAsia="宋体" w:cs="宋体"/>
          <w:b/>
        </w:rPr>
        <w:t>采购需求</w:t>
      </w:r>
    </w:p>
    <w:p>
      <w:pPr>
        <w:spacing w:line="336"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一、项目内容：</w:t>
      </w:r>
      <w:bookmarkEnd w:id="0"/>
    </w:p>
    <w:p>
      <w:pPr>
        <w:spacing w:line="336" w:lineRule="auto"/>
        <w:ind w:firstLine="420" w:firstLineChars="200"/>
        <w:rPr>
          <w:rFonts w:asciiTheme="minorEastAsia" w:hAnsiTheme="minorEastAsia" w:eastAsiaTheme="minorEastAsia" w:cstheme="minorEastAsia"/>
          <w:szCs w:val="21"/>
        </w:rPr>
      </w:pPr>
      <w:bookmarkStart w:id="1" w:name="_Hlk138832737"/>
      <w:r>
        <w:rPr>
          <w:rFonts w:hint="eastAsia" w:asciiTheme="minorEastAsia" w:hAnsiTheme="minorEastAsia" w:eastAsiaTheme="minorEastAsia" w:cstheme="minorEastAsia"/>
          <w:szCs w:val="21"/>
        </w:rPr>
        <w:t>为了适应医学影像学院三个专业的发展需要，需增加人工智能方面相关课程，其实验实训环节需要向学生演示深度学习的相关程序运行、算法测试、以及图像处理等实际应用环境。另外，该实训室也可对相关方向感兴趣的同学定时开放，为“互联网+”和“挑战杯”等创新创业比赛提供技术支持。AI技术在医学领域的影响愈加广泛和深刻，尤其在医学影像方面如疾病诊断、图像分割、病灶定位等方面的应用越来越成熟，是医学影像发展的一个重要方向。人工智能专业发展初期需要较大的设备投入，因此需采购相关设备建设人工智能实训室。</w:t>
      </w:r>
      <w:bookmarkEnd w:id="1"/>
    </w:p>
    <w:p>
      <w:pPr>
        <w:spacing w:line="336"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二、项目清单：</w:t>
      </w:r>
    </w:p>
    <w:tbl>
      <w:tblPr>
        <w:tblStyle w:val="9"/>
        <w:tblW w:w="0" w:type="auto"/>
        <w:jc w:val="center"/>
        <w:tblLayout w:type="autofit"/>
        <w:tblCellMar>
          <w:top w:w="0" w:type="dxa"/>
          <w:left w:w="108" w:type="dxa"/>
          <w:bottom w:w="0" w:type="dxa"/>
          <w:right w:w="108" w:type="dxa"/>
        </w:tblCellMar>
      </w:tblPr>
      <w:tblGrid>
        <w:gridCol w:w="976"/>
        <w:gridCol w:w="6038"/>
        <w:gridCol w:w="748"/>
        <w:gridCol w:w="760"/>
      </w:tblGrid>
      <w:tr>
        <w:tblPrEx>
          <w:tblCellMar>
            <w:top w:w="0" w:type="dxa"/>
            <w:left w:w="108" w:type="dxa"/>
            <w:bottom w:w="0" w:type="dxa"/>
            <w:right w:w="108" w:type="dxa"/>
          </w:tblCellMar>
        </w:tblPrEx>
        <w:trPr>
          <w:jc w:val="center"/>
        </w:trPr>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36"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序号</w:t>
            </w:r>
          </w:p>
        </w:tc>
        <w:tc>
          <w:tcPr>
            <w:tcW w:w="67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36" w:lineRule="auto"/>
              <w:ind w:firstLine="420" w:firstLineChars="20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产品名称</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36"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36"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数量</w:t>
            </w:r>
          </w:p>
        </w:tc>
      </w:tr>
      <w:tr>
        <w:tblPrEx>
          <w:tblCellMar>
            <w:top w:w="0" w:type="dxa"/>
            <w:left w:w="108" w:type="dxa"/>
            <w:bottom w:w="0" w:type="dxa"/>
            <w:right w:w="108" w:type="dxa"/>
          </w:tblCellMar>
        </w:tblPrEx>
        <w:trPr>
          <w:jc w:val="center"/>
        </w:trPr>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3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67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3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计算机</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36"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台</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36"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20</w:t>
            </w:r>
          </w:p>
        </w:tc>
      </w:tr>
      <w:tr>
        <w:tblPrEx>
          <w:tblCellMar>
            <w:top w:w="0" w:type="dxa"/>
            <w:left w:w="108" w:type="dxa"/>
            <w:bottom w:w="0" w:type="dxa"/>
            <w:right w:w="108" w:type="dxa"/>
          </w:tblCellMar>
        </w:tblPrEx>
        <w:trPr>
          <w:jc w:val="center"/>
        </w:trPr>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3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67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3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3D 打印机</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36"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台</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36"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10</w:t>
            </w:r>
          </w:p>
        </w:tc>
      </w:tr>
      <w:tr>
        <w:tblPrEx>
          <w:tblCellMar>
            <w:top w:w="0" w:type="dxa"/>
            <w:left w:w="108" w:type="dxa"/>
            <w:bottom w:w="0" w:type="dxa"/>
            <w:right w:w="108" w:type="dxa"/>
          </w:tblCellMar>
        </w:tblPrEx>
        <w:trPr>
          <w:jc w:val="center"/>
        </w:trPr>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3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p>
        </w:tc>
        <w:tc>
          <w:tcPr>
            <w:tcW w:w="67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3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人工智能机械臂</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36"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套</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36"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w:t>
            </w:r>
          </w:p>
        </w:tc>
      </w:tr>
      <w:tr>
        <w:tblPrEx>
          <w:tblCellMar>
            <w:top w:w="0" w:type="dxa"/>
            <w:left w:w="108" w:type="dxa"/>
            <w:bottom w:w="0" w:type="dxa"/>
            <w:right w:w="108" w:type="dxa"/>
          </w:tblCellMar>
        </w:tblPrEx>
        <w:trPr>
          <w:jc w:val="center"/>
        </w:trPr>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3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67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3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人工智能开发套件</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36"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套</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36"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20</w:t>
            </w:r>
          </w:p>
        </w:tc>
      </w:tr>
      <w:tr>
        <w:tblPrEx>
          <w:tblCellMar>
            <w:top w:w="0" w:type="dxa"/>
            <w:left w:w="108" w:type="dxa"/>
            <w:bottom w:w="0" w:type="dxa"/>
            <w:right w:w="108" w:type="dxa"/>
          </w:tblCellMar>
        </w:tblPrEx>
        <w:trPr>
          <w:jc w:val="center"/>
        </w:trPr>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3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w:t>
            </w:r>
          </w:p>
        </w:tc>
        <w:tc>
          <w:tcPr>
            <w:tcW w:w="67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3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投影仪</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36"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台</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36"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r>
      <w:tr>
        <w:tblPrEx>
          <w:tblCellMar>
            <w:top w:w="0" w:type="dxa"/>
            <w:left w:w="108" w:type="dxa"/>
            <w:bottom w:w="0" w:type="dxa"/>
            <w:right w:w="108" w:type="dxa"/>
          </w:tblCellMar>
        </w:tblPrEx>
        <w:trPr>
          <w:jc w:val="center"/>
        </w:trPr>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3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w:t>
            </w:r>
          </w:p>
        </w:tc>
        <w:tc>
          <w:tcPr>
            <w:tcW w:w="67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3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交换机</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36"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台</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36"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r>
      <w:tr>
        <w:tblPrEx>
          <w:tblCellMar>
            <w:top w:w="0" w:type="dxa"/>
            <w:left w:w="108" w:type="dxa"/>
            <w:bottom w:w="0" w:type="dxa"/>
            <w:right w:w="108" w:type="dxa"/>
          </w:tblCellMar>
        </w:tblPrEx>
        <w:trPr>
          <w:jc w:val="center"/>
        </w:trPr>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3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w:t>
            </w:r>
          </w:p>
        </w:tc>
        <w:tc>
          <w:tcPr>
            <w:tcW w:w="67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3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机柜</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36"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台</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36"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r>
    </w:tbl>
    <w:p>
      <w:pPr>
        <w:spacing w:line="336" w:lineRule="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三、主要技术参数：</w:t>
      </w:r>
    </w:p>
    <w:tbl>
      <w:tblPr>
        <w:tblStyle w:val="9"/>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904"/>
        <w:gridCol w:w="6470"/>
        <w:gridCol w:w="709"/>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814" w:type="dxa"/>
            <w:vAlign w:val="center"/>
          </w:tcPr>
          <w:p>
            <w:pPr>
              <w:spacing w:line="336"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序号</w:t>
            </w:r>
          </w:p>
        </w:tc>
        <w:tc>
          <w:tcPr>
            <w:tcW w:w="904" w:type="dxa"/>
            <w:vAlign w:val="center"/>
          </w:tcPr>
          <w:p>
            <w:pPr>
              <w:spacing w:line="336"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名称</w:t>
            </w:r>
          </w:p>
        </w:tc>
        <w:tc>
          <w:tcPr>
            <w:tcW w:w="6470" w:type="dxa"/>
            <w:tcBorders>
              <w:top w:val="single" w:color="000000" w:sz="4" w:space="0"/>
            </w:tcBorders>
            <w:vAlign w:val="center"/>
          </w:tcPr>
          <w:p>
            <w:pPr>
              <w:spacing w:line="336" w:lineRule="auto"/>
              <w:ind w:firstLine="420" w:firstLineChars="20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主要技术需求</w:t>
            </w:r>
          </w:p>
        </w:tc>
        <w:tc>
          <w:tcPr>
            <w:tcW w:w="709" w:type="dxa"/>
            <w:vAlign w:val="center"/>
          </w:tcPr>
          <w:p>
            <w:pPr>
              <w:spacing w:line="336"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数量</w:t>
            </w:r>
          </w:p>
        </w:tc>
        <w:tc>
          <w:tcPr>
            <w:tcW w:w="709" w:type="dxa"/>
            <w:vAlign w:val="center"/>
          </w:tcPr>
          <w:p>
            <w:pPr>
              <w:spacing w:line="336"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814" w:type="dxa"/>
            <w:vAlign w:val="center"/>
          </w:tcPr>
          <w:p>
            <w:pPr>
              <w:spacing w:line="336"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904" w:type="dxa"/>
            <w:vAlign w:val="center"/>
          </w:tcPr>
          <w:p>
            <w:pPr>
              <w:spacing w:line="336"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计算机</w:t>
            </w:r>
          </w:p>
        </w:tc>
        <w:tc>
          <w:tcPr>
            <w:tcW w:w="6470" w:type="dxa"/>
          </w:tcPr>
          <w:p>
            <w:pPr>
              <w:spacing w:line="276" w:lineRule="auto"/>
              <w:ind w:left="210" w:leftChars="100" w:firstLine="211" w:firstLineChars="100"/>
              <w:jc w:val="lef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一、硬件部分：</w:t>
            </w:r>
          </w:p>
          <w:p>
            <w:pPr>
              <w:spacing w:line="276" w:lineRule="auto"/>
              <w:ind w:left="210" w:leftChars="100" w:firstLine="210" w:firstLineChars="1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★1.CPU：第十二代英特尔酷睿i7-12700</w:t>
            </w:r>
          </w:p>
          <w:p>
            <w:pPr>
              <w:spacing w:line="276" w:lineRule="auto"/>
              <w:ind w:left="210" w:leftChars="100" w:firstLine="210" w:firstLineChars="1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★2.主板：不低于Q670芯片组及以上</w:t>
            </w:r>
          </w:p>
          <w:p>
            <w:pPr>
              <w:spacing w:line="276" w:lineRule="auto"/>
              <w:ind w:left="210" w:leftChars="100" w:firstLine="210" w:firstLineChars="1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★3.内存：≥16GB 3200MHz DDR4，最大支持64G</w:t>
            </w:r>
          </w:p>
          <w:p>
            <w:pPr>
              <w:spacing w:line="276" w:lineRule="auto"/>
              <w:ind w:left="210" w:leftChars="100" w:firstLine="210" w:firstLineChars="1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★4.硬盘：≥512GB M.2 SSD＋1TB 机械硬盘</w:t>
            </w:r>
          </w:p>
          <w:p>
            <w:pPr>
              <w:spacing w:line="276" w:lineRule="auto"/>
              <w:ind w:left="210" w:leftChars="100" w:firstLine="210" w:firstLineChars="1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★5.显卡：T400 4G以上独立显卡，须适配虚拟仿真软件运行。 </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6.接口：整机USB接口≥9个，其中 USB3.2接口≥7个，HDMI接口1个,DP接口1个</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7.声卡：集成声卡，前置通用音频接口，后置音频输入/输出接口</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8.显示器≥27英寸及以上IPS屏显示器 ，分辨率不低于2560×1440。HDMI接口×1，DP接口×1,Type-A接口×4个，显示器可上下15CM升降，轴心、左右旋转。原厂预置优化显示器寿命模块</w:t>
            </w:r>
            <w:r>
              <w:rPr>
                <w:rFonts w:hint="eastAsia" w:asciiTheme="minorEastAsia" w:hAnsiTheme="minorEastAsia" w:eastAsiaTheme="minorEastAsia" w:cstheme="minorEastAsia"/>
                <w:b/>
                <w:bCs/>
                <w:szCs w:val="21"/>
              </w:rPr>
              <w:t>（投标时提供相关证明材料，加盖投标人公章）</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9.网卡：集成10/100/1000以太网卡</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10.操作系统：原厂预装win11操作系统</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11.服务：原厂三年整机上门保修服务（含显示器）</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12.电源≥260W，能效不低于92%，高效节能电源，最大支持400W</w:t>
            </w:r>
          </w:p>
          <w:p>
            <w:pPr>
              <w:spacing w:line="276" w:lineRule="auto"/>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★13.键盘鼠标：原厂USB防水抗菌键盘、抗菌鼠标。具有国家权威机构（需有CNAS认可的检测机构）出具的键盘防水，键盘抗菌，鼠标抗菌检验证书或检测报告</w:t>
            </w:r>
            <w:r>
              <w:rPr>
                <w:rFonts w:hint="eastAsia" w:asciiTheme="minorEastAsia" w:hAnsiTheme="minorEastAsia" w:eastAsiaTheme="minorEastAsia" w:cstheme="minorEastAsia"/>
                <w:b/>
                <w:bCs/>
                <w:szCs w:val="21"/>
              </w:rPr>
              <w:t>（投标时提供相关证明材料复印件并加盖投标人公章）</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14.机箱：立式机箱，采用蜂窝结构，机箱体积＞16L</w:t>
            </w:r>
          </w:p>
          <w:p>
            <w:pPr>
              <w:spacing w:line="276"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二、网络同传：</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1.出厂自带BIOS版还原卡，支持系统自动还原、同时支持GPT分区和MBR分区。</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2.自动修改IP。</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3.硬盘保护、网络同传、增量拷贝、断点续传。</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4.远程唤醒、远程重启、远程关机。</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5.千兆网络传输速度≥7GB/分钟。</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6.可以从底层控制U盘和光驱等设备的使用。</w:t>
            </w:r>
          </w:p>
        </w:tc>
        <w:tc>
          <w:tcPr>
            <w:tcW w:w="709" w:type="dxa"/>
            <w:vAlign w:val="center"/>
          </w:tcPr>
          <w:p>
            <w:pPr>
              <w:spacing w:line="336"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台</w:t>
            </w:r>
          </w:p>
        </w:tc>
        <w:tc>
          <w:tcPr>
            <w:tcW w:w="709" w:type="dxa"/>
            <w:vAlign w:val="center"/>
          </w:tcPr>
          <w:p>
            <w:pPr>
              <w:spacing w:line="336"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814" w:type="dxa"/>
            <w:vAlign w:val="center"/>
          </w:tcPr>
          <w:p>
            <w:pPr>
              <w:spacing w:line="336"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904" w:type="dxa"/>
            <w:vAlign w:val="center"/>
          </w:tcPr>
          <w:p>
            <w:pPr>
              <w:spacing w:line="336"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3D</w:t>
            </w:r>
          </w:p>
          <w:p>
            <w:pPr>
              <w:spacing w:line="336"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打印机</w:t>
            </w:r>
          </w:p>
        </w:tc>
        <w:tc>
          <w:tcPr>
            <w:tcW w:w="6470" w:type="dxa"/>
            <w:vAlign w:val="center"/>
          </w:tcPr>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搭配≥8G存储大内存，支持300+个模型存储和读取存储模型文件更高效，多任务切换更顺畅。支持500mm/s（峰值)的打印速度和5000mm/s2(峰值)的加速度，搭载64位1.5G主频≥4核高性能处理器，5.2倍挤出比，挤出力度更大，搭配铜-钛全金属耐高温喉管和高速喷嘴设计，可兼容PLA、PETG、ABS和柔性长丝如TPU等多种耗材；</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支持最高温度300℃打印，可打印尼龙等高温耗材，更轻巧的挤出结构，重量仅为N3Pro的70%。PEI磁吸平台+高效高温热床，采用特殊PE引涂层+弹簧钢+软磁贴三种相结合的创新型打印平台，打印完成平台降温后模型会自动松脱，模型易粘易取，搭配高效高温250W热床，可快速加热到110°C，采用非接触式高精度传感器自动检测打印平台上的100个点并实时采集数据，实现自动校准和补偿喷嘴与热床之间的距离一键调平，提高打印效率，也可以通过手拧螺母校准平台和调整Z轴高度来补偿打印平台的水平度，提升打印成功率；</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3.智能散热方案搭载≥6个高转速滚珠风扇，风量大幅提升；快速打印时可极速全面散热，减短散热路径，整机散热能力飙升，有效降低堵塞风险；</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4.机器在打印完成后，当喷头温度低于50℃，喷头散热风扇会自动停止工作，降低能耗；含两卷打印耗材。</w:t>
            </w:r>
          </w:p>
        </w:tc>
        <w:tc>
          <w:tcPr>
            <w:tcW w:w="709" w:type="dxa"/>
            <w:vAlign w:val="center"/>
          </w:tcPr>
          <w:p>
            <w:pPr>
              <w:spacing w:line="336"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台</w:t>
            </w:r>
          </w:p>
        </w:tc>
        <w:tc>
          <w:tcPr>
            <w:tcW w:w="709" w:type="dxa"/>
            <w:vAlign w:val="center"/>
          </w:tcPr>
          <w:p>
            <w:pPr>
              <w:spacing w:line="336"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814" w:type="dxa"/>
            <w:vAlign w:val="center"/>
          </w:tcPr>
          <w:p>
            <w:pPr>
              <w:spacing w:line="33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p>
        </w:tc>
        <w:tc>
          <w:tcPr>
            <w:tcW w:w="904" w:type="dxa"/>
            <w:vAlign w:val="center"/>
          </w:tcPr>
          <w:p>
            <w:pPr>
              <w:spacing w:line="336"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人工智能机械臂</w:t>
            </w:r>
          </w:p>
        </w:tc>
        <w:tc>
          <w:tcPr>
            <w:tcW w:w="6470" w:type="dxa"/>
            <w:vAlign w:val="center"/>
          </w:tcPr>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1.机械臂重量：</w:t>
            </w:r>
            <w:r>
              <w:rPr>
                <w:rFonts w:asciiTheme="minorEastAsia" w:hAnsiTheme="minorEastAsia" w:eastAsiaTheme="minorEastAsia" w:cstheme="minorEastAsia"/>
                <w:szCs w:val="21"/>
              </w:rPr>
              <w:t>≤</w:t>
            </w:r>
            <w:r>
              <w:rPr>
                <w:rFonts w:hint="eastAsia" w:asciiTheme="minorEastAsia" w:hAnsiTheme="minorEastAsia" w:eastAsiaTheme="minorEastAsia" w:cstheme="minorEastAsia"/>
                <w:szCs w:val="21"/>
              </w:rPr>
              <w:t xml:space="preserve">1.2kg  </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2.机身材质：支架材质：硬铝合金材料连接柱材质：PA66+玻纤</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3.电源：7.5V 6A DC适配器，供电稳定</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4.控制器：支持树莓派4B、树莓派拓展板</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5.摄像头参数：</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可视角度：≥120°广角，可探测角度视野大系统支持：Windows、Linux、Openwrt产品像素：≥30万像素（640×480）对焦方式：支持手动调焦</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6.软件部分：VNC软件、图形化上位机软件和安卓/iOS 手机APP软件</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7.自由度：≥6个自由度</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8.舵机及电机：支持采用LX-15D总线舵机或LX-225总线舵机或支持单轴总线舵机和支持直流减速电机</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9.功能：</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机体遥控：通过APP既可以实现机体遥控，还可以看到机器人的第一视觉画面。</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颜色追踪：通过摄像头模块识别设定好的颜色，对该目标颜色进行前、后、左、右、上、下追踪。</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人脸识别：通过摄像模块识别到人脸时，机械臂会进行打招呼动等动作。</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物品分拣：通过摄像头模块检测红、绿、蓝和不同标签的木块，依次将木块分拣到指定位置。</w:t>
            </w:r>
          </w:p>
          <w:p>
            <w:pPr>
              <w:spacing w:line="276"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w:t>
            </w:r>
            <w:r>
              <w:rPr>
                <w:rFonts w:asciiTheme="minorEastAsia" w:hAnsiTheme="minorEastAsia" w:eastAsiaTheme="minorEastAsia" w:cstheme="minorEastAsia"/>
                <w:szCs w:val="21"/>
              </w:rPr>
              <w:t xml:space="preserve"> </w:t>
            </w:r>
            <w:r>
              <w:rPr>
                <w:rFonts w:hint="eastAsia" w:asciiTheme="minorEastAsia" w:hAnsiTheme="minorEastAsia" w:eastAsiaTheme="minorEastAsia" w:cstheme="minorEastAsia"/>
                <w:szCs w:val="21"/>
              </w:rPr>
              <w:t>智能码垛：通过摄像头模块检测红、绿、蓝和不同标签的木块，分别把颜色木块和标签木块进行码垛，堆放在指定区域。</w:t>
            </w:r>
          </w:p>
        </w:tc>
        <w:tc>
          <w:tcPr>
            <w:tcW w:w="709" w:type="dxa"/>
            <w:vAlign w:val="center"/>
          </w:tcPr>
          <w:p>
            <w:pPr>
              <w:spacing w:line="336"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套</w:t>
            </w:r>
          </w:p>
        </w:tc>
        <w:tc>
          <w:tcPr>
            <w:tcW w:w="709" w:type="dxa"/>
            <w:vAlign w:val="center"/>
          </w:tcPr>
          <w:p>
            <w:pPr>
              <w:spacing w:line="336"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814" w:type="dxa"/>
            <w:vAlign w:val="center"/>
          </w:tcPr>
          <w:p>
            <w:pPr>
              <w:spacing w:line="33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904" w:type="dxa"/>
            <w:vAlign w:val="center"/>
          </w:tcPr>
          <w:p>
            <w:pPr>
              <w:spacing w:line="336"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人工智能开发套件</w:t>
            </w:r>
          </w:p>
        </w:tc>
        <w:tc>
          <w:tcPr>
            <w:tcW w:w="6470" w:type="dxa"/>
            <w:vAlign w:val="center"/>
          </w:tcPr>
          <w:p>
            <w:pPr>
              <w:spacing w:line="276" w:lineRule="auto"/>
              <w:ind w:left="420" w:left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一、总体描述</w:t>
            </w:r>
          </w:p>
          <w:p>
            <w:pPr>
              <w:spacing w:line="276" w:lineRule="auto"/>
              <w:ind w:left="420" w:left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1．边缘计算实验套件是面向人工智能、智能科学与技术等专业</w:t>
            </w:r>
          </w:p>
          <w:p>
            <w:pPr>
              <w:spacing w:line="276"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的学生进行各类科研和创新大赛的技术平台，亦可作为学科基础知识和专业技术教学平台。</w:t>
            </w:r>
          </w:p>
          <w:p>
            <w:pPr>
              <w:spacing w:line="276"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2．基于边缘计算框架设计，具有单独AI计算加速能力，支持多sensor输入，具有POE受电的千兆网络。集成丰富的硬件接口，包括蓝牙/WIFI、4G、5G、PCIE、扩展GPIO等接口，内置多种人工智能视觉算法API（图像分类、人脸识别、人脸属性分析、车牌识别等）。</w:t>
            </w:r>
          </w:p>
          <w:p>
            <w:pPr>
              <w:spacing w:line="276" w:lineRule="auto"/>
              <w:rPr>
                <w:rFonts w:asciiTheme="minorEastAsia" w:hAnsiTheme="minorEastAsia" w:eastAsiaTheme="minorEastAsia" w:cstheme="minorEastAsia"/>
                <w:b/>
                <w:szCs w:val="21"/>
              </w:rPr>
            </w:pPr>
            <w:r>
              <w:rPr>
                <w:rFonts w:hint="eastAsia" w:asciiTheme="minorEastAsia" w:hAnsiTheme="minorEastAsia" w:eastAsiaTheme="minorEastAsia" w:cstheme="minorEastAsia"/>
                <w:szCs w:val="21"/>
              </w:rPr>
              <w:t xml:space="preserve">    </w:t>
            </w:r>
            <w:r>
              <w:rPr>
                <w:rFonts w:hint="eastAsia" w:asciiTheme="minorEastAsia" w:hAnsiTheme="minorEastAsia" w:eastAsiaTheme="minorEastAsia" w:cstheme="minorEastAsia"/>
                <w:b/>
                <w:szCs w:val="21"/>
              </w:rPr>
              <w:t>二、硬件资源：</w:t>
            </w:r>
          </w:p>
          <w:p>
            <w:pPr>
              <w:spacing w:line="276" w:lineRule="auto"/>
              <w:rPr>
                <w:rFonts w:asciiTheme="minorEastAsia" w:hAnsiTheme="minorEastAsia" w:eastAsiaTheme="minorEastAsia" w:cstheme="minorEastAsia"/>
                <w:b/>
                <w:szCs w:val="21"/>
              </w:rPr>
            </w:pPr>
            <w:r>
              <w:rPr>
                <w:rFonts w:hint="eastAsia" w:asciiTheme="minorEastAsia" w:hAnsiTheme="minorEastAsia" w:eastAsiaTheme="minorEastAsia" w:cstheme="minorEastAsia"/>
                <w:szCs w:val="21"/>
              </w:rPr>
              <w:t xml:space="preserve">    </w:t>
            </w:r>
            <w:r>
              <w:rPr>
                <w:rFonts w:hint="eastAsia" w:asciiTheme="minorEastAsia" w:hAnsiTheme="minorEastAsia" w:eastAsiaTheme="minorEastAsia" w:cstheme="minorEastAsia"/>
                <w:b/>
                <w:szCs w:val="21"/>
              </w:rPr>
              <w:t>1．边缘计算终端</w:t>
            </w:r>
          </w:p>
          <w:p>
            <w:pPr>
              <w:spacing w:line="276"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★(1)终端内置高性能处理器，处理器不少于五核,其中须包含不低于双核ARM CortexA72芯片，GPU处理器数量不少于双核。</w:t>
            </w:r>
          </w:p>
          <w:p>
            <w:pPr>
              <w:numPr>
                <w:ilvl w:val="0"/>
                <w:numId w:val="2"/>
              </w:num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终端须内置AI加速处理单元，主频不低于840MHz,运算能力不低于3.0TFLOPS。</w:t>
            </w:r>
          </w:p>
          <w:p>
            <w:pPr>
              <w:numPr>
                <w:ilvl w:val="0"/>
                <w:numId w:val="2"/>
              </w:num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终端搭载内存≥4GB DDR4。</w:t>
            </w:r>
          </w:p>
          <w:p>
            <w:pPr>
              <w:numPr>
                <w:ilvl w:val="0"/>
                <w:numId w:val="2"/>
              </w:num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终端搭载Emmc5.1存储器，存储≥32GB。</w:t>
            </w:r>
          </w:p>
          <w:p>
            <w:pPr>
              <w:numPr>
                <w:ilvl w:val="0"/>
                <w:numId w:val="2"/>
              </w:num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无线单元：</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内置单频2.4G Wi-Fi模组，BLE4.2模组，支持Wi-Fi、BLE传感网设备接入。可扩展配置全网通4G模组，支持LTE-FDD,LTE-TDD,DC-HSDPA,HSPA+,HSDPA,HSUPA,WCDMA,TD-SCDMA,CDMA,EDGE和 GPRS等多种网络制式，支持LTE传感网设备接入。内置PCIE2.0接口。</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（6）外设接口：</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千兆以太网口，须支持POE受电（可选）。 不少于3个的USB 3.0 HOST的TYPE-A接口。 提供3.5mm音频输入输出接口。提供至少支持1路MIPI CSI接口，至少支持8路视频接入。提供HDMI2.0视频输出接口，输出最大支持4K@60fps。 提供串行接口：支持RS232和RS485接入方式, 支持Micro USB的U转调试串口。提供40PIN板载扩展，可接不少于1×I2S、2×I2C、ADC1_CHO、ADC1_CH1、1×PWM、2×SPI，支持中断编程。</w:t>
            </w:r>
          </w:p>
          <w:p>
            <w:pPr>
              <w:numPr>
                <w:ilvl w:val="0"/>
                <w:numId w:val="3"/>
              </w:numPr>
              <w:spacing w:line="276"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高清摄像头</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模块须搭载不低于800万像素工业级无畸变摄像头。模块支持自动曝光控制AEC，支持自动增益控制AGC，支持自动白平衡。支持自动对焦功能。</w:t>
            </w:r>
          </w:p>
          <w:p>
            <w:pPr>
              <w:spacing w:line="276"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3.语音采集播放设备</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LED指示灯：须支持无亮待机及通话模式；绿灯须表示静音模式；声音功能 ：声音取样频率不低于32KHz；通讯模式：须支持全双工同时对谈；回音消除：不低于58dB；须支持AGC(音频自动增益控制）功能；麦克风须支持全指向；</w:t>
            </w:r>
          </w:p>
          <w:p>
            <w:pPr>
              <w:spacing w:line="276"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三、操作系统</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1.边缘计算终端须支持linux嵌入式操作系统，满足嵌入式操作系统教学。</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2.边缘计算终端须内置Python3.5以上版本的运行环境，满足Python  的AI教学。</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3.边缘计算终端须内置QT、PYQT5的运行环境，满足AI的可视化教学。</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★4.边缘计算终端内置的AI算法至少包括目标检测、人脸识别、车牌识别、车位检测、人脸多属性分析、人体骨骼关键点检测，满足AI的基础应用与开发教学。</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★5.边缘计算终端须内置人脸多属性分析算法，具有不少于2个维度的分析结果，比如（表情、是否佩戴眼镜、是否佩戴口罩、年龄、性别）；</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★6.边缘计算终端须内置人体骨骼关键点检测算法，具有不少于16个关键点的检测。</w:t>
            </w:r>
          </w:p>
          <w:p>
            <w:pPr>
              <w:spacing w:line="276" w:lineRule="auto"/>
              <w:ind w:left="210" w:leftChars="100" w:firstLine="211" w:firstLineChars="1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四、内置应用软件</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应用软件具有不少于5个内置AI算法应用，程序界面应包括摄像头调用、图像采集、算法调用、结果呈现等功能与代码对照教学演示，可展开关键技术分解教学。在认知和关键步骤上进行实际操作，满足AI的通识教学。展开的内置AI算法应用至包括物品分类识别、物品目标检测、人脸识别、车牌车别和人脸属性识别。</w:t>
            </w:r>
          </w:p>
          <w:p>
            <w:pPr>
              <w:spacing w:line="276" w:lineRule="auto"/>
              <w:rPr>
                <w:rFonts w:asciiTheme="minorEastAsia" w:hAnsiTheme="minorEastAsia" w:eastAsiaTheme="minorEastAsia" w:cstheme="minorEastAsia"/>
                <w:b/>
                <w:szCs w:val="21"/>
              </w:rPr>
            </w:pPr>
            <w:r>
              <w:rPr>
                <w:rFonts w:hint="eastAsia" w:asciiTheme="minorEastAsia" w:hAnsiTheme="minorEastAsia" w:eastAsiaTheme="minorEastAsia" w:cstheme="minorEastAsia"/>
                <w:szCs w:val="21"/>
              </w:rPr>
              <w:t xml:space="preserve">   </w:t>
            </w:r>
            <w:r>
              <w:rPr>
                <w:rFonts w:hint="eastAsia" w:asciiTheme="minorEastAsia" w:hAnsiTheme="minorEastAsia" w:eastAsiaTheme="minorEastAsia" w:cstheme="minorEastAsia"/>
                <w:b/>
                <w:szCs w:val="21"/>
              </w:rPr>
              <w:t>五、可视化模型训练工具：</w:t>
            </w:r>
          </w:p>
          <w:p>
            <w:pPr>
              <w:spacing w:line="276"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提供可视化模型训练工具，支持学生零代码构建高精度模型,支持分类/检测预训练模型，载入标注后的数据后，工具提供“数据预处理”、“数据生产”、“训练参数配置”、“模型训练”和“模型验证”功能。训练好的模型无需交叉编译可直接部署到边缘计算终端进行端侧推理验证。</w:t>
            </w:r>
          </w:p>
          <w:p>
            <w:pPr>
              <w:spacing w:line="276" w:lineRule="auto"/>
              <w:rPr>
                <w:rFonts w:asciiTheme="minorEastAsia" w:hAnsiTheme="minorEastAsia" w:eastAsiaTheme="minorEastAsia" w:cstheme="minorEastAsia"/>
                <w:b/>
                <w:szCs w:val="21"/>
              </w:rPr>
            </w:pPr>
            <w:r>
              <w:rPr>
                <w:rFonts w:hint="eastAsia" w:asciiTheme="minorEastAsia" w:hAnsiTheme="minorEastAsia" w:eastAsiaTheme="minorEastAsia" w:cstheme="minorEastAsia"/>
                <w:szCs w:val="21"/>
              </w:rPr>
              <w:t xml:space="preserve">   </w:t>
            </w:r>
            <w:r>
              <w:rPr>
                <w:rFonts w:hint="eastAsia" w:asciiTheme="minorEastAsia" w:hAnsiTheme="minorEastAsia" w:eastAsiaTheme="minorEastAsia" w:cstheme="minorEastAsia"/>
                <w:b/>
                <w:szCs w:val="21"/>
              </w:rPr>
              <w:t>六、配套资源：</w:t>
            </w:r>
          </w:p>
          <w:p>
            <w:pPr>
              <w:spacing w:line="276"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1.提供物品分类、物品目标检测、人脸识别、人脸多属性分析、车牌识别、车位检测、人体骨骼描点、RS485串口调试案例、人脸注册与人脸识别案例，包含源码以及使用说明文档。</w:t>
            </w:r>
          </w:p>
          <w:p>
            <w:pPr>
              <w:spacing w:line="276"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2.提供板载RockX_SDK资源，包含SDK、Python Demo源码、说明文档等内容。</w:t>
            </w:r>
          </w:p>
          <w:p>
            <w:pPr>
              <w:spacing w:line="276"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3.提供相关的拓展资料，包含Debian10开发环境搭建及配置资料、NLE-AI800 v3.0开发板底板接口介绍、rknn-toolkit-v1.6.0工具、语音识别的调用程序参考案例。</w:t>
            </w:r>
          </w:p>
          <w:p>
            <w:pPr>
              <w:spacing w:line="276"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4.提供相关软件安装包，包含pycharm、MOBAXterm、QTDesigner等。提供产品配套的镜像包以及刷机制作教程。</w:t>
            </w:r>
          </w:p>
        </w:tc>
        <w:tc>
          <w:tcPr>
            <w:tcW w:w="709" w:type="dxa"/>
            <w:vAlign w:val="center"/>
          </w:tcPr>
          <w:p>
            <w:pPr>
              <w:spacing w:line="336"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套</w:t>
            </w:r>
          </w:p>
        </w:tc>
        <w:tc>
          <w:tcPr>
            <w:tcW w:w="709" w:type="dxa"/>
            <w:vAlign w:val="center"/>
          </w:tcPr>
          <w:p>
            <w:pPr>
              <w:spacing w:line="336"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814" w:type="dxa"/>
            <w:vAlign w:val="center"/>
          </w:tcPr>
          <w:p>
            <w:pPr>
              <w:spacing w:line="336"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w:t>
            </w:r>
          </w:p>
        </w:tc>
        <w:tc>
          <w:tcPr>
            <w:tcW w:w="904" w:type="dxa"/>
            <w:vAlign w:val="center"/>
          </w:tcPr>
          <w:p>
            <w:pPr>
              <w:spacing w:line="336"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投影仪</w:t>
            </w:r>
          </w:p>
        </w:tc>
        <w:tc>
          <w:tcPr>
            <w:tcW w:w="6470" w:type="dxa"/>
            <w:vAlign w:val="center"/>
          </w:tcPr>
          <w:p>
            <w:pPr>
              <w:spacing w:line="276" w:lineRule="auto"/>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★1.投影显示系统：3LCD显示系统，芯片尺寸：≥0.63”</w:t>
            </w:r>
          </w:p>
          <w:p>
            <w:pPr>
              <w:spacing w:line="276" w:lineRule="auto"/>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★2.亮度：≥ 4800流明（中心亮度）；≥4600lm（ISO21118标准）</w:t>
            </w:r>
          </w:p>
          <w:p>
            <w:pPr>
              <w:spacing w:line="276" w:lineRule="auto"/>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★3.分辨率：1024×768</w:t>
            </w:r>
          </w:p>
          <w:p>
            <w:pPr>
              <w:spacing w:line="276" w:lineRule="auto"/>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★4.对比度：≥25000:1</w:t>
            </w:r>
          </w:p>
          <w:p>
            <w:pPr>
              <w:spacing w:line="276" w:lineRule="auto"/>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5.光源类型：240W长寿命灯泡</w:t>
            </w:r>
          </w:p>
          <w:p>
            <w:pPr>
              <w:spacing w:line="276" w:lineRule="auto"/>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6.长寿命灯泡，标准模式下使用寿命长达10000小时，节能模式下使用寿命≥20000小时</w:t>
            </w:r>
          </w:p>
          <w:p>
            <w:pPr>
              <w:spacing w:line="276" w:lineRule="auto"/>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7.多种投影方式：前投；背投；吊装/前投；吊顶背投；自动吊顶/前投；自动吊顶/背投 </w:t>
            </w:r>
          </w:p>
          <w:p>
            <w:pPr>
              <w:spacing w:line="276" w:lineRule="auto"/>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★8.快速冷却功能：三种快速冷却方式可选：0秒允许关机后直接拔掉电源线无需等待投影机冷却，60秒比正常模式冷却时间短冷却速度快，正常即正常速度冷却，在不同模式下关机所需冷却时间不一样。</w:t>
            </w:r>
          </w:p>
          <w:p>
            <w:pPr>
              <w:spacing w:line="276" w:lineRule="auto"/>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9.梯形校正功能：多种功能可选：调整校正储存或者复位；水平或者垂直梯形手动调整；四角校正；复位值将调整的梯形范围恢复原值。</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★10.自动设置：自动设置功能可选：输入源搜索开或者关；自动切换搜索输入信号源自动电脑调整输入模拟信 号时自动调整相位、水平位置等；自动梯形校正具有关或者手动或者自动进行梯形校正。</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11.密码保护：开机后输入正确设置密码启用投影机；支持开机画面设置密码锁定，防止开机画面被随意更改。</w:t>
            </w:r>
          </w:p>
          <w:p>
            <w:pPr>
              <w:spacing w:line="276" w:lineRule="auto"/>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12. HDMI信号设置可以设置HDMI信号格式图像范围以及HDMI声音输出，以及通过HDMI EQ调整声音输出效果。</w:t>
            </w:r>
          </w:p>
          <w:p>
            <w:pPr>
              <w:spacing w:line="276" w:lineRule="auto"/>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★13.无线投屏：通过专用投屏软件，搭配WiFi dongle（选配）即可实现无线投屏功能，同时支持最多4路信号同时输入，以及4分屏，以及将电脑图像投屏至多台投影机显示。</w:t>
            </w:r>
          </w:p>
          <w:p>
            <w:pPr>
              <w:numPr>
                <w:ilvl w:val="0"/>
                <w:numId w:val="4"/>
              </w:numPr>
              <w:spacing w:line="276" w:lineRule="auto"/>
              <w:ind w:firstLine="422" w:firstLineChars="200"/>
              <w:rPr>
                <w:rFonts w:hint="eastAsia" w:ascii="宋体" w:hAnsi="宋体" w:cs="宋体"/>
                <w:b/>
                <w:bCs/>
                <w:color w:val="000000"/>
                <w:kern w:val="0"/>
                <w:szCs w:val="21"/>
              </w:rPr>
            </w:pPr>
            <w:r>
              <w:rPr>
                <w:rFonts w:hint="eastAsia" w:ascii="宋体" w:hAnsi="宋体" w:cs="宋体"/>
                <w:b/>
                <w:bCs/>
                <w:color w:val="000000"/>
                <w:kern w:val="0"/>
                <w:szCs w:val="21"/>
              </w:rPr>
              <w:t>供货要求：成交供应商在</w:t>
            </w:r>
            <w:r>
              <w:rPr>
                <w:rFonts w:hint="eastAsia" w:ascii="宋体" w:hAnsi="宋体" w:cs="宋体"/>
                <w:b/>
                <w:bCs/>
                <w:color w:val="000000"/>
                <w:kern w:val="0"/>
                <w:szCs w:val="21"/>
                <w:lang w:val="en-US" w:eastAsia="zh-CN"/>
              </w:rPr>
              <w:t>中标后，</w:t>
            </w:r>
            <w:r>
              <w:rPr>
                <w:rFonts w:hint="eastAsia" w:ascii="宋体" w:hAnsi="宋体" w:cs="宋体"/>
                <w:b/>
                <w:bCs/>
                <w:color w:val="000000"/>
                <w:kern w:val="0"/>
                <w:szCs w:val="21"/>
              </w:rPr>
              <w:t>供货时须提供厂家供货证明函和售后服务承诺函。</w:t>
            </w:r>
            <w:r>
              <w:rPr>
                <w:rFonts w:hint="eastAsia" w:ascii="宋体" w:hAnsi="宋体" w:cs="宋体"/>
                <w:b/>
                <w:bCs/>
                <w:color w:val="000000"/>
                <w:kern w:val="0"/>
                <w:szCs w:val="21"/>
                <w:lang w:eastAsia="zh-CN"/>
              </w:rPr>
              <w:t>（</w:t>
            </w:r>
            <w:r>
              <w:rPr>
                <w:rFonts w:hint="eastAsia" w:ascii="宋体" w:hAnsi="宋体" w:cs="宋体"/>
                <w:b/>
                <w:bCs/>
                <w:color w:val="000000"/>
                <w:kern w:val="0"/>
                <w:szCs w:val="21"/>
                <w:lang w:val="en-US" w:eastAsia="zh-CN"/>
              </w:rPr>
              <w:t>投标时提供相关承诺函并加盖投标人公章，格式自拟</w:t>
            </w:r>
            <w:r>
              <w:rPr>
                <w:rFonts w:hint="eastAsia" w:ascii="宋体" w:hAnsi="宋体" w:cs="宋体"/>
                <w:b/>
                <w:bCs/>
                <w:color w:val="000000"/>
                <w:kern w:val="0"/>
                <w:szCs w:val="21"/>
                <w:lang w:eastAsia="zh-CN"/>
              </w:rPr>
              <w:t>）</w:t>
            </w:r>
          </w:p>
          <w:p>
            <w:pPr>
              <w:numPr>
                <w:ilvl w:val="0"/>
                <w:numId w:val="4"/>
              </w:numPr>
              <w:spacing w:line="276" w:lineRule="auto"/>
              <w:ind w:firstLine="422" w:firstLineChars="200"/>
              <w:rPr>
                <w:rFonts w:asciiTheme="minorEastAsia" w:hAnsiTheme="minorEastAsia" w:eastAsiaTheme="minorEastAsia" w:cstheme="minorEastAsia"/>
                <w:b/>
                <w:bCs/>
                <w:szCs w:val="21"/>
                <w:highlight w:val="none"/>
              </w:rPr>
            </w:pPr>
            <w:r>
              <w:rPr>
                <w:rFonts w:hint="eastAsia" w:ascii="宋体" w:hAnsi="宋体" w:cs="宋体"/>
                <w:b/>
                <w:bCs/>
                <w:color w:val="000000"/>
                <w:kern w:val="0"/>
                <w:szCs w:val="21"/>
              </w:rPr>
              <w:t>提供制造商环境管理体系认证证书ISO14001，质量管理认证证书ISO9001，售后服务认证证书、职业健康安全管理体系认证证书。</w:t>
            </w:r>
            <w:r>
              <w:rPr>
                <w:rFonts w:hint="eastAsia" w:ascii="宋体" w:hAnsi="宋体" w:cs="宋体"/>
                <w:b/>
                <w:bCs/>
                <w:color w:val="000000"/>
                <w:kern w:val="0"/>
                <w:szCs w:val="21"/>
                <w:lang w:eastAsia="zh-CN"/>
              </w:rPr>
              <w:t>（</w:t>
            </w:r>
            <w:r>
              <w:rPr>
                <w:rFonts w:hint="eastAsia" w:ascii="宋体" w:hAnsi="宋体" w:cs="宋体"/>
                <w:b/>
                <w:bCs/>
                <w:color w:val="000000"/>
                <w:kern w:val="0"/>
                <w:szCs w:val="21"/>
                <w:lang w:val="en-US" w:eastAsia="zh-CN"/>
              </w:rPr>
              <w:t>提</w:t>
            </w:r>
            <w:r>
              <w:rPr>
                <w:rFonts w:hint="eastAsia" w:ascii="宋体" w:hAnsi="宋体" w:cs="宋体"/>
                <w:b/>
                <w:bCs/>
                <w:color w:val="000000"/>
                <w:kern w:val="0"/>
                <w:szCs w:val="21"/>
                <w:highlight w:val="none"/>
                <w:lang w:val="en-US" w:eastAsia="zh-CN"/>
              </w:rPr>
              <w:t>供相关认证证书复印件并加盖投标人公章</w:t>
            </w:r>
            <w:r>
              <w:rPr>
                <w:rFonts w:hint="eastAsia" w:ascii="宋体" w:hAnsi="宋体" w:cs="宋体"/>
                <w:b/>
                <w:bCs/>
                <w:color w:val="000000"/>
                <w:kern w:val="0"/>
                <w:szCs w:val="21"/>
                <w:highlight w:val="none"/>
                <w:lang w:eastAsia="zh-CN"/>
              </w:rPr>
              <w:t>）</w:t>
            </w:r>
          </w:p>
          <w:p>
            <w:pPr>
              <w:numPr>
                <w:ilvl w:val="0"/>
                <w:numId w:val="4"/>
              </w:numPr>
              <w:spacing w:line="276" w:lineRule="auto"/>
              <w:ind w:firstLine="422" w:firstLineChars="200"/>
              <w:rPr>
                <w:rFonts w:asciiTheme="minorEastAsia" w:hAnsiTheme="minorEastAsia" w:eastAsiaTheme="minorEastAsia" w:cstheme="minorEastAsia"/>
                <w:szCs w:val="21"/>
              </w:rPr>
            </w:pPr>
            <w:r>
              <w:rPr>
                <w:rFonts w:hint="eastAsia" w:ascii="宋体" w:hAnsi="宋体" w:cs="宋体"/>
                <w:b/>
                <w:bCs/>
                <w:color w:val="000000"/>
                <w:kern w:val="0"/>
                <w:szCs w:val="21"/>
                <w:highlight w:val="none"/>
              </w:rPr>
              <w:t>提供投标所投产品带有CMA</w:t>
            </w:r>
            <w:r>
              <w:rPr>
                <w:rFonts w:hint="eastAsia" w:ascii="宋体" w:hAnsi="宋体" w:cs="宋体"/>
                <w:b/>
                <w:bCs/>
                <w:color w:val="000000"/>
                <w:kern w:val="0"/>
                <w:szCs w:val="21"/>
                <w:highlight w:val="none"/>
                <w:lang w:val="en-US" w:eastAsia="zh-CN"/>
              </w:rPr>
              <w:t>或</w:t>
            </w:r>
            <w:r>
              <w:rPr>
                <w:rFonts w:hint="eastAsia" w:ascii="宋体" w:hAnsi="宋体" w:cs="宋体"/>
                <w:b/>
                <w:bCs/>
                <w:color w:val="000000"/>
                <w:kern w:val="0"/>
                <w:szCs w:val="21"/>
                <w:highlight w:val="none"/>
              </w:rPr>
              <w:t>ilac-MRA</w:t>
            </w:r>
            <w:r>
              <w:rPr>
                <w:rFonts w:hint="eastAsia" w:ascii="宋体" w:hAnsi="宋体" w:cs="宋体"/>
                <w:b/>
                <w:bCs/>
                <w:color w:val="000000"/>
                <w:kern w:val="0"/>
                <w:szCs w:val="21"/>
                <w:highlight w:val="none"/>
                <w:lang w:val="en-US" w:eastAsia="zh-CN"/>
              </w:rPr>
              <w:t>或</w:t>
            </w:r>
            <w:r>
              <w:rPr>
                <w:rFonts w:hint="eastAsia" w:ascii="宋体" w:hAnsi="宋体" w:cs="宋体"/>
                <w:b/>
                <w:bCs/>
                <w:color w:val="000000"/>
                <w:kern w:val="0"/>
                <w:szCs w:val="21"/>
                <w:highlight w:val="none"/>
              </w:rPr>
              <w:t>CNAS认证的检测报告。</w:t>
            </w:r>
            <w:r>
              <w:rPr>
                <w:rFonts w:hint="eastAsia" w:ascii="宋体" w:hAnsi="宋体" w:cs="宋体"/>
                <w:b/>
                <w:bCs/>
                <w:color w:val="000000"/>
                <w:kern w:val="0"/>
                <w:szCs w:val="21"/>
                <w:highlight w:val="none"/>
                <w:lang w:eastAsia="zh-CN"/>
              </w:rPr>
              <w:t>（</w:t>
            </w:r>
            <w:r>
              <w:rPr>
                <w:rFonts w:hint="eastAsia" w:ascii="宋体" w:hAnsi="宋体" w:cs="宋体"/>
                <w:b/>
                <w:bCs/>
                <w:color w:val="000000"/>
                <w:kern w:val="0"/>
                <w:szCs w:val="21"/>
                <w:highlight w:val="none"/>
                <w:lang w:val="en-US" w:eastAsia="zh-CN"/>
              </w:rPr>
              <w:t>提供相关</w:t>
            </w:r>
            <w:r>
              <w:rPr>
                <w:rFonts w:hint="eastAsia" w:ascii="宋体" w:hAnsi="宋体" w:cs="宋体"/>
                <w:b/>
                <w:bCs/>
                <w:color w:val="000000"/>
                <w:kern w:val="0"/>
                <w:szCs w:val="21"/>
                <w:lang w:val="en-US" w:eastAsia="zh-CN"/>
              </w:rPr>
              <w:t>认证</w:t>
            </w:r>
            <w:bookmarkStart w:id="2" w:name="_GoBack"/>
            <w:bookmarkEnd w:id="2"/>
            <w:r>
              <w:rPr>
                <w:rFonts w:hint="eastAsia" w:ascii="宋体" w:hAnsi="宋体" w:cs="宋体"/>
                <w:b/>
                <w:bCs/>
                <w:color w:val="000000"/>
                <w:kern w:val="0"/>
                <w:szCs w:val="21"/>
                <w:lang w:val="en-US" w:eastAsia="zh-CN"/>
              </w:rPr>
              <w:t>证书复印件并加盖投标人公章</w:t>
            </w:r>
            <w:r>
              <w:rPr>
                <w:rFonts w:hint="eastAsia" w:ascii="宋体" w:hAnsi="宋体" w:cs="宋体"/>
                <w:b/>
                <w:bCs/>
                <w:color w:val="000000"/>
                <w:kern w:val="0"/>
                <w:szCs w:val="21"/>
                <w:lang w:eastAsia="zh-CN"/>
              </w:rPr>
              <w:t>）</w:t>
            </w:r>
          </w:p>
        </w:tc>
        <w:tc>
          <w:tcPr>
            <w:tcW w:w="709" w:type="dxa"/>
            <w:vAlign w:val="center"/>
          </w:tcPr>
          <w:p>
            <w:pPr>
              <w:spacing w:line="336"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台</w:t>
            </w:r>
          </w:p>
        </w:tc>
        <w:tc>
          <w:tcPr>
            <w:tcW w:w="709" w:type="dxa"/>
            <w:vAlign w:val="center"/>
          </w:tcPr>
          <w:p>
            <w:pPr>
              <w:spacing w:line="336"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814" w:type="dxa"/>
            <w:vAlign w:val="center"/>
          </w:tcPr>
          <w:p>
            <w:pPr>
              <w:spacing w:line="33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w:t>
            </w:r>
          </w:p>
        </w:tc>
        <w:tc>
          <w:tcPr>
            <w:tcW w:w="904" w:type="dxa"/>
            <w:vAlign w:val="center"/>
          </w:tcPr>
          <w:p>
            <w:pPr>
              <w:spacing w:line="336"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交换机</w:t>
            </w:r>
          </w:p>
        </w:tc>
        <w:tc>
          <w:tcPr>
            <w:tcW w:w="6470" w:type="dxa"/>
            <w:vAlign w:val="center"/>
          </w:tcPr>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1.固化端口：≥48个10/100/1000Mbps电口，≥4个SFP光口，标准1U设备；</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2.交换容量≥432Gbps，包转发率≥87Mpps；</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3.为避免网络被异常流量和突发流量波及导致网络瘫痪，要求设备支持QOS，支持端口流量限速；</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4.支持标准的ACL、支持基于IP/MAC扩展的ACL</w:t>
            </w:r>
          </w:p>
          <w:p>
            <w:pPr>
              <w:spacing w:line="276" w:lineRule="auto"/>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★5.支持网管平台管理，通过可上网的移动终端，即可完成部署，即插即用，支持可视化整网拓扑、前面板端口通断状态呈现、CPU、内存利用率、设备配置等功能，</w:t>
            </w:r>
            <w:r>
              <w:rPr>
                <w:rFonts w:hint="eastAsia" w:asciiTheme="minorEastAsia" w:hAnsiTheme="minorEastAsia" w:eastAsiaTheme="minorEastAsia" w:cstheme="minorEastAsia"/>
                <w:b/>
                <w:bCs/>
                <w:szCs w:val="21"/>
              </w:rPr>
              <w:t>投标时提供功能截图及网管平台软件产品登记测试报告并加盖投标人公章；</w:t>
            </w:r>
          </w:p>
          <w:p>
            <w:pPr>
              <w:spacing w:line="276"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★6.投标时提供电信设备进网许可证证书复印件，加盖投标人公章。</w:t>
            </w:r>
          </w:p>
        </w:tc>
        <w:tc>
          <w:tcPr>
            <w:tcW w:w="709" w:type="dxa"/>
            <w:vAlign w:val="center"/>
          </w:tcPr>
          <w:p>
            <w:pPr>
              <w:spacing w:line="336"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台</w:t>
            </w:r>
          </w:p>
        </w:tc>
        <w:tc>
          <w:tcPr>
            <w:tcW w:w="709" w:type="dxa"/>
            <w:vAlign w:val="center"/>
          </w:tcPr>
          <w:p>
            <w:pPr>
              <w:spacing w:line="336"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814" w:type="dxa"/>
            <w:vAlign w:val="center"/>
          </w:tcPr>
          <w:p>
            <w:pPr>
              <w:spacing w:line="33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w:t>
            </w:r>
          </w:p>
        </w:tc>
        <w:tc>
          <w:tcPr>
            <w:tcW w:w="904" w:type="dxa"/>
            <w:vAlign w:val="center"/>
          </w:tcPr>
          <w:p>
            <w:pPr>
              <w:spacing w:line="336"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机柜</w:t>
            </w:r>
          </w:p>
        </w:tc>
        <w:tc>
          <w:tcPr>
            <w:tcW w:w="6470" w:type="dxa"/>
            <w:vAlign w:val="center"/>
          </w:tcPr>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优质冷轧钢板，拼装式机柜框架，前门是 ≥5mm3C 认证透明钢化玻璃门，后门是钢质平板门，机柜侧板两快侧板可拆卸，厚度（MM）：19 英寸角规 ≥2.0 600 深侧门 ≥1.0 其他 ≥1.2，负载：动态≤600，静态≤800；19 英寸角规，表面脱脂，磷化、静电喷塑处理；最大开启角度&gt;180 度；防护等级 ≥IP20</w:t>
            </w:r>
          </w:p>
        </w:tc>
        <w:tc>
          <w:tcPr>
            <w:tcW w:w="709" w:type="dxa"/>
            <w:vAlign w:val="center"/>
          </w:tcPr>
          <w:p>
            <w:pPr>
              <w:spacing w:line="336"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台</w:t>
            </w:r>
          </w:p>
        </w:tc>
        <w:tc>
          <w:tcPr>
            <w:tcW w:w="709" w:type="dxa"/>
            <w:vAlign w:val="center"/>
          </w:tcPr>
          <w:p>
            <w:pPr>
              <w:spacing w:line="336"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r>
    </w:tbl>
    <w:p>
      <w:pPr>
        <w:spacing w:line="276" w:lineRule="auto"/>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四、供货安装、调试要求</w:t>
      </w:r>
    </w:p>
    <w:p>
      <w:pPr>
        <w:spacing w:line="276" w:lineRule="auto"/>
        <w:ind w:firstLine="211" w:firstLineChars="1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（一）技术规格</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1.所有材料须提交详细的技术条款响应表，并注明品牌产地和生产厂地。</w:t>
      </w:r>
    </w:p>
    <w:p>
      <w:pPr>
        <w:spacing w:line="276"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2.成交供应商所提供的设备进场后，如采购人发现有任何问题（如外观有损坏），成交供应商应以同样型号的设备在采购人商定的时间内更换，确保其使用。</w:t>
      </w:r>
    </w:p>
    <w:p>
      <w:pPr>
        <w:spacing w:line="276" w:lineRule="auto"/>
        <w:ind w:firstLine="211" w:firstLineChars="1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（二）质量要求</w:t>
      </w:r>
    </w:p>
    <w:p>
      <w:pPr>
        <w:spacing w:line="276"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1.应严格按照采购文件的要求和国家有关标准，提供全新的、未经使用的、技术先进的设备。</w:t>
      </w:r>
    </w:p>
    <w:p>
      <w:pPr>
        <w:spacing w:line="276"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2.品质说明：必须保证提供的设备完全与采购文件所述的质量、规格和性能相符，所使用的材料及配件达到优质标准，相关设备具有厂家出具的设备质量合格证明书。</w:t>
      </w:r>
    </w:p>
    <w:p>
      <w:pPr>
        <w:spacing w:line="276"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3.成交供应商保证向采购人提供的设备或设备的任何一部分，免受第三方提出的侵犯其专利权、商标权或知识产权等的起诉，任何由此引起的法律责任和经济责任均由供应商承担。</w:t>
      </w:r>
    </w:p>
    <w:p>
      <w:pPr>
        <w:spacing w:line="276" w:lineRule="auto"/>
        <w:ind w:firstLine="211" w:firstLineChars="1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（三）验收方式</w:t>
      </w:r>
    </w:p>
    <w:p>
      <w:pPr>
        <w:spacing w:line="276"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1.设备到达现场后，成交供应商应在采购人在场情况下当面开箱，共同清点、检查外观，作出开箱记录，双方签字确认。</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2.成交供应商应保证货物到达采购人所在地完好无损，如有缺漏、损坏，由成交供应商负责调换、补齐或赔偿。</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3.成交供应商应提供完备的技术资料、原厂真货证明、装箱单和合格证等。验收合格条件如下：</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（1）产品技术参数与项目合同一致，性能指标达到规定的标准。</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（2）货物技术资料、原厂真货证明、装箱单、合格证等资料齐全。</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（3）在规定时间内完成交货并由双方组织验收小组进行验收，并经验收小组签字确认。</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4.成交供应商提供的货物未达到招标文件规定要求，且对采购人造成损失的，由成交供应商承担一切责任，并赔偿所造成的损失。</w:t>
      </w:r>
    </w:p>
    <w:p>
      <w:pPr>
        <w:spacing w:line="276" w:lineRule="auto"/>
        <w:ind w:firstLine="211" w:firstLineChars="1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（四）验收标准与要求</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所供货物必须是全新的，原装正品，完全符合国家规定的质量标准。因产品质量或安装不当导致验收不合格，应及时处理直至验收合格，期间产生的一切费用由供应商承担；若二次验收不合格，采购人有权退货。采购人在此期间保留对供应商的索赔权利。供应商必须满足所有功能要求，有义务保证采购人系统的功能性和完整性。</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2.成交供应商须保证所提供硬件产品包括相关附件为相应硬件厂家原装正品，软件产品为相关厂家正版软件，符合国家有关规定。</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3.成交供应商须及时和学校用户沟通，确认所有设备材质、款式、规格后方可供货，并确保产品质量。</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4.成交供应商应采取安全措施，确保施工安全。因本项目施工产生的施工人员和学校师生人生安全问题由中标供应商承担全部责任。</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5.严格按照投标文件与采购文件对比验收，保留邀请第三方质检部门验收的权利。</w:t>
      </w:r>
    </w:p>
    <w:p>
      <w:pPr>
        <w:spacing w:line="276" w:lineRule="auto"/>
        <w:ind w:firstLine="211" w:firstLineChars="1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五、供货和质量（质保及售后）要求：</w:t>
      </w:r>
    </w:p>
    <w:p>
      <w:pPr>
        <w:spacing w:line="276"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（一）供货要求</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成交供应商负责将所有产品运到采购人指定地点，由成交供应商负责办理运输、装卸、安装调试等，费用由成交供应商负责，由采购人组织验收，检验不合格或不符合质量要求，成交供应商除无条件退货、返工外，还应承担采购人的一切损失。</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（2）要求所投设备之间能互联互通，满足采购人使用需求。可利用的旧设备要求免费进行安装调试。</w:t>
      </w:r>
    </w:p>
    <w:p>
      <w:pPr>
        <w:spacing w:line="276"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（二）质保及售后服务要求</w:t>
      </w:r>
    </w:p>
    <w:p>
      <w:pPr>
        <w:spacing w:line="276"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 xml:space="preserve">  1.产品质量保证期</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（1）质量保证期（简称“质保期”）：自合同签订之日起，提供不少于3年免费硬件质保。质保期内合同中所有设备由成交供应商提供免费上门保修服务。</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（2）投标产品属于国家规定“三包”范围的，其产品质量保证期不得低于“三包”规定。</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（3）成交供应商的质量保证期承诺优于国家“三包”规定的，按中标供应商实际承诺执行。</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（4）投标产品由制造商（指产品生产制造商，或其负责销售、售后服务机构）负责标准售后服务的，应当在投标文件中予以明确说明，并附制造商售后服务承诺。</w:t>
      </w:r>
    </w:p>
    <w:p>
      <w:pPr>
        <w:spacing w:line="276"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 xml:space="preserve">  2.售后服务要求</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成交供应商必须具备相应的维护保养、后续跟进服务能力，能提供完善的售后服务（包括技术人员、响应时间及备品、备件方面等）；售后服务应及时有效，设备故障响应时间为7×24小时，修复时间8小时内，超出时间由成交供应商提供备用设备；成交供应商在质量保证期内应当为采购人提供以下技术支持和服务：</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①正常使用范围内造成的损坏均免费维修，出现质量缺陷问题或同一货物在质保期内出现三次质量问题，成交供应商须免费予以更换。</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②电话咨询</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质量保证期内，采购人遇到使用及技术问题，成交供应商和原厂商（生产者）应当为采购人提供技术援助电话。电话咨询不能解决的，成交供应商和原厂商（生产者）应采取相应措施，提供上门服务。</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③现场响应</w:t>
      </w:r>
    </w:p>
    <w:p>
      <w:pPr>
        <w:numPr>
          <w:ilvl w:val="0"/>
          <w:numId w:val="5"/>
        </w:numPr>
        <w:spacing w:line="276" w:lineRule="auto"/>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成交供应商应提供应急人员和技术支持人员的名单和联系方式。质保期内，如设备或零部件因质量原因出现故障而造成短期停用时，则质保期和免费维修期相应顺延。如停用时间累计超过60天则质保期重新计算。  </w:t>
      </w:r>
    </w:p>
    <w:p>
      <w:pPr>
        <w:spacing w:line="276"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3.培训要求</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为保障本项目的顺利实施，成交供应商应根据本项目实际情况，项目交付使用后须提供3次以上免费使用培训，其中主要包括详尽的用户操作培训和系统管理员培训。培训授课人必须是相关经验丰富的工程师或技术人员等，所提供培训应确保系统管理员具有完成系统维护工作的能力。</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采购人可根据实际情况决定培训的时间、人数、地点和培训方式。</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成交供应商须为所有被培训人员提供培训使用的文字资料和讲义等相关用品，以及协助用户方准备培训用的计算机和网络环境。</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（2）质保期过后服务要求：提供终身上门服务（只收材料成本费，其余费用均不得收取）。</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（3）项目交付使用前须提供完整的设备技术文档，并配合学校完成技术文档的归档工作。</w:t>
      </w:r>
    </w:p>
    <w:p>
      <w:pPr>
        <w:spacing w:line="276"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（三）其它要求</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1.投标供应商依据招标文件中规格要求、材质要求、项目功能和配置清单并依据实际场地情况提供优化设计返方案。</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2.安装调试要求。所有设备安装、搬运、调试到位，能够正常运转。</w:t>
      </w:r>
    </w:p>
    <w:p>
      <w:pPr>
        <w:spacing w:line="276"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质量控制措施。投标供应商所提供的货物的技术规格应与采购文件规定的技术规格及所附的“技术响应偏离表”相一致；若技术性能无特殊说明，则按国家有关部门最新颁布的标准及规范为准；投标供应商应保证货物是全新、未使用过的原装合格正品，并完全符合合同规定的质量、规格和性能的要求；投标供应商应保证其提供的货物在正确安装、正常使用和保养条件下，在其使用寿命内具有良好的性能。货物验收后，在质量保证期内，投标供应商应对由于设计、工艺或材料的缺陷所发生的任何不足或故障负责，所需费用由投标供应商承担。</w:t>
      </w:r>
    </w:p>
    <w:p>
      <w:pPr>
        <w:pStyle w:val="11"/>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CD6BA2"/>
    <w:multiLevelType w:val="singleLevel"/>
    <w:tmpl w:val="A0CD6BA2"/>
    <w:lvl w:ilvl="0" w:tentative="0">
      <w:start w:val="2"/>
      <w:numFmt w:val="decimal"/>
      <w:suff w:val="nothing"/>
      <w:lvlText w:val="%1．"/>
      <w:lvlJc w:val="left"/>
    </w:lvl>
  </w:abstractNum>
  <w:abstractNum w:abstractNumId="1">
    <w:nsid w:val="B67F6829"/>
    <w:multiLevelType w:val="singleLevel"/>
    <w:tmpl w:val="B67F6829"/>
    <w:lvl w:ilvl="0" w:tentative="0">
      <w:start w:val="1"/>
      <w:numFmt w:val="chineseCounting"/>
      <w:suff w:val="space"/>
      <w:lvlText w:val="第%1项"/>
      <w:lvlJc w:val="left"/>
      <w:rPr>
        <w:rFonts w:hint="eastAsia"/>
      </w:rPr>
    </w:lvl>
  </w:abstractNum>
  <w:abstractNum w:abstractNumId="2">
    <w:nsid w:val="511D3B58"/>
    <w:multiLevelType w:val="singleLevel"/>
    <w:tmpl w:val="511D3B58"/>
    <w:lvl w:ilvl="0" w:tentative="0">
      <w:start w:val="2"/>
      <w:numFmt w:val="decimal"/>
      <w:suff w:val="space"/>
      <w:lvlText w:val="(%1)"/>
      <w:lvlJc w:val="left"/>
    </w:lvl>
  </w:abstractNum>
  <w:abstractNum w:abstractNumId="3">
    <w:nsid w:val="551440FA"/>
    <w:multiLevelType w:val="singleLevel"/>
    <w:tmpl w:val="551440FA"/>
    <w:lvl w:ilvl="0" w:tentative="0">
      <w:start w:val="2"/>
      <w:numFmt w:val="decimal"/>
      <w:suff w:val="nothing"/>
      <w:lvlText w:val="（%1）"/>
      <w:lvlJc w:val="left"/>
    </w:lvl>
  </w:abstractNum>
  <w:abstractNum w:abstractNumId="4">
    <w:nsid w:val="5E3DC41F"/>
    <w:multiLevelType w:val="singleLevel"/>
    <w:tmpl w:val="5E3DC41F"/>
    <w:lvl w:ilvl="0" w:tentative="0">
      <w:start w:val="14"/>
      <w:numFmt w:val="decimal"/>
      <w:lvlText w:val="%1."/>
      <w:lvlJc w:val="left"/>
      <w:pPr>
        <w:tabs>
          <w:tab w:val="left" w:pos="312"/>
        </w:tabs>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2Y2Y5YTYwZjJhZjQxNWNlYmI3ZjJmMzI3ZjUxNjEifQ=="/>
  </w:docVars>
  <w:rsids>
    <w:rsidRoot w:val="293569B4"/>
    <w:rsid w:val="0A5A5DF2"/>
    <w:rsid w:val="13D10788"/>
    <w:rsid w:val="173F457C"/>
    <w:rsid w:val="17561FE9"/>
    <w:rsid w:val="17B434BC"/>
    <w:rsid w:val="187C5464"/>
    <w:rsid w:val="1A990915"/>
    <w:rsid w:val="1DDF07C4"/>
    <w:rsid w:val="293569B4"/>
    <w:rsid w:val="35F544A8"/>
    <w:rsid w:val="36DB69B2"/>
    <w:rsid w:val="3B974838"/>
    <w:rsid w:val="46976E9A"/>
    <w:rsid w:val="46C16952"/>
    <w:rsid w:val="49924986"/>
    <w:rsid w:val="5B155F33"/>
    <w:rsid w:val="646F4133"/>
    <w:rsid w:val="65CF0E53"/>
    <w:rsid w:val="79436B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spacing w:line="360" w:lineRule="auto"/>
      <w:ind w:firstLine="420" w:firstLineChars="200"/>
    </w:pPr>
    <w:rPr>
      <w:rFonts w:ascii="宋体" w:hAnsi="宋体"/>
    </w:rPr>
  </w:style>
  <w:style w:type="paragraph" w:styleId="3">
    <w:name w:val="Body Text Indent"/>
    <w:basedOn w:val="1"/>
    <w:next w:val="4"/>
    <w:qFormat/>
    <w:uiPriority w:val="0"/>
    <w:pPr>
      <w:ind w:firstLine="645"/>
    </w:pPr>
    <w:rPr>
      <w:rFonts w:ascii="楷体_GB2312" w:eastAsia="楷体_GB2312"/>
      <w:kern w:val="0"/>
      <w:sz w:val="32"/>
      <w:szCs w:val="20"/>
    </w:rPr>
  </w:style>
  <w:style w:type="paragraph" w:styleId="4">
    <w:name w:val="envelope return"/>
    <w:basedOn w:val="1"/>
    <w:unhideWhenUsed/>
    <w:qFormat/>
    <w:uiPriority w:val="0"/>
    <w:pPr>
      <w:snapToGrid w:val="0"/>
    </w:pPr>
    <w:rPr>
      <w:rFonts w:ascii="Arial" w:hAnsi="Arial"/>
    </w:rPr>
  </w:style>
  <w:style w:type="paragraph" w:styleId="5">
    <w:name w:val="Body Text"/>
    <w:basedOn w:val="1"/>
    <w:next w:val="6"/>
    <w:qFormat/>
    <w:uiPriority w:val="99"/>
    <w:rPr>
      <w:rFonts w:ascii="楷体_GB2312" w:hAnsi="Arial" w:eastAsia="楷体_GB2312"/>
      <w:kern w:val="0"/>
      <w:sz w:val="28"/>
      <w:szCs w:val="20"/>
    </w:rPr>
  </w:style>
  <w:style w:type="paragraph" w:customStyle="1" w:styleId="6">
    <w:name w:val="一级条标题"/>
    <w:basedOn w:val="7"/>
    <w:next w:val="8"/>
    <w:qFormat/>
    <w:uiPriority w:val="99"/>
    <w:pPr>
      <w:tabs>
        <w:tab w:val="left" w:pos="810"/>
        <w:tab w:val="left" w:pos="907"/>
        <w:tab w:val="left" w:pos="1265"/>
      </w:tabs>
      <w:spacing w:before="0" w:after="0"/>
      <w:ind w:left="907" w:hanging="907"/>
      <w:outlineLvl w:val="2"/>
    </w:pPr>
    <w:rPr>
      <w:rFonts w:hAnsi="宋体"/>
      <w:kern w:val="0"/>
      <w:sz w:val="20"/>
      <w:szCs w:val="20"/>
    </w:rPr>
  </w:style>
  <w:style w:type="paragraph" w:customStyle="1" w:styleId="7">
    <w:name w:val="章标题"/>
    <w:next w:val="1"/>
    <w:qFormat/>
    <w:uiPriority w:val="0"/>
    <w:pPr>
      <w:tabs>
        <w:tab w:val="left" w:pos="810"/>
        <w:tab w:val="left" w:pos="1265"/>
      </w:tabs>
      <w:spacing w:before="50" w:after="50"/>
      <w:ind w:left="810" w:hanging="810"/>
      <w:jc w:val="both"/>
      <w:outlineLvl w:val="1"/>
    </w:pPr>
    <w:rPr>
      <w:rFonts w:ascii="黑体" w:hAnsi="Times New Roman" w:eastAsia="黑体" w:cs="Times New Roman"/>
      <w:kern w:val="2"/>
      <w:sz w:val="21"/>
      <w:szCs w:val="22"/>
      <w:lang w:val="en-US" w:eastAsia="zh-CN" w:bidi="ar-SA"/>
    </w:rPr>
  </w:style>
  <w:style w:type="paragraph" w:customStyle="1" w:styleId="8">
    <w:name w:val="段"/>
    <w:next w:val="1"/>
    <w:qFormat/>
    <w:uiPriority w:val="0"/>
    <w:pPr>
      <w:widowControl w:val="0"/>
      <w:ind w:firstLine="200"/>
      <w:jc w:val="both"/>
    </w:pPr>
    <w:rPr>
      <w:rFonts w:ascii="宋体" w:hAnsi="宋体" w:eastAsia="宋体" w:cs="宋体"/>
      <w:color w:val="000000"/>
      <w:sz w:val="21"/>
      <w:szCs w:val="21"/>
      <w:lang w:val="en-US" w:eastAsia="zh-CN" w:bidi="ar-SA"/>
    </w:rPr>
  </w:style>
  <w:style w:type="paragraph" w:customStyle="1" w:styleId="11">
    <w:name w:val="纯文本1"/>
    <w:basedOn w:val="1"/>
    <w:qFormat/>
    <w:uiPriority w:val="0"/>
    <w:pPr>
      <w:adjustRightInd w:val="0"/>
    </w:pPr>
    <w:rPr>
      <w:rFonts w:ascii="宋体" w:hAnsi="Courier New" w:eastAsia="楷体_GB2312"/>
      <w:sz w:val="28"/>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2023-08-09T09:38:00Z</dcterms:created>
  <dc:creator>WPS_1665191703</dc:creator>
  <cp:lastModifiedBy>WPS_1665191703</cp:lastModifiedBy>
  <dcterms:modified xsi:type="dcterms:W3CDTF">2023-08-09T09:39:15Z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E0785B0695534E45BF3E0F3724424E77_11</vt:lpwstr>
  </property>
</Properties>
</file>